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A9D1" w14:textId="77777777" w:rsidR="00450062" w:rsidRDefault="00450062" w:rsidP="00450062">
      <w:pPr>
        <w:rPr>
          <w:b/>
        </w:rPr>
      </w:pPr>
    </w:p>
    <w:p w14:paraId="70727CE8" w14:textId="77777777" w:rsidR="00450062" w:rsidRDefault="00450062" w:rsidP="00450062">
      <w:pPr>
        <w:rPr>
          <w:b/>
        </w:rPr>
      </w:pPr>
    </w:p>
    <w:p w14:paraId="732EC325" w14:textId="77777777" w:rsidR="00450062" w:rsidRDefault="00450062" w:rsidP="00450062">
      <w:pPr>
        <w:rPr>
          <w:b/>
        </w:rPr>
      </w:pPr>
    </w:p>
    <w:p w14:paraId="64014DD0" w14:textId="77777777" w:rsidR="00450062" w:rsidRDefault="00450062" w:rsidP="00450062">
      <w:pPr>
        <w:rPr>
          <w:b/>
        </w:rPr>
      </w:pPr>
    </w:p>
    <w:p w14:paraId="211309A5" w14:textId="77777777"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14:paraId="7265B3B0" w14:textId="77777777"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14:paraId="42AB625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43E8AA1A" w14:textId="692263F7"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C56CB9">
        <w:rPr>
          <w:rFonts w:eastAsia="Calibri"/>
        </w:rPr>
        <w:t>12.</w:t>
      </w:r>
      <w:r w:rsidR="00C56CB9">
        <w:rPr>
          <w:rFonts w:eastAsia="Calibri"/>
        </w:rPr>
        <w:t xml:space="preserve"> ožujka</w:t>
      </w:r>
      <w:r w:rsidR="00C56CB9">
        <w:rPr>
          <w:rFonts w:eastAsia="Calibri"/>
        </w:rPr>
        <w:t xml:space="preserve"> </w:t>
      </w:r>
      <w:r w:rsidR="00C56CB9"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 w:rsidR="00007508">
        <w:rPr>
          <w:rFonts w:eastAsia="Calibri"/>
        </w:rPr>
        <w:t>6</w:t>
      </w:r>
      <w:r w:rsidRPr="002D6303">
        <w:rPr>
          <w:rFonts w:eastAsia="Calibri"/>
        </w:rPr>
        <w:t>.</w:t>
      </w:r>
    </w:p>
    <w:p w14:paraId="4FD28302" w14:textId="77777777"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14:paraId="59F8BC37" w14:textId="77777777"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14:paraId="2150FEB1" w14:textId="77777777"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14:paraId="5F418329" w14:textId="77777777" w:rsidR="00A034F3" w:rsidRDefault="00A034F3" w:rsidP="00450062">
      <w:pPr>
        <w:jc w:val="right"/>
        <w:rPr>
          <w:rFonts w:eastAsia="Calibri"/>
          <w:sz w:val="28"/>
          <w:szCs w:val="28"/>
        </w:rPr>
      </w:pPr>
    </w:p>
    <w:p w14:paraId="285D19CC" w14:textId="77777777" w:rsidR="00A034F3" w:rsidRDefault="00A034F3" w:rsidP="00450062">
      <w:pPr>
        <w:jc w:val="right"/>
        <w:rPr>
          <w:rFonts w:eastAsia="Calibri"/>
          <w:sz w:val="28"/>
          <w:szCs w:val="28"/>
        </w:rPr>
      </w:pPr>
    </w:p>
    <w:p w14:paraId="7DA6501F" w14:textId="77777777" w:rsidR="00A034F3" w:rsidRDefault="00A034F3" w:rsidP="00450062">
      <w:pPr>
        <w:jc w:val="right"/>
        <w:rPr>
          <w:rFonts w:eastAsia="Calibri"/>
          <w:sz w:val="28"/>
          <w:szCs w:val="28"/>
        </w:rPr>
      </w:pPr>
    </w:p>
    <w:p w14:paraId="2E34B8CB" w14:textId="77777777" w:rsidR="00A034F3" w:rsidRPr="00831D87" w:rsidRDefault="00A034F3" w:rsidP="00450062">
      <w:pPr>
        <w:jc w:val="right"/>
        <w:rPr>
          <w:rFonts w:eastAsia="Calibri"/>
          <w:sz w:val="28"/>
          <w:szCs w:val="28"/>
        </w:rPr>
      </w:pPr>
    </w:p>
    <w:p w14:paraId="3B4793C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50062" w:rsidRPr="00831D87" w14:paraId="7002D89F" w14:textId="77777777" w:rsidTr="00083F5C">
        <w:tc>
          <w:tcPr>
            <w:tcW w:w="1951" w:type="dxa"/>
            <w:tcBorders>
              <w:bottom w:val="single" w:sz="4" w:space="0" w:color="auto"/>
            </w:tcBorders>
          </w:tcPr>
          <w:p w14:paraId="43FD446F" w14:textId="77777777" w:rsidR="00450062" w:rsidRPr="006D7B74" w:rsidRDefault="00450062" w:rsidP="00083F5C">
            <w:pPr>
              <w:spacing w:line="360" w:lineRule="auto"/>
              <w:rPr>
                <w:b/>
                <w:bCs/>
              </w:rPr>
            </w:pPr>
            <w:r w:rsidRPr="006D7B74">
              <w:rPr>
                <w:b/>
                <w:bCs/>
                <w:smallCaps/>
              </w:rPr>
              <w:t>Predlagatelj</w:t>
            </w:r>
            <w:r w:rsidRPr="006D7B74">
              <w:rPr>
                <w:b/>
                <w:bCs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6373BED" w14:textId="17FF326B" w:rsidR="00450062" w:rsidRPr="00831D87" w:rsidRDefault="00450062" w:rsidP="00083F5C">
            <w:pPr>
              <w:spacing w:line="360" w:lineRule="auto"/>
            </w:pPr>
            <w:r w:rsidRPr="00831D87">
              <w:t xml:space="preserve">Ministarstvo </w:t>
            </w:r>
            <w:r w:rsidR="00367084">
              <w:t>gospodarstva</w:t>
            </w:r>
          </w:p>
        </w:tc>
      </w:tr>
      <w:tr w:rsidR="00450062" w:rsidRPr="00831D87" w14:paraId="62AD5BA9" w14:textId="77777777" w:rsidTr="00083F5C">
        <w:tc>
          <w:tcPr>
            <w:tcW w:w="1951" w:type="dxa"/>
            <w:tcBorders>
              <w:top w:val="single" w:sz="4" w:space="0" w:color="auto"/>
            </w:tcBorders>
          </w:tcPr>
          <w:p w14:paraId="383D50AF" w14:textId="77777777" w:rsidR="00450062" w:rsidRPr="00831D87" w:rsidRDefault="00450062" w:rsidP="00083F5C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34D2C68" w14:textId="77777777" w:rsidR="00450062" w:rsidRPr="00831D87" w:rsidRDefault="00450062" w:rsidP="00083F5C">
            <w:pPr>
              <w:spacing w:line="360" w:lineRule="auto"/>
            </w:pPr>
          </w:p>
        </w:tc>
      </w:tr>
    </w:tbl>
    <w:p w14:paraId="2FA23FFB" w14:textId="77777777" w:rsidR="00450062" w:rsidRPr="00831D87" w:rsidRDefault="00450062" w:rsidP="00450062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50062" w:rsidRPr="00831D87" w14:paraId="5AF09000" w14:textId="77777777" w:rsidTr="00083F5C">
        <w:tc>
          <w:tcPr>
            <w:tcW w:w="1951" w:type="dxa"/>
          </w:tcPr>
          <w:p w14:paraId="7E7D5500" w14:textId="675652FB" w:rsidR="00450062" w:rsidRPr="006D7B74" w:rsidRDefault="006D7B74" w:rsidP="00083F5C">
            <w:pPr>
              <w:spacing w:line="360" w:lineRule="auto"/>
              <w:rPr>
                <w:b/>
                <w:bCs/>
              </w:rPr>
            </w:pPr>
            <w:r>
              <w:rPr>
                <w:smallCaps/>
              </w:rPr>
              <w:t xml:space="preserve">            </w:t>
            </w:r>
            <w:r w:rsidR="00450062" w:rsidRPr="006D7B74">
              <w:rPr>
                <w:b/>
                <w:bCs/>
                <w:smallCaps/>
              </w:rPr>
              <w:t>Predmet</w:t>
            </w:r>
            <w:r w:rsidR="00450062" w:rsidRPr="006D7B74">
              <w:rPr>
                <w:b/>
                <w:bCs/>
              </w:rPr>
              <w:t>:</w:t>
            </w:r>
          </w:p>
        </w:tc>
        <w:tc>
          <w:tcPr>
            <w:tcW w:w="7229" w:type="dxa"/>
          </w:tcPr>
          <w:p w14:paraId="1DC2F2FD" w14:textId="2599346C" w:rsidR="00450062" w:rsidRPr="00831D87" w:rsidRDefault="006D7B74" w:rsidP="006D7B74">
            <w:pPr>
              <w:spacing w:line="360" w:lineRule="auto"/>
              <w:jc w:val="both"/>
            </w:pPr>
            <w:r>
              <w:t xml:space="preserve">Nacrt </w:t>
            </w:r>
            <w:r w:rsidR="00007508">
              <w:t xml:space="preserve">konačnog </w:t>
            </w:r>
            <w:r>
              <w:t>prijedloga zakona o provedbi Uredbe (EU) 202</w:t>
            </w:r>
            <w:r w:rsidR="009E147D">
              <w:t>4</w:t>
            </w:r>
            <w:r>
              <w:t>/1787 o smanjenju emisija metana u energetskom sektoru</w:t>
            </w:r>
          </w:p>
        </w:tc>
      </w:tr>
    </w:tbl>
    <w:p w14:paraId="59D143C3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4C21820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3C863FDA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54C6AF6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5FB00DE5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01202AE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4DFD83AF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11B1AC71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3FB1EF9D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14:paraId="28421D3F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3201BA38" w14:textId="77777777" w:rsidR="00C66ADD" w:rsidRDefault="00C66ADD" w:rsidP="00450062">
      <w:pPr>
        <w:rPr>
          <w:rFonts w:eastAsia="Calibri"/>
          <w:sz w:val="28"/>
          <w:szCs w:val="28"/>
        </w:rPr>
      </w:pPr>
    </w:p>
    <w:p w14:paraId="178E6F2C" w14:textId="77777777" w:rsidR="0001736E" w:rsidRDefault="0001736E" w:rsidP="00450062">
      <w:pPr>
        <w:rPr>
          <w:rFonts w:eastAsia="Calibri"/>
          <w:sz w:val="28"/>
          <w:szCs w:val="28"/>
        </w:rPr>
      </w:pPr>
    </w:p>
    <w:p w14:paraId="66F78067" w14:textId="77777777" w:rsidR="00C66ADD" w:rsidRPr="00831D87" w:rsidRDefault="00C66ADD" w:rsidP="00450062">
      <w:pPr>
        <w:rPr>
          <w:rFonts w:eastAsia="Calibri"/>
          <w:sz w:val="28"/>
          <w:szCs w:val="28"/>
        </w:rPr>
      </w:pPr>
    </w:p>
    <w:p w14:paraId="7A5B8DA2" w14:textId="77777777" w:rsidR="00450062" w:rsidRPr="00831D87" w:rsidRDefault="00450062" w:rsidP="00450062">
      <w:pPr>
        <w:rPr>
          <w:rFonts w:eastAsia="Calibri"/>
          <w:sz w:val="28"/>
          <w:szCs w:val="28"/>
        </w:rPr>
      </w:pPr>
    </w:p>
    <w:p w14:paraId="7A0CFD8B" w14:textId="176EBEF9" w:rsidR="00397403" w:rsidRDefault="00450062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</w:t>
      </w:r>
      <w:r w:rsidR="00C5134D">
        <w:rPr>
          <w:rFonts w:eastAsia="Calibri"/>
          <w:color w:val="404040"/>
          <w:spacing w:val="20"/>
          <w:sz w:val="20"/>
          <w:szCs w:val="20"/>
        </w:rPr>
        <w:t>r</w:t>
      </w:r>
    </w:p>
    <w:p w14:paraId="38D18010" w14:textId="77777777" w:rsidR="00A034F3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7B605754" w14:textId="77777777" w:rsidR="00A034F3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25A02826" w14:textId="77777777" w:rsidR="00A034F3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509220B6" w14:textId="77777777" w:rsidR="00A034F3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6FFC5FB8" w14:textId="77777777" w:rsidR="00A034F3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1CD3D41C" w14:textId="77777777" w:rsidR="00A034F3" w:rsidRPr="00C83AAD" w:rsidRDefault="00A034F3" w:rsidP="00C83AAD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</w:p>
    <w:p w14:paraId="5BA804DB" w14:textId="62933F4B" w:rsidR="0001736E" w:rsidRDefault="0001736E" w:rsidP="0001736E">
      <w:pPr>
        <w:jc w:val="center"/>
        <w:rPr>
          <w:b/>
          <w:iCs/>
        </w:rPr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7CF223E" w14:textId="57F44255" w:rsidR="0001736E" w:rsidRPr="000B7B0F" w:rsidRDefault="00EE3DF2" w:rsidP="0001736E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MINISTARSTVO GOSPODARSTVA</w:t>
      </w:r>
    </w:p>
    <w:p w14:paraId="406198D0" w14:textId="77777777" w:rsidR="0001736E" w:rsidRDefault="0001736E" w:rsidP="0001736E">
      <w:pPr>
        <w:jc w:val="center"/>
        <w:rPr>
          <w:b/>
          <w:bCs/>
        </w:rPr>
      </w:pPr>
    </w:p>
    <w:p w14:paraId="476634D2" w14:textId="76328AE9" w:rsidR="0015430D" w:rsidRPr="000B7B0F" w:rsidRDefault="0015430D" w:rsidP="00053E76">
      <w:pPr>
        <w:jc w:val="right"/>
        <w:rPr>
          <w:b/>
          <w:bCs/>
        </w:rPr>
      </w:pPr>
      <w:r>
        <w:rPr>
          <w:b/>
          <w:bCs/>
        </w:rPr>
        <w:t>NACRT</w:t>
      </w:r>
    </w:p>
    <w:p w14:paraId="7B3039CD" w14:textId="77777777" w:rsidR="0001736E" w:rsidRPr="000B7B0F" w:rsidRDefault="0001736E" w:rsidP="0001736E">
      <w:pPr>
        <w:jc w:val="center"/>
        <w:rPr>
          <w:b/>
          <w:bCs/>
        </w:rPr>
      </w:pPr>
    </w:p>
    <w:p w14:paraId="0426704D" w14:textId="77777777" w:rsidR="0001736E" w:rsidRDefault="0001736E" w:rsidP="0001736E">
      <w:pPr>
        <w:jc w:val="center"/>
        <w:rPr>
          <w:b/>
          <w:bCs/>
        </w:rPr>
      </w:pPr>
    </w:p>
    <w:p w14:paraId="51AEF324" w14:textId="77777777" w:rsidR="0001736E" w:rsidRDefault="0001736E" w:rsidP="0001736E">
      <w:pPr>
        <w:jc w:val="center"/>
        <w:rPr>
          <w:b/>
          <w:bCs/>
        </w:rPr>
      </w:pPr>
    </w:p>
    <w:p w14:paraId="3FB29C9F" w14:textId="77777777" w:rsidR="0001736E" w:rsidRDefault="0001736E" w:rsidP="0001736E">
      <w:pPr>
        <w:jc w:val="center"/>
        <w:rPr>
          <w:b/>
          <w:bCs/>
        </w:rPr>
      </w:pPr>
    </w:p>
    <w:p w14:paraId="422F52DB" w14:textId="77777777" w:rsidR="0001736E" w:rsidRDefault="0001736E" w:rsidP="0001736E">
      <w:pPr>
        <w:jc w:val="center"/>
        <w:rPr>
          <w:b/>
          <w:bCs/>
        </w:rPr>
      </w:pPr>
    </w:p>
    <w:p w14:paraId="2C8A8642" w14:textId="77777777" w:rsidR="0001736E" w:rsidRDefault="0001736E" w:rsidP="0001736E">
      <w:pPr>
        <w:jc w:val="center"/>
        <w:rPr>
          <w:b/>
          <w:bCs/>
        </w:rPr>
      </w:pPr>
    </w:p>
    <w:p w14:paraId="594D5EA1" w14:textId="77777777" w:rsidR="0001736E" w:rsidRPr="000B7B0F" w:rsidRDefault="0001736E" w:rsidP="0001736E">
      <w:pPr>
        <w:jc w:val="center"/>
        <w:rPr>
          <w:b/>
          <w:bCs/>
        </w:rPr>
      </w:pPr>
    </w:p>
    <w:p w14:paraId="0834195D" w14:textId="77777777" w:rsidR="0001736E" w:rsidRPr="000B7B0F" w:rsidRDefault="0001736E" w:rsidP="0001736E">
      <w:pPr>
        <w:jc w:val="center"/>
        <w:rPr>
          <w:b/>
          <w:bCs/>
        </w:rPr>
      </w:pPr>
    </w:p>
    <w:p w14:paraId="51BDB437" w14:textId="77777777" w:rsidR="0001736E" w:rsidRPr="000B7B0F" w:rsidRDefault="0001736E" w:rsidP="0001736E">
      <w:pPr>
        <w:jc w:val="center"/>
        <w:rPr>
          <w:b/>
          <w:bCs/>
        </w:rPr>
      </w:pPr>
    </w:p>
    <w:p w14:paraId="75B77AFE" w14:textId="77777777" w:rsidR="0001736E" w:rsidRPr="000B7B0F" w:rsidRDefault="0001736E" w:rsidP="0001736E">
      <w:pPr>
        <w:jc w:val="center"/>
        <w:rPr>
          <w:b/>
          <w:bCs/>
        </w:rPr>
      </w:pPr>
    </w:p>
    <w:p w14:paraId="1AF65A63" w14:textId="77777777" w:rsidR="0001736E" w:rsidRPr="000B7B0F" w:rsidRDefault="0001736E" w:rsidP="0001736E">
      <w:pPr>
        <w:jc w:val="center"/>
        <w:rPr>
          <w:b/>
          <w:bCs/>
        </w:rPr>
      </w:pPr>
    </w:p>
    <w:p w14:paraId="77F64208" w14:textId="77777777" w:rsidR="0001736E" w:rsidRPr="000B7B0F" w:rsidRDefault="0001736E" w:rsidP="0001736E">
      <w:pPr>
        <w:jc w:val="center"/>
        <w:rPr>
          <w:b/>
          <w:bCs/>
        </w:rPr>
      </w:pPr>
    </w:p>
    <w:p w14:paraId="3D502458" w14:textId="0F2C44B6" w:rsidR="0001736E" w:rsidRPr="00336D0B" w:rsidRDefault="007972E8" w:rsidP="0001736E">
      <w:pPr>
        <w:jc w:val="center"/>
        <w:rPr>
          <w:b/>
          <w:bCs/>
        </w:rPr>
      </w:pPr>
      <w:r>
        <w:rPr>
          <w:b/>
          <w:bCs/>
        </w:rPr>
        <w:t xml:space="preserve">KONAČNI </w:t>
      </w:r>
      <w:r w:rsidR="0001736E" w:rsidRPr="00DA39AE">
        <w:rPr>
          <w:b/>
          <w:bCs/>
        </w:rPr>
        <w:t xml:space="preserve">PRIJEDLOG ZAKONA O PROVEDBI UREDBE (EU) 2024/1787  O </w:t>
      </w:r>
      <w:r w:rsidR="0001736E" w:rsidRPr="00DA39AE">
        <w:rPr>
          <w:b/>
          <w:bCs/>
          <w:color w:val="000000"/>
        </w:rPr>
        <w:t>SMANJENJU EMISIJA METANA U ENERGETSKOM SEKTORU</w:t>
      </w:r>
    </w:p>
    <w:p w14:paraId="468F0C20" w14:textId="77777777" w:rsidR="0001736E" w:rsidRPr="000B7B0F" w:rsidRDefault="0001736E" w:rsidP="0001736E">
      <w:pPr>
        <w:jc w:val="center"/>
        <w:rPr>
          <w:b/>
          <w:bCs/>
        </w:rPr>
      </w:pPr>
    </w:p>
    <w:p w14:paraId="78D0FE64" w14:textId="77777777" w:rsidR="0001736E" w:rsidRPr="000B7B0F" w:rsidRDefault="0001736E" w:rsidP="0001736E">
      <w:pPr>
        <w:jc w:val="center"/>
        <w:rPr>
          <w:b/>
          <w:bCs/>
        </w:rPr>
      </w:pPr>
    </w:p>
    <w:p w14:paraId="04BC2935" w14:textId="77777777" w:rsidR="0001736E" w:rsidRPr="000B7B0F" w:rsidRDefault="0001736E" w:rsidP="0001736E">
      <w:pPr>
        <w:jc w:val="center"/>
        <w:rPr>
          <w:b/>
          <w:bCs/>
        </w:rPr>
      </w:pPr>
    </w:p>
    <w:p w14:paraId="418598DE" w14:textId="77777777" w:rsidR="0001736E" w:rsidRPr="000B7B0F" w:rsidRDefault="0001736E" w:rsidP="0001736E">
      <w:pPr>
        <w:rPr>
          <w:b/>
          <w:bCs/>
        </w:rPr>
      </w:pPr>
    </w:p>
    <w:p w14:paraId="3D46427B" w14:textId="77777777" w:rsidR="0001736E" w:rsidRPr="000B7B0F" w:rsidRDefault="0001736E" w:rsidP="0001736E">
      <w:pPr>
        <w:jc w:val="center"/>
        <w:rPr>
          <w:b/>
          <w:bCs/>
        </w:rPr>
      </w:pPr>
    </w:p>
    <w:p w14:paraId="4B714D9D" w14:textId="77777777" w:rsidR="0001736E" w:rsidRPr="000B7B0F" w:rsidRDefault="0001736E" w:rsidP="0001736E">
      <w:pPr>
        <w:jc w:val="center"/>
        <w:rPr>
          <w:b/>
          <w:bCs/>
        </w:rPr>
      </w:pPr>
    </w:p>
    <w:p w14:paraId="54BB4D36" w14:textId="77777777" w:rsidR="0001736E" w:rsidRPr="000B7B0F" w:rsidRDefault="0001736E" w:rsidP="0001736E">
      <w:pPr>
        <w:jc w:val="center"/>
        <w:rPr>
          <w:b/>
          <w:bCs/>
        </w:rPr>
      </w:pPr>
    </w:p>
    <w:p w14:paraId="308DEDE7" w14:textId="77777777" w:rsidR="0001736E" w:rsidRDefault="0001736E" w:rsidP="0001736E">
      <w:pPr>
        <w:jc w:val="center"/>
        <w:rPr>
          <w:b/>
          <w:bCs/>
        </w:rPr>
      </w:pPr>
    </w:p>
    <w:p w14:paraId="4FEC963A" w14:textId="77777777" w:rsidR="0001736E" w:rsidRDefault="0001736E" w:rsidP="0001736E">
      <w:pPr>
        <w:jc w:val="center"/>
        <w:rPr>
          <w:b/>
          <w:bCs/>
        </w:rPr>
      </w:pPr>
    </w:p>
    <w:p w14:paraId="424C0AB5" w14:textId="77777777" w:rsidR="0001736E" w:rsidRDefault="0001736E" w:rsidP="0001736E">
      <w:pPr>
        <w:jc w:val="center"/>
        <w:rPr>
          <w:b/>
          <w:bCs/>
        </w:rPr>
      </w:pPr>
    </w:p>
    <w:p w14:paraId="7A43A136" w14:textId="77777777" w:rsidR="0001736E" w:rsidRDefault="0001736E" w:rsidP="0001736E">
      <w:pPr>
        <w:jc w:val="center"/>
        <w:rPr>
          <w:b/>
          <w:bCs/>
        </w:rPr>
      </w:pPr>
    </w:p>
    <w:p w14:paraId="0F8C7E32" w14:textId="77777777" w:rsidR="0001736E" w:rsidRDefault="0001736E" w:rsidP="0001736E">
      <w:pPr>
        <w:jc w:val="center"/>
        <w:rPr>
          <w:b/>
          <w:bCs/>
        </w:rPr>
      </w:pPr>
    </w:p>
    <w:p w14:paraId="1BD1F518" w14:textId="77777777" w:rsidR="0001736E" w:rsidRDefault="0001736E" w:rsidP="0001736E">
      <w:pPr>
        <w:jc w:val="center"/>
        <w:rPr>
          <w:b/>
          <w:bCs/>
        </w:rPr>
      </w:pPr>
    </w:p>
    <w:p w14:paraId="60B464A5" w14:textId="77777777" w:rsidR="0001736E" w:rsidRDefault="0001736E" w:rsidP="0001736E">
      <w:pPr>
        <w:jc w:val="center"/>
        <w:rPr>
          <w:b/>
          <w:bCs/>
        </w:rPr>
      </w:pPr>
    </w:p>
    <w:p w14:paraId="0386005C" w14:textId="77777777" w:rsidR="0001736E" w:rsidRDefault="0001736E" w:rsidP="0001736E">
      <w:pPr>
        <w:jc w:val="center"/>
        <w:rPr>
          <w:b/>
          <w:bCs/>
        </w:rPr>
      </w:pPr>
    </w:p>
    <w:p w14:paraId="46C88AE9" w14:textId="77777777" w:rsidR="0001736E" w:rsidRDefault="0001736E" w:rsidP="0001736E">
      <w:pPr>
        <w:jc w:val="center"/>
        <w:rPr>
          <w:b/>
          <w:bCs/>
        </w:rPr>
      </w:pPr>
    </w:p>
    <w:p w14:paraId="1685DD0C" w14:textId="77777777" w:rsidR="0001736E" w:rsidRDefault="0001736E" w:rsidP="0001736E">
      <w:pPr>
        <w:jc w:val="center"/>
        <w:rPr>
          <w:b/>
          <w:bCs/>
        </w:rPr>
      </w:pPr>
    </w:p>
    <w:p w14:paraId="287DC504" w14:textId="77777777" w:rsidR="0001736E" w:rsidRDefault="0001736E" w:rsidP="0001736E">
      <w:pPr>
        <w:jc w:val="center"/>
        <w:rPr>
          <w:b/>
          <w:bCs/>
        </w:rPr>
      </w:pPr>
    </w:p>
    <w:p w14:paraId="7BFBF202" w14:textId="77777777" w:rsidR="0001736E" w:rsidRDefault="0001736E" w:rsidP="0001736E">
      <w:pPr>
        <w:jc w:val="center"/>
        <w:rPr>
          <w:b/>
          <w:bCs/>
        </w:rPr>
      </w:pPr>
    </w:p>
    <w:p w14:paraId="0B80227A" w14:textId="77777777" w:rsidR="0001736E" w:rsidRDefault="0001736E" w:rsidP="0001736E">
      <w:pPr>
        <w:jc w:val="center"/>
        <w:rPr>
          <w:b/>
          <w:bCs/>
        </w:rPr>
      </w:pPr>
    </w:p>
    <w:p w14:paraId="4DB75D97" w14:textId="77777777" w:rsidR="0001736E" w:rsidRPr="000B7B0F" w:rsidRDefault="0001736E" w:rsidP="0001736E">
      <w:pPr>
        <w:rPr>
          <w:b/>
          <w:bCs/>
        </w:rPr>
      </w:pPr>
    </w:p>
    <w:p w14:paraId="0E8E3756" w14:textId="77777777" w:rsidR="0001736E" w:rsidRDefault="0001736E" w:rsidP="0001736E">
      <w:pPr>
        <w:jc w:val="center"/>
        <w:rPr>
          <w:b/>
          <w:bCs/>
        </w:rPr>
      </w:pPr>
    </w:p>
    <w:p w14:paraId="794B6CA2" w14:textId="77777777" w:rsidR="0001736E" w:rsidRDefault="0001736E" w:rsidP="0001736E">
      <w:pPr>
        <w:jc w:val="center"/>
        <w:rPr>
          <w:b/>
          <w:bCs/>
        </w:rPr>
      </w:pPr>
    </w:p>
    <w:p w14:paraId="4EEFBF38" w14:textId="77777777" w:rsidR="005854E6" w:rsidRDefault="005854E6" w:rsidP="0001736E">
      <w:pPr>
        <w:jc w:val="center"/>
        <w:rPr>
          <w:b/>
          <w:bCs/>
        </w:rPr>
      </w:pPr>
    </w:p>
    <w:p w14:paraId="12DDC9A8" w14:textId="77777777" w:rsidR="005854E6" w:rsidRDefault="005854E6" w:rsidP="0001736E">
      <w:pPr>
        <w:jc w:val="center"/>
        <w:rPr>
          <w:b/>
          <w:bCs/>
        </w:rPr>
      </w:pPr>
    </w:p>
    <w:p w14:paraId="1CD29095" w14:textId="77777777" w:rsidR="005854E6" w:rsidRDefault="005854E6" w:rsidP="0001736E">
      <w:pPr>
        <w:jc w:val="center"/>
        <w:rPr>
          <w:b/>
          <w:bCs/>
        </w:rPr>
      </w:pPr>
    </w:p>
    <w:p w14:paraId="70B695C8" w14:textId="77777777" w:rsidR="00397403" w:rsidRDefault="00397403" w:rsidP="0001736E">
      <w:pPr>
        <w:jc w:val="center"/>
        <w:rPr>
          <w:b/>
          <w:bCs/>
        </w:rPr>
      </w:pPr>
    </w:p>
    <w:p w14:paraId="40E0821D" w14:textId="77777777" w:rsidR="00397403" w:rsidRDefault="00397403" w:rsidP="00C83AAD">
      <w:pPr>
        <w:rPr>
          <w:b/>
          <w:bCs/>
        </w:rPr>
      </w:pPr>
    </w:p>
    <w:p w14:paraId="24A11FAB" w14:textId="77777777" w:rsidR="00334DE9" w:rsidRDefault="00334DE9" w:rsidP="00C83AAD">
      <w:pPr>
        <w:rPr>
          <w:b/>
          <w:bCs/>
        </w:rPr>
      </w:pPr>
    </w:p>
    <w:p w14:paraId="02B19BA2" w14:textId="77777777" w:rsidR="00334DE9" w:rsidRDefault="00334DE9" w:rsidP="00C83AAD">
      <w:pPr>
        <w:rPr>
          <w:b/>
          <w:bCs/>
        </w:rPr>
      </w:pPr>
    </w:p>
    <w:p w14:paraId="5D937557" w14:textId="77777777" w:rsidR="0001736E" w:rsidRPr="000B7B0F" w:rsidRDefault="0001736E" w:rsidP="0001736E">
      <w:pPr>
        <w:jc w:val="center"/>
        <w:rPr>
          <w:b/>
          <w:bCs/>
        </w:rPr>
      </w:pPr>
    </w:p>
    <w:p w14:paraId="7D09796C" w14:textId="77777777" w:rsidR="0001736E" w:rsidRPr="000B7B0F" w:rsidRDefault="0001736E" w:rsidP="0001736E">
      <w:pPr>
        <w:pBdr>
          <w:bottom w:val="single" w:sz="12" w:space="1" w:color="auto"/>
        </w:pBdr>
        <w:jc w:val="center"/>
        <w:rPr>
          <w:b/>
          <w:bCs/>
        </w:rPr>
      </w:pPr>
    </w:p>
    <w:p w14:paraId="3FCB1CBB" w14:textId="2DFBC7C4" w:rsidR="00397403" w:rsidRDefault="0001736E" w:rsidP="00855C80">
      <w:pPr>
        <w:jc w:val="center"/>
        <w:rPr>
          <w:b/>
          <w:bCs/>
        </w:rPr>
      </w:pPr>
      <w:r w:rsidRPr="0001002A">
        <w:rPr>
          <w:b/>
          <w:bCs/>
        </w:rPr>
        <w:t xml:space="preserve">Zagreb, </w:t>
      </w:r>
      <w:r w:rsidR="00EE6D0C">
        <w:rPr>
          <w:b/>
          <w:bCs/>
        </w:rPr>
        <w:t xml:space="preserve"> </w:t>
      </w:r>
      <w:r w:rsidR="00324C19" w:rsidRPr="002C3E04">
        <w:rPr>
          <w:b/>
          <w:bCs/>
        </w:rPr>
        <w:t>veljača</w:t>
      </w:r>
      <w:r>
        <w:rPr>
          <w:b/>
          <w:bCs/>
        </w:rPr>
        <w:t xml:space="preserve"> </w:t>
      </w:r>
      <w:r w:rsidRPr="0001002A">
        <w:rPr>
          <w:b/>
          <w:bCs/>
        </w:rPr>
        <w:t>202</w:t>
      </w:r>
      <w:r w:rsidR="007972E8">
        <w:rPr>
          <w:b/>
          <w:bCs/>
        </w:rPr>
        <w:t>6</w:t>
      </w:r>
      <w:r w:rsidRPr="000B7B0F">
        <w:rPr>
          <w:b/>
          <w:bCs/>
        </w:rPr>
        <w:t>.</w:t>
      </w:r>
    </w:p>
    <w:p w14:paraId="5C5F4E53" w14:textId="77777777" w:rsidR="00A034F3" w:rsidRDefault="00A034F3" w:rsidP="00855C80">
      <w:pPr>
        <w:jc w:val="center"/>
        <w:rPr>
          <w:b/>
          <w:bCs/>
        </w:rPr>
      </w:pPr>
    </w:p>
    <w:p w14:paraId="4C5485E8" w14:textId="77777777" w:rsidR="00A034F3" w:rsidRDefault="00A034F3" w:rsidP="00855C80">
      <w:pPr>
        <w:jc w:val="center"/>
        <w:rPr>
          <w:b/>
          <w:bCs/>
        </w:rPr>
      </w:pPr>
    </w:p>
    <w:p w14:paraId="0C4ACCCA" w14:textId="77777777" w:rsidR="00A034F3" w:rsidRDefault="00A034F3" w:rsidP="00855C80">
      <w:pPr>
        <w:jc w:val="center"/>
        <w:rPr>
          <w:b/>
          <w:bCs/>
        </w:rPr>
      </w:pPr>
    </w:p>
    <w:p w14:paraId="300B25B9" w14:textId="77777777" w:rsidR="005613CD" w:rsidRDefault="005613CD" w:rsidP="00855C80">
      <w:pPr>
        <w:jc w:val="center"/>
        <w:rPr>
          <w:b/>
          <w:bCs/>
        </w:rPr>
      </w:pPr>
    </w:p>
    <w:p w14:paraId="7696FDDE" w14:textId="77777777" w:rsidR="005613CD" w:rsidRDefault="005613CD" w:rsidP="00855C80">
      <w:pPr>
        <w:jc w:val="center"/>
        <w:rPr>
          <w:b/>
          <w:bCs/>
        </w:rPr>
      </w:pPr>
    </w:p>
    <w:p w14:paraId="102470BE" w14:textId="60DAAA7B" w:rsidR="0001736E" w:rsidRDefault="00397403" w:rsidP="0001736E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KONAČNI </w:t>
      </w:r>
      <w:r w:rsidR="0001736E" w:rsidRPr="00DA39AE">
        <w:rPr>
          <w:b/>
          <w:bCs/>
        </w:rPr>
        <w:t xml:space="preserve">PRIJEDLOG ZAKONA O PROVEDBI UREDBE (EU) 2024/1787  O </w:t>
      </w:r>
      <w:r w:rsidR="0001736E" w:rsidRPr="00DA39AE">
        <w:rPr>
          <w:b/>
          <w:bCs/>
          <w:color w:val="000000"/>
        </w:rPr>
        <w:t>SMANJENJU EMISIJA METANA U ENERGETSKOM SEKTORU</w:t>
      </w:r>
    </w:p>
    <w:p w14:paraId="30976AA2" w14:textId="77777777" w:rsidR="0001736E" w:rsidRDefault="0001736E" w:rsidP="005D7E40">
      <w:pPr>
        <w:rPr>
          <w:b/>
          <w:bCs/>
        </w:rPr>
      </w:pPr>
    </w:p>
    <w:p w14:paraId="2A119D19" w14:textId="77777777" w:rsidR="003A01D5" w:rsidRDefault="003A01D5" w:rsidP="0001736E">
      <w:pPr>
        <w:jc w:val="center"/>
        <w:rPr>
          <w:b/>
          <w:bCs/>
        </w:rPr>
      </w:pPr>
    </w:p>
    <w:p w14:paraId="16DA9EE1" w14:textId="2145CA5B" w:rsidR="0001736E" w:rsidRPr="00053E76" w:rsidRDefault="00DB0949" w:rsidP="0001736E">
      <w:pPr>
        <w:jc w:val="center"/>
      </w:pPr>
      <w:r w:rsidRPr="00053E76">
        <w:t>ODJELJAK 1.</w:t>
      </w:r>
    </w:p>
    <w:p w14:paraId="5C0DD40F" w14:textId="1CD17489" w:rsidR="0001736E" w:rsidRDefault="00DB0949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Opće odredbe</w:t>
      </w:r>
    </w:p>
    <w:p w14:paraId="198D37BE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59A023E7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>
        <w:rPr>
          <w:i/>
          <w:iCs/>
        </w:rPr>
        <w:t>Predmet Zakona</w:t>
      </w:r>
    </w:p>
    <w:p w14:paraId="3D09359F" w14:textId="6DBF9E25" w:rsidR="0001736E" w:rsidRDefault="0001736E" w:rsidP="00533DC9">
      <w:pPr>
        <w:spacing w:line="360" w:lineRule="auto"/>
        <w:jc w:val="center"/>
      </w:pPr>
      <w:r w:rsidRPr="00812353">
        <w:rPr>
          <w:b/>
          <w:bCs/>
        </w:rPr>
        <w:t>Članak 1.</w:t>
      </w:r>
    </w:p>
    <w:p w14:paraId="255AF772" w14:textId="77777777" w:rsidR="0001736E" w:rsidRDefault="0001736E" w:rsidP="0001736E">
      <w:pPr>
        <w:ind w:firstLine="708"/>
        <w:jc w:val="both"/>
      </w:pPr>
      <w:r w:rsidRPr="00611EE3">
        <w:t xml:space="preserve">Ovim Zakonom utvrđuju se nadležna tijela, ovlasti i zadaće nadležnih tijela i prekršajne odredbe za </w:t>
      </w:r>
      <w:r>
        <w:t>kršenje odredbi ovoga Zakona i uredbe Europske unije iz članka 2. ovoga Zakona</w:t>
      </w:r>
      <w:r w:rsidRPr="00611EE3">
        <w:t>.</w:t>
      </w:r>
    </w:p>
    <w:p w14:paraId="2DD38C5C" w14:textId="77777777" w:rsidR="0001736E" w:rsidRDefault="0001736E" w:rsidP="00AB145C">
      <w:pPr>
        <w:ind w:firstLine="708"/>
        <w:jc w:val="center"/>
      </w:pPr>
    </w:p>
    <w:p w14:paraId="27BC64E3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9C33CA">
        <w:rPr>
          <w:i/>
          <w:iCs/>
        </w:rPr>
        <w:t>Pravo Europske unije</w:t>
      </w:r>
    </w:p>
    <w:p w14:paraId="53F455F7" w14:textId="61315795" w:rsidR="0001736E" w:rsidRDefault="0001736E" w:rsidP="00533DC9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</w:pPr>
      <w:r w:rsidRPr="009C33CA">
        <w:rPr>
          <w:b/>
          <w:bCs/>
        </w:rPr>
        <w:t>Članak 2.</w:t>
      </w:r>
    </w:p>
    <w:p w14:paraId="5F92C889" w14:textId="77777777" w:rsidR="0001736E" w:rsidRDefault="0001736E" w:rsidP="0001736E">
      <w:pPr>
        <w:ind w:firstLine="708"/>
        <w:jc w:val="both"/>
      </w:pPr>
      <w:r w:rsidRPr="00870C91">
        <w:t xml:space="preserve">Ovim Zakonom osigurava se provedba Uredbe </w:t>
      </w:r>
      <w:r w:rsidRPr="00694736">
        <w:rPr>
          <w:color w:val="000000"/>
        </w:rPr>
        <w:t xml:space="preserve">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</w:t>
      </w:r>
      <w:r w:rsidRPr="0011185B">
        <w:rPr>
          <w:color w:val="000000"/>
        </w:rPr>
        <w:t>942</w:t>
      </w:r>
      <w:r w:rsidRPr="0011185B">
        <w:t xml:space="preserve"> </w:t>
      </w:r>
      <w:r w:rsidRPr="0001002A">
        <w:t>(SL L</w:t>
      </w:r>
      <w:r>
        <w:t xml:space="preserve"> 2024/1787</w:t>
      </w:r>
      <w:r w:rsidRPr="0001002A">
        <w:t>,</w:t>
      </w:r>
      <w:r w:rsidRPr="0011185B">
        <w:t xml:space="preserve"> 15</w:t>
      </w:r>
      <w:r w:rsidRPr="00870C91">
        <w:t>.7.202</w:t>
      </w:r>
      <w:r>
        <w:t>4.</w:t>
      </w:r>
      <w:r w:rsidRPr="00870C91">
        <w:t xml:space="preserve">) (u daljnjem tekstu: Uredba (EU) </w:t>
      </w:r>
      <w:r>
        <w:t>2024/1787</w:t>
      </w:r>
      <w:r w:rsidRPr="00870C91">
        <w:t>).</w:t>
      </w:r>
    </w:p>
    <w:p w14:paraId="1D2412FA" w14:textId="77777777" w:rsidR="0001736E" w:rsidRDefault="0001736E" w:rsidP="0001736E">
      <w:pPr>
        <w:ind w:firstLine="708"/>
        <w:jc w:val="both"/>
      </w:pPr>
    </w:p>
    <w:p w14:paraId="61FDF8B0" w14:textId="77777777" w:rsidR="0001736E" w:rsidRPr="00B05C1F" w:rsidRDefault="0001736E" w:rsidP="0001736E">
      <w:pPr>
        <w:jc w:val="center"/>
        <w:rPr>
          <w:i/>
          <w:iCs/>
        </w:rPr>
      </w:pPr>
      <w:r w:rsidRPr="00B05C1F">
        <w:rPr>
          <w:i/>
          <w:iCs/>
        </w:rPr>
        <w:t>Područje primjene Zakona</w:t>
      </w:r>
    </w:p>
    <w:p w14:paraId="673A74FE" w14:textId="77777777" w:rsidR="0001736E" w:rsidRDefault="0001736E" w:rsidP="0001736E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48A7142E" w14:textId="77777777" w:rsidR="0001736E" w:rsidRDefault="0001736E" w:rsidP="0001736E">
      <w:pPr>
        <w:spacing w:before="120"/>
        <w:ind w:right="-57" w:firstLine="709"/>
        <w:jc w:val="both"/>
      </w:pPr>
      <w:r w:rsidRPr="008F661B">
        <w:lastRenderedPageBreak/>
        <w:t>Ovaj Zakon se primjenjuje na područja uređ</w:t>
      </w:r>
      <w:r>
        <w:t>ena</w:t>
      </w:r>
      <w:r w:rsidRPr="008F661B">
        <w:t xml:space="preserve"> Uredb</w:t>
      </w:r>
      <w:r>
        <w:t>om</w:t>
      </w:r>
      <w:r w:rsidRPr="008F661B">
        <w:t xml:space="preserve"> (EU) 2024/1787.</w:t>
      </w:r>
    </w:p>
    <w:p w14:paraId="2A2FEAFC" w14:textId="77777777" w:rsidR="00AB145C" w:rsidRDefault="00AB145C" w:rsidP="0001736E">
      <w:pPr>
        <w:spacing w:before="120"/>
        <w:ind w:right="-57" w:firstLine="709"/>
        <w:jc w:val="both"/>
      </w:pPr>
    </w:p>
    <w:p w14:paraId="33548BCA" w14:textId="77777777" w:rsidR="0001736E" w:rsidRDefault="0001736E" w:rsidP="0001736E">
      <w:pPr>
        <w:jc w:val="center"/>
        <w:rPr>
          <w:i/>
          <w:iCs/>
        </w:rPr>
      </w:pPr>
      <w:r w:rsidRPr="008D487B">
        <w:rPr>
          <w:i/>
          <w:iCs/>
        </w:rPr>
        <w:t>Pojmovi</w:t>
      </w:r>
    </w:p>
    <w:p w14:paraId="4D838A97" w14:textId="77777777" w:rsidR="0001736E" w:rsidRPr="00FE3AEB" w:rsidRDefault="0001736E" w:rsidP="0001736E">
      <w:pPr>
        <w:spacing w:line="360" w:lineRule="auto"/>
        <w:jc w:val="center"/>
        <w:rPr>
          <w:b/>
          <w:bCs/>
        </w:rPr>
      </w:pPr>
      <w:r w:rsidRPr="00FE3AEB">
        <w:rPr>
          <w:b/>
          <w:bCs/>
        </w:rPr>
        <w:t xml:space="preserve">Članak </w:t>
      </w:r>
      <w:r>
        <w:rPr>
          <w:b/>
          <w:bCs/>
        </w:rPr>
        <w:t>4</w:t>
      </w:r>
      <w:r w:rsidRPr="00FE3AEB">
        <w:rPr>
          <w:b/>
          <w:bCs/>
        </w:rPr>
        <w:t>.</w:t>
      </w:r>
    </w:p>
    <w:p w14:paraId="4A68A443" w14:textId="77777777" w:rsidR="0001736E" w:rsidRPr="00961C72" w:rsidRDefault="0001736E" w:rsidP="00821FE7">
      <w:pPr>
        <w:pStyle w:val="box4724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61C72">
        <w:t>U smislu ovoga Zakona pojedini pojmovi imaju sljedeće značenje:</w:t>
      </w:r>
    </w:p>
    <w:p w14:paraId="2B727D47" w14:textId="77777777" w:rsidR="0001736E" w:rsidRPr="00961C72" w:rsidRDefault="0001736E" w:rsidP="0001736E">
      <w:pPr>
        <w:pStyle w:val="box472414"/>
        <w:shd w:val="clear" w:color="auto" w:fill="FFFFFF"/>
        <w:spacing w:before="0" w:beforeAutospacing="0" w:after="0" w:afterAutospacing="0"/>
        <w:ind w:left="-207" w:firstLine="915"/>
        <w:jc w:val="both"/>
        <w:textAlignment w:val="baseline"/>
      </w:pPr>
    </w:p>
    <w:p w14:paraId="623CC596" w14:textId="77777777" w:rsidR="0001736E" w:rsidRPr="00961C72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961C72">
        <w:t xml:space="preserve">1. </w:t>
      </w:r>
      <w:r w:rsidRPr="00961C72">
        <w:rPr>
          <w:i/>
          <w:iCs/>
        </w:rPr>
        <w:t>fosilni plin</w:t>
      </w:r>
      <w:r w:rsidRPr="00961C72">
        <w:t xml:space="preserve"> je ugljikovodični plin pridobiven iz ležišta ugljikovodika, bilo kao plin otopljen u nafti ili plin iz plinskog ležišta</w:t>
      </w:r>
    </w:p>
    <w:p w14:paraId="569C2358" w14:textId="77777777" w:rsidR="0001736E" w:rsidRPr="00961C72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F04C53B" w14:textId="5EACAA52" w:rsidR="0001736E" w:rsidRPr="00961C72" w:rsidRDefault="002462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961C72">
        <w:t>2</w:t>
      </w:r>
      <w:r w:rsidR="0001736E" w:rsidRPr="00961C72">
        <w:t xml:space="preserve">. </w:t>
      </w:r>
      <w:r w:rsidR="0001736E" w:rsidRPr="00961C72">
        <w:rPr>
          <w:i/>
          <w:iCs/>
        </w:rPr>
        <w:t>LDAR</w:t>
      </w:r>
      <w:r w:rsidR="0001736E" w:rsidRPr="00961C72">
        <w:t xml:space="preserve"> (engl. </w:t>
      </w:r>
      <w:proofErr w:type="spellStart"/>
      <w:r w:rsidR="0001736E" w:rsidRPr="00961C72">
        <w:t>Leak</w:t>
      </w:r>
      <w:proofErr w:type="spellEnd"/>
      <w:r w:rsidR="0001736E" w:rsidRPr="00961C72">
        <w:t xml:space="preserve"> </w:t>
      </w:r>
      <w:proofErr w:type="spellStart"/>
      <w:r w:rsidR="0001736E" w:rsidRPr="00961C72">
        <w:t>Detection</w:t>
      </w:r>
      <w:proofErr w:type="spellEnd"/>
      <w:r w:rsidR="0001736E" w:rsidRPr="00961C72">
        <w:t xml:space="preserve"> </w:t>
      </w:r>
      <w:proofErr w:type="spellStart"/>
      <w:r w:rsidR="0001736E" w:rsidRPr="00961C72">
        <w:t>and</w:t>
      </w:r>
      <w:proofErr w:type="spellEnd"/>
      <w:r w:rsidR="0001736E" w:rsidRPr="00961C72">
        <w:t xml:space="preserve"> </w:t>
      </w:r>
      <w:proofErr w:type="spellStart"/>
      <w:r w:rsidR="0001736E" w:rsidRPr="00961C72">
        <w:t>Repair</w:t>
      </w:r>
      <w:proofErr w:type="spellEnd"/>
      <w:r w:rsidR="0001736E" w:rsidRPr="00961C72">
        <w:t>) je otkrivanje i sanacija istjecanja metana</w:t>
      </w:r>
    </w:p>
    <w:p w14:paraId="350F2F3E" w14:textId="77777777" w:rsidR="0001736E" w:rsidRPr="00961C72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6C816D2" w14:textId="210F03D4" w:rsidR="00F457D7" w:rsidRPr="00961C72" w:rsidRDefault="002462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961C72">
        <w:t>3</w:t>
      </w:r>
      <w:r w:rsidR="0001736E" w:rsidRPr="00961C72">
        <w:t xml:space="preserve">. </w:t>
      </w:r>
      <w:r w:rsidR="0001736E" w:rsidRPr="00961C72">
        <w:rPr>
          <w:i/>
          <w:iCs/>
        </w:rPr>
        <w:t>obveznici</w:t>
      </w:r>
      <w:r w:rsidR="0001736E" w:rsidRPr="00961C72">
        <w:t xml:space="preserve"> su operatori koji obavljaju djelatnosti istraživanja i eksploatacije nafte i fosilnog plina te prikupljanja i prerade fosilnog plina, operatori koji obavljaju transport i distribuciju prirodnog plina te podzemno skladištenje plina, operatori terminala za ukapljeni prirodni plin, operatori aktivnih, zatvorenih podzemnih ili napuštenih podzemnih ugljenokopa te pravne i fizičke osobe koje uvoze sirovu naftu, prirodni plin ili ugljen na tržište Republike Hrvatske</w:t>
      </w:r>
    </w:p>
    <w:p w14:paraId="22B25BB1" w14:textId="77777777" w:rsidR="00F457D7" w:rsidRPr="00961C72" w:rsidRDefault="00F457D7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29429F4" w14:textId="4488CD55" w:rsidR="0001736E" w:rsidRPr="00961C72" w:rsidRDefault="002462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961C72">
        <w:t>4</w:t>
      </w:r>
      <w:r w:rsidR="00F457D7" w:rsidRPr="00961C72">
        <w:t xml:space="preserve">. </w:t>
      </w:r>
      <w:r w:rsidR="00F457D7" w:rsidRPr="00961C72">
        <w:rPr>
          <w:i/>
          <w:iCs/>
        </w:rPr>
        <w:t>prirodni plin</w:t>
      </w:r>
      <w:r w:rsidR="00F457D7" w:rsidRPr="00961C72">
        <w:t xml:space="preserve"> je </w:t>
      </w:r>
      <w:r w:rsidR="00335D74" w:rsidRPr="00961C72">
        <w:t>plin koji je pročišćen od štetnih primjesa i zadovoljava mrežna pravila te se nalazi u transportnom i distributivnom sustavu Republike Hrvatske</w:t>
      </w:r>
      <w:r w:rsidR="0001736E" w:rsidRPr="00961C72">
        <w:t>.</w:t>
      </w:r>
    </w:p>
    <w:p w14:paraId="291A339C" w14:textId="77777777" w:rsidR="0001736E" w:rsidRPr="00961C72" w:rsidRDefault="0001736E" w:rsidP="00821FE7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right="-58" w:firstLine="708"/>
        <w:contextualSpacing w:val="0"/>
        <w:jc w:val="both"/>
      </w:pPr>
      <w:r w:rsidRPr="00961C72">
        <w:t xml:space="preserve">Ostali pojmovi u ovome Zakonu imaju jednako značenje kao pojmovi definirani u Uredbi (EU) 2024/1787. </w:t>
      </w:r>
    </w:p>
    <w:p w14:paraId="6D3AA376" w14:textId="77777777" w:rsidR="0001736E" w:rsidRPr="00961C72" w:rsidRDefault="0001736E" w:rsidP="00821FE7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right="-58" w:firstLine="708"/>
        <w:contextualSpacing w:val="0"/>
        <w:jc w:val="both"/>
      </w:pPr>
      <w:r w:rsidRPr="00961C72">
        <w:t>Izrazi koji se koriste u ovome Zakonu, a imaju rodno značenje odnose se jednako na muški i ženski rod.</w:t>
      </w:r>
    </w:p>
    <w:p w14:paraId="402A4D6E" w14:textId="77777777" w:rsidR="003A01D5" w:rsidRDefault="003A01D5" w:rsidP="0001736E">
      <w:pPr>
        <w:spacing w:before="120" w:after="120"/>
        <w:ind w:right="-58"/>
        <w:jc w:val="both"/>
        <w:rPr>
          <w:sz w:val="22"/>
          <w:szCs w:val="22"/>
        </w:rPr>
      </w:pPr>
    </w:p>
    <w:p w14:paraId="0884A204" w14:textId="77777777" w:rsidR="005613CD" w:rsidRDefault="005613CD" w:rsidP="005D1133">
      <w:pPr>
        <w:pStyle w:val="box472414"/>
        <w:shd w:val="clear" w:color="auto" w:fill="FFFFFF"/>
        <w:spacing w:before="0" w:beforeAutospacing="0" w:after="0" w:afterAutospacing="0"/>
        <w:textAlignment w:val="baseline"/>
      </w:pPr>
    </w:p>
    <w:p w14:paraId="6121749B" w14:textId="77777777" w:rsidR="005613CD" w:rsidRDefault="005613CD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C21D860" w14:textId="77777777" w:rsidR="007D4422" w:rsidRDefault="007D4422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773CAA8" w14:textId="634820DC" w:rsidR="006156CC" w:rsidRDefault="006156CC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ODJELJAK 2.</w:t>
      </w:r>
    </w:p>
    <w:p w14:paraId="57F399CB" w14:textId="46F0F8B6" w:rsidR="0001736E" w:rsidRDefault="00E870A7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N</w:t>
      </w:r>
      <w:r w:rsidR="006156CC" w:rsidRPr="009B0C22">
        <w:t>adležn</w:t>
      </w:r>
      <w:r w:rsidR="006156CC">
        <w:t>o</w:t>
      </w:r>
      <w:r w:rsidR="006156CC" w:rsidRPr="009B0C22">
        <w:t xml:space="preserve"> tijel</w:t>
      </w:r>
      <w:r w:rsidR="006156CC">
        <w:t>o, područje rada i ovlasti</w:t>
      </w:r>
    </w:p>
    <w:p w14:paraId="375FEE71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64B3BE4" w14:textId="77777777" w:rsidR="0001736E" w:rsidRPr="004D4C8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4D4C8E">
        <w:rPr>
          <w:i/>
          <w:iCs/>
        </w:rPr>
        <w:t>Nadležn</w:t>
      </w:r>
      <w:r>
        <w:rPr>
          <w:i/>
          <w:iCs/>
        </w:rPr>
        <w:t>o</w:t>
      </w:r>
      <w:r w:rsidRPr="004D4C8E">
        <w:rPr>
          <w:i/>
          <w:iCs/>
        </w:rPr>
        <w:t xml:space="preserve"> tijel</w:t>
      </w:r>
      <w:r>
        <w:rPr>
          <w:i/>
          <w:iCs/>
        </w:rPr>
        <w:t>o</w:t>
      </w:r>
      <w:r w:rsidRPr="004D4C8E">
        <w:rPr>
          <w:i/>
          <w:iCs/>
        </w:rPr>
        <w:t xml:space="preserve"> </w:t>
      </w:r>
    </w:p>
    <w:p w14:paraId="3F4587AC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 w:rsidRPr="004D4C8E">
        <w:rPr>
          <w:b/>
          <w:bCs/>
        </w:rPr>
        <w:t xml:space="preserve">Članak </w:t>
      </w:r>
      <w:r>
        <w:rPr>
          <w:b/>
          <w:bCs/>
        </w:rPr>
        <w:t>5</w:t>
      </w:r>
      <w:r w:rsidRPr="004D4C8E">
        <w:rPr>
          <w:b/>
          <w:bCs/>
        </w:rPr>
        <w:t xml:space="preserve">. </w:t>
      </w:r>
    </w:p>
    <w:p w14:paraId="6972B669" w14:textId="536E2062" w:rsidR="0001736E" w:rsidRDefault="0001736E" w:rsidP="0001736E">
      <w:pPr>
        <w:spacing w:before="120" w:after="240"/>
        <w:ind w:right="-57" w:firstLine="709"/>
        <w:jc w:val="both"/>
      </w:pPr>
      <w:r>
        <w:t xml:space="preserve">(1) </w:t>
      </w:r>
      <w:r w:rsidRPr="00D77728">
        <w:t>Ministarstvo n</w:t>
      </w:r>
      <w:r>
        <w:t>adležno</w:t>
      </w:r>
      <w:r w:rsidRPr="002977BD">
        <w:t xml:space="preserve"> za energetiku</w:t>
      </w:r>
      <w:r>
        <w:t xml:space="preserve"> je nadležno tijelo </w:t>
      </w:r>
      <w:r w:rsidRPr="002977BD">
        <w:t>odgovorno za praćenje i izvršavanje pr</w:t>
      </w:r>
      <w:r>
        <w:t>ovedbe Uredbe (EU) 2024/1787</w:t>
      </w:r>
      <w:r w:rsidRPr="00F05E97">
        <w:t>.</w:t>
      </w:r>
    </w:p>
    <w:p w14:paraId="70CCCDAE" w14:textId="77777777" w:rsidR="0001736E" w:rsidRPr="002977BD" w:rsidRDefault="0001736E" w:rsidP="000504D7">
      <w:pPr>
        <w:spacing w:after="120"/>
        <w:ind w:right="-57" w:firstLine="709"/>
        <w:jc w:val="both"/>
      </w:pPr>
      <w:r>
        <w:t xml:space="preserve">(2) Pri tijelu iz stavka 1. ovoga članka uspostavlja se kontaktna točka radi izvršenja zadaća iz </w:t>
      </w:r>
      <w:r w:rsidRPr="00AC71B5">
        <w:t xml:space="preserve">članka </w:t>
      </w:r>
      <w:r>
        <w:t>6</w:t>
      </w:r>
      <w:r w:rsidRPr="00AC71B5">
        <w:t>.</w:t>
      </w:r>
      <w:r>
        <w:t xml:space="preserve"> ovoga Zakona. </w:t>
      </w:r>
    </w:p>
    <w:p w14:paraId="7BFB8FDB" w14:textId="77777777" w:rsidR="0001736E" w:rsidRPr="00051E39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051E39">
        <w:rPr>
          <w:i/>
          <w:iCs/>
        </w:rPr>
        <w:t>Zadaće nadležnog tijela</w:t>
      </w:r>
    </w:p>
    <w:p w14:paraId="7CCACA4D" w14:textId="77777777" w:rsidR="0001736E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</w:pPr>
      <w:r w:rsidRPr="00051E39">
        <w:rPr>
          <w:b/>
          <w:bCs/>
        </w:rPr>
        <w:t xml:space="preserve">Članak </w:t>
      </w:r>
      <w:r>
        <w:rPr>
          <w:b/>
          <w:bCs/>
        </w:rPr>
        <w:t>6</w:t>
      </w:r>
      <w:r w:rsidRPr="00051E39">
        <w:rPr>
          <w:b/>
          <w:bCs/>
        </w:rPr>
        <w:t xml:space="preserve">. </w:t>
      </w:r>
    </w:p>
    <w:p w14:paraId="0ABFF505" w14:textId="4DCE611F" w:rsidR="0001736E" w:rsidRDefault="00236E94" w:rsidP="0001736E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firstLine="705"/>
        <w:jc w:val="both"/>
        <w:textAlignment w:val="baseline"/>
      </w:pPr>
      <w:r>
        <w:t xml:space="preserve">(1) </w:t>
      </w:r>
      <w:r w:rsidR="0001736E">
        <w:t xml:space="preserve">Nadležno tijelo iz članka 5. ovoga Zakona obavlja zadaće sukladno </w:t>
      </w:r>
      <w:r>
        <w:t xml:space="preserve">člancima 5., </w:t>
      </w:r>
      <w:r w:rsidR="0094386B">
        <w:t xml:space="preserve">7., </w:t>
      </w:r>
      <w:r>
        <w:t xml:space="preserve">12., </w:t>
      </w:r>
      <w:r w:rsidR="0094386B">
        <w:t>14., 15., 18., 20., 25., 26., 27., 28.</w:t>
      </w:r>
      <w:r w:rsidR="00F221F7">
        <w:t xml:space="preserve"> i 33. </w:t>
      </w:r>
      <w:r w:rsidR="0001736E">
        <w:t>Uredb</w:t>
      </w:r>
      <w:r w:rsidR="00F221F7">
        <w:t>e</w:t>
      </w:r>
      <w:r w:rsidR="0001736E">
        <w:t xml:space="preserve"> (EU) 2024/1787.</w:t>
      </w:r>
    </w:p>
    <w:p w14:paraId="7EE4FB5B" w14:textId="77777777" w:rsidR="0029473D" w:rsidRDefault="0029473D" w:rsidP="0001736E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firstLine="705"/>
        <w:jc w:val="both"/>
        <w:textAlignment w:val="baseline"/>
      </w:pPr>
    </w:p>
    <w:p w14:paraId="26E41C84" w14:textId="0293F442" w:rsidR="00160E40" w:rsidRDefault="0029473D" w:rsidP="009E55FF">
      <w:pPr>
        <w:ind w:firstLine="705"/>
        <w:jc w:val="both"/>
      </w:pPr>
      <w:r>
        <w:t xml:space="preserve">(2) </w:t>
      </w:r>
      <w:r w:rsidR="00FE7482">
        <w:t xml:space="preserve">Nadležno tijelo iz članka 5. ovoga Zakona </w:t>
      </w:r>
      <w:r w:rsidR="000636A6">
        <w:t xml:space="preserve">izrađuje </w:t>
      </w:r>
      <w:r w:rsidR="00BF290B">
        <w:t>plan ublažavanja</w:t>
      </w:r>
      <w:r w:rsidR="000C4783">
        <w:t xml:space="preserve"> </w:t>
      </w:r>
      <w:r w:rsidR="006A2806">
        <w:t xml:space="preserve">i </w:t>
      </w:r>
      <w:r w:rsidR="000636A6">
        <w:t xml:space="preserve">usklađuje </w:t>
      </w:r>
      <w:r w:rsidR="006A2806">
        <w:t xml:space="preserve">ga sukladno </w:t>
      </w:r>
      <w:r w:rsidR="00160E40">
        <w:t>Uredb</w:t>
      </w:r>
      <w:r w:rsidR="006A2806">
        <w:t>i</w:t>
      </w:r>
      <w:r w:rsidR="00160E40">
        <w:t xml:space="preserve"> (EU) 2024/1787.</w:t>
      </w:r>
    </w:p>
    <w:p w14:paraId="68226767" w14:textId="03815AA9" w:rsidR="00B650E3" w:rsidRDefault="00B650E3" w:rsidP="00961C72">
      <w:pPr>
        <w:jc w:val="both"/>
      </w:pPr>
    </w:p>
    <w:p w14:paraId="1505668D" w14:textId="410389C9" w:rsidR="00E64529" w:rsidRDefault="00961C72" w:rsidP="00961C72">
      <w:pPr>
        <w:ind w:firstLine="705"/>
        <w:jc w:val="both"/>
      </w:pPr>
      <w:r>
        <w:t xml:space="preserve">(3) </w:t>
      </w:r>
      <w:r w:rsidR="00B650E3">
        <w:t>Plan ublažavanja iz stavka 2. ovoga članka izrađuje se na temelju odluke ministra nadležnog za energetiku.</w:t>
      </w:r>
    </w:p>
    <w:p w14:paraId="2D31471D" w14:textId="77777777" w:rsidR="00B650E3" w:rsidRPr="00020F5A" w:rsidRDefault="00B650E3" w:rsidP="00730A61">
      <w:pPr>
        <w:jc w:val="both"/>
      </w:pPr>
    </w:p>
    <w:p w14:paraId="62ECE42C" w14:textId="77777777" w:rsidR="0001736E" w:rsidRPr="00F35A66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F35A66">
        <w:rPr>
          <w:i/>
          <w:iCs/>
        </w:rPr>
        <w:t>Inspekcijski nadzori</w:t>
      </w:r>
    </w:p>
    <w:p w14:paraId="34FA624C" w14:textId="77777777" w:rsidR="0001736E" w:rsidRPr="00C05C7C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FF0000"/>
        </w:rPr>
      </w:pPr>
      <w:r w:rsidRPr="00F35A66">
        <w:rPr>
          <w:b/>
          <w:bCs/>
        </w:rPr>
        <w:t xml:space="preserve">Članak </w:t>
      </w:r>
      <w:r>
        <w:rPr>
          <w:b/>
          <w:bCs/>
        </w:rPr>
        <w:t>7</w:t>
      </w:r>
      <w:r w:rsidRPr="00F35A66">
        <w:rPr>
          <w:b/>
          <w:bCs/>
        </w:rPr>
        <w:t>.</w:t>
      </w:r>
    </w:p>
    <w:p w14:paraId="0499DBA6" w14:textId="09D70E52" w:rsidR="0001736E" w:rsidRPr="009C33CA" w:rsidRDefault="0001736E" w:rsidP="00821FE7">
      <w:pPr>
        <w:pStyle w:val="box47241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 xml:space="preserve">Inspekcijski nadzor nad primjenom ovoga Zakona i Uredbe (EU) 2024/1787 u dijelu koji se odnosi na </w:t>
      </w:r>
      <w:r w:rsidRPr="0035468D">
        <w:rPr>
          <w:rFonts w:eastAsia="Aptos"/>
          <w:kern w:val="2"/>
          <w14:ligatures w14:val="standardContextual"/>
        </w:rPr>
        <w:t xml:space="preserve">istraživanje i eksploataciju </w:t>
      </w:r>
      <w:r w:rsidR="000F4754">
        <w:rPr>
          <w:rFonts w:eastAsia="Aptos"/>
          <w:kern w:val="2"/>
          <w14:ligatures w14:val="standardContextual"/>
        </w:rPr>
        <w:t>nafte i fosilnog plina</w:t>
      </w:r>
      <w:r>
        <w:rPr>
          <w:rFonts w:eastAsia="Aptos"/>
          <w:kern w:val="2"/>
          <w14:ligatures w14:val="standardContextual"/>
        </w:rPr>
        <w:t xml:space="preserve">, </w:t>
      </w:r>
      <w:r w:rsidRPr="0035468D">
        <w:rPr>
          <w:rFonts w:eastAsia="Aptos"/>
          <w:kern w:val="2"/>
          <w14:ligatures w14:val="standardContextual"/>
        </w:rPr>
        <w:t xml:space="preserve">sabiranje i preradu </w:t>
      </w:r>
      <w:r>
        <w:rPr>
          <w:rFonts w:eastAsia="Aptos"/>
          <w:kern w:val="2"/>
          <w14:ligatures w14:val="standardContextual"/>
        </w:rPr>
        <w:t>fosilnog</w:t>
      </w:r>
      <w:r w:rsidRPr="0035468D">
        <w:rPr>
          <w:rFonts w:eastAsia="Aptos"/>
          <w:kern w:val="2"/>
          <w14:ligatures w14:val="standardContextual"/>
        </w:rPr>
        <w:t xml:space="preserve"> plina</w:t>
      </w:r>
      <w:r>
        <w:rPr>
          <w:rFonts w:eastAsia="Aptos"/>
          <w:kern w:val="2"/>
          <w14:ligatures w14:val="standardContextual"/>
        </w:rPr>
        <w:t xml:space="preserve"> i podzemno skladištenje plina, </w:t>
      </w:r>
      <w:r w:rsidRPr="00206C0C">
        <w:rPr>
          <w:rFonts w:eastAsia="Aptos"/>
          <w:kern w:val="2"/>
          <w14:ligatures w14:val="standardContextual"/>
        </w:rPr>
        <w:t>za neaktivne,</w:t>
      </w:r>
      <w:r w:rsidRPr="0035468D">
        <w:rPr>
          <w:rFonts w:eastAsia="Aptos"/>
          <w:kern w:val="2"/>
          <w14:ligatures w14:val="standardContextual"/>
        </w:rPr>
        <w:t xml:space="preserve"> privremeno zatvorene te trajno zatvorene i napuštene bušotine</w:t>
      </w:r>
      <w:r>
        <w:rPr>
          <w:rFonts w:eastAsia="Aptos"/>
          <w:kern w:val="2"/>
          <w14:ligatures w14:val="standardContextual"/>
        </w:rPr>
        <w:t xml:space="preserve">, </w:t>
      </w:r>
      <w:r w:rsidRPr="0035468D">
        <w:rPr>
          <w:rFonts w:eastAsia="Aptos"/>
          <w:kern w:val="2"/>
          <w14:ligatures w14:val="standardContextual"/>
        </w:rPr>
        <w:t>aktivne podzemne i površinske ugljenokope, zatvorene podzemne i napuštene podzemne ugljenokope</w:t>
      </w:r>
      <w:r>
        <w:rPr>
          <w:rFonts w:eastAsia="Aptos"/>
          <w:kern w:val="2"/>
          <w14:ligatures w14:val="standardContextual"/>
        </w:rPr>
        <w:t>,</w:t>
      </w:r>
      <w:r w:rsidRPr="0035468D">
        <w:rPr>
          <w:rFonts w:eastAsia="Aptos"/>
          <w:kern w:val="2"/>
          <w14:ligatures w14:val="standardContextual"/>
        </w:rPr>
        <w:t xml:space="preserve"> </w:t>
      </w:r>
      <w:r w:rsidRPr="0035468D">
        <w:t xml:space="preserve">provodi </w:t>
      </w:r>
      <w:r w:rsidRPr="009B00DA">
        <w:t>rudarska</w:t>
      </w:r>
      <w:r w:rsidRPr="0035468D">
        <w:t xml:space="preserve"> inspekcija</w:t>
      </w:r>
      <w:r>
        <w:t xml:space="preserve"> Državnog inspektorata.</w:t>
      </w:r>
    </w:p>
    <w:p w14:paraId="1D8C2136" w14:textId="1D3075AC" w:rsidR="0001736E" w:rsidRPr="0035468D" w:rsidRDefault="0001736E" w:rsidP="00821FE7">
      <w:pPr>
        <w:pStyle w:val="box47241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>Inspekcijski nadzor nad primjenom ovoga Zakona i Uredbe (EU) 2024/1787</w:t>
      </w:r>
      <w:r>
        <w:t xml:space="preserve"> </w:t>
      </w:r>
      <w:r w:rsidRPr="0035468D">
        <w:t xml:space="preserve">u dijelu koji se odnosi na </w:t>
      </w:r>
      <w:r>
        <w:t xml:space="preserve">terminale za ukapljeni prirodni plin i na </w:t>
      </w:r>
      <w:r w:rsidRPr="0035468D">
        <w:t xml:space="preserve">transport i distribuciju kupljene nafte i </w:t>
      </w:r>
      <w:r>
        <w:t>fosilnog</w:t>
      </w:r>
      <w:r w:rsidRPr="0035468D">
        <w:t xml:space="preserve"> plina provod</w:t>
      </w:r>
      <w:r w:rsidR="00A56AB3">
        <w:t>e</w:t>
      </w:r>
      <w:r w:rsidRPr="0035468D">
        <w:t xml:space="preserve"> inspek</w:t>
      </w:r>
      <w:r w:rsidR="00A56AB3">
        <w:t>tori nadležni za</w:t>
      </w:r>
      <w:r w:rsidRPr="0035468D">
        <w:t xml:space="preserve"> zaštit</w:t>
      </w:r>
      <w:r w:rsidR="00A56AB3">
        <w:t>u</w:t>
      </w:r>
      <w:r w:rsidRPr="0035468D">
        <w:t xml:space="preserve"> od požara i </w:t>
      </w:r>
      <w:r w:rsidR="00A56AB3">
        <w:t xml:space="preserve">inspektori nadležni za </w:t>
      </w:r>
      <w:r w:rsidRPr="0035468D">
        <w:t>civiln</w:t>
      </w:r>
      <w:r w:rsidR="00A56AB3">
        <w:t>u</w:t>
      </w:r>
      <w:r w:rsidRPr="0035468D">
        <w:t xml:space="preserve"> zaštit</w:t>
      </w:r>
      <w:r w:rsidR="00A56AB3">
        <w:t>u</w:t>
      </w:r>
      <w:r>
        <w:t xml:space="preserve"> Ministarstva unutarnjih poslova.</w:t>
      </w:r>
    </w:p>
    <w:p w14:paraId="23E2C70C" w14:textId="752D4306" w:rsidR="0001736E" w:rsidRPr="0035468D" w:rsidRDefault="0001736E" w:rsidP="0001736E">
      <w:pPr>
        <w:pStyle w:val="box472414"/>
        <w:shd w:val="clear" w:color="auto" w:fill="FFFFFF"/>
        <w:tabs>
          <w:tab w:val="left" w:pos="1134"/>
        </w:tabs>
        <w:spacing w:before="0" w:beforeAutospacing="0" w:after="240" w:afterAutospacing="0"/>
        <w:jc w:val="both"/>
        <w:textAlignment w:val="baseline"/>
        <w:rPr>
          <w:b/>
          <w:bCs/>
        </w:rPr>
      </w:pPr>
      <w:r w:rsidRPr="0035468D">
        <w:rPr>
          <w:b/>
          <w:bCs/>
        </w:rPr>
        <w:t xml:space="preserve">           </w:t>
      </w:r>
      <w:r w:rsidRPr="0035468D">
        <w:t>(</w:t>
      </w:r>
      <w:r>
        <w:t>3</w:t>
      </w:r>
      <w:r w:rsidRPr="0035468D">
        <w:t>) Tijel</w:t>
      </w:r>
      <w:r>
        <w:t>a</w:t>
      </w:r>
      <w:r w:rsidRPr="0035468D">
        <w:t xml:space="preserve"> iz stav</w:t>
      </w:r>
      <w:r>
        <w:t>a</w:t>
      </w:r>
      <w:r w:rsidRPr="0035468D">
        <w:t>ka 1.</w:t>
      </w:r>
      <w:r>
        <w:t xml:space="preserve"> i 2.</w:t>
      </w:r>
      <w:r w:rsidRPr="0035468D">
        <w:t xml:space="preserve"> ovoga članka u obavljanju inspekcijskih poslova sukladno Uredbi (EU) 2024/1787 surađuj</w:t>
      </w:r>
      <w:r>
        <w:t>u</w:t>
      </w:r>
      <w:r w:rsidRPr="0035468D">
        <w:t xml:space="preserve"> s nadležnim tijelom iz članka </w:t>
      </w:r>
      <w:r>
        <w:t>5</w:t>
      </w:r>
      <w:r w:rsidRPr="0035468D">
        <w:t>. ovoga Zakona.</w:t>
      </w:r>
    </w:p>
    <w:p w14:paraId="4DFAD433" w14:textId="18001558" w:rsidR="0001736E" w:rsidRDefault="0001736E" w:rsidP="000504D7">
      <w:pPr>
        <w:ind w:firstLine="708"/>
        <w:jc w:val="both"/>
      </w:pPr>
      <w:bookmarkStart w:id="1" w:name="_Hlk205969492"/>
      <w:r w:rsidRPr="00995689">
        <w:t>(</w:t>
      </w:r>
      <w:r>
        <w:t>4</w:t>
      </w:r>
      <w:r w:rsidRPr="00995689">
        <w:t>) Ako u provedbi nadzora ovlaštena službena osoba tijela iz stav</w:t>
      </w:r>
      <w:r>
        <w:t>a</w:t>
      </w:r>
      <w:r w:rsidRPr="00995689">
        <w:t>ka 1.</w:t>
      </w:r>
      <w:r>
        <w:t xml:space="preserve"> i 2. </w:t>
      </w:r>
      <w:r w:rsidRPr="00995689">
        <w:t>ovoga članka utvrdi povredu odredbi ovoga Zakona, rješenjem će nadziranom subjektu narediti otklanjanje utvrđenih nedostataka, odnosno nepravilnosti u određenom roku.</w:t>
      </w:r>
      <w:bookmarkEnd w:id="1"/>
    </w:p>
    <w:p w14:paraId="18683134" w14:textId="77777777" w:rsidR="00730A61" w:rsidRPr="00DA7429" w:rsidRDefault="00730A61" w:rsidP="000504D7">
      <w:pPr>
        <w:ind w:firstLine="708"/>
        <w:jc w:val="both"/>
      </w:pPr>
    </w:p>
    <w:p w14:paraId="1D2F8B21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i/>
          <w:iCs/>
        </w:rPr>
        <w:t>Pravna zaštita</w:t>
      </w:r>
    </w:p>
    <w:p w14:paraId="43F92A89" w14:textId="77777777" w:rsidR="0001736E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FF603A">
        <w:rPr>
          <w:b/>
          <w:bCs/>
        </w:rPr>
        <w:t xml:space="preserve">Članak </w:t>
      </w:r>
      <w:r>
        <w:rPr>
          <w:b/>
          <w:bCs/>
        </w:rPr>
        <w:t>8</w:t>
      </w:r>
      <w:r w:rsidRPr="00FF603A">
        <w:rPr>
          <w:b/>
          <w:bCs/>
        </w:rPr>
        <w:t>.</w:t>
      </w:r>
    </w:p>
    <w:p w14:paraId="106E8A74" w14:textId="697E88B9" w:rsidR="0001736E" w:rsidRDefault="0001736E" w:rsidP="00730A61">
      <w:pPr>
        <w:shd w:val="clear" w:color="auto" w:fill="FFFFFF"/>
        <w:spacing w:before="204" w:after="240"/>
        <w:textAlignment w:val="baseline"/>
      </w:pPr>
      <w:r>
        <w:tab/>
        <w:t xml:space="preserve">Protiv rješenja iz ovoga Zakona žalba nije dopuštena, ali se može pokrenuti upravni spor. </w:t>
      </w:r>
    </w:p>
    <w:p w14:paraId="7BC24A58" w14:textId="77777777" w:rsidR="0001736E" w:rsidRPr="00A1758C" w:rsidRDefault="0001736E" w:rsidP="0001736E">
      <w:pPr>
        <w:shd w:val="clear" w:color="auto" w:fill="FFFFFF"/>
        <w:jc w:val="center"/>
        <w:textAlignment w:val="baseline"/>
        <w:rPr>
          <w:i/>
          <w:iCs/>
        </w:rPr>
      </w:pPr>
      <w:r w:rsidRPr="00A1758C">
        <w:rPr>
          <w:i/>
          <w:iCs/>
        </w:rPr>
        <w:t>Prijava i optužni prijedlog</w:t>
      </w:r>
    </w:p>
    <w:p w14:paraId="67AB19BD" w14:textId="77777777" w:rsidR="0001736E" w:rsidRDefault="0001736E" w:rsidP="0001736E">
      <w:pPr>
        <w:shd w:val="clear" w:color="auto" w:fill="FFFFFF"/>
        <w:spacing w:before="34" w:after="120"/>
        <w:jc w:val="center"/>
        <w:textAlignment w:val="baseline"/>
        <w:rPr>
          <w:b/>
          <w:bCs/>
        </w:rPr>
      </w:pPr>
      <w:r w:rsidRPr="00012143">
        <w:rPr>
          <w:b/>
          <w:bCs/>
        </w:rPr>
        <w:t xml:space="preserve">Članak </w:t>
      </w:r>
      <w:r>
        <w:rPr>
          <w:b/>
          <w:bCs/>
        </w:rPr>
        <w:t>9</w:t>
      </w:r>
      <w:r w:rsidRPr="00012143">
        <w:rPr>
          <w:b/>
          <w:bCs/>
        </w:rPr>
        <w:t>.</w:t>
      </w:r>
    </w:p>
    <w:p w14:paraId="6A1BC900" w14:textId="77777777" w:rsidR="00104D48" w:rsidRPr="00012143" w:rsidRDefault="00104D48" w:rsidP="0001736E">
      <w:pPr>
        <w:shd w:val="clear" w:color="auto" w:fill="FFFFFF"/>
        <w:spacing w:before="34" w:after="120"/>
        <w:jc w:val="center"/>
        <w:textAlignment w:val="baseline"/>
        <w:rPr>
          <w:b/>
          <w:bCs/>
        </w:rPr>
      </w:pPr>
    </w:p>
    <w:p w14:paraId="7B360CB6" w14:textId="77777777" w:rsidR="00155A55" w:rsidRDefault="00155A55" w:rsidP="0001736E">
      <w:pPr>
        <w:shd w:val="clear" w:color="auto" w:fill="FFFFFF"/>
        <w:spacing w:after="48"/>
        <w:ind w:firstLine="708"/>
        <w:jc w:val="both"/>
        <w:textAlignment w:val="baseline"/>
      </w:pPr>
    </w:p>
    <w:p w14:paraId="1A76BDF9" w14:textId="77777777" w:rsidR="00155A55" w:rsidRDefault="00155A55" w:rsidP="0001736E">
      <w:pPr>
        <w:shd w:val="clear" w:color="auto" w:fill="FFFFFF"/>
        <w:spacing w:after="48"/>
        <w:ind w:firstLine="708"/>
        <w:jc w:val="both"/>
        <w:textAlignment w:val="baseline"/>
      </w:pPr>
    </w:p>
    <w:p w14:paraId="58A6B1AC" w14:textId="77777777" w:rsidR="007D4422" w:rsidRDefault="007D4422" w:rsidP="0001736E">
      <w:pPr>
        <w:shd w:val="clear" w:color="auto" w:fill="FFFFFF"/>
        <w:spacing w:after="48"/>
        <w:ind w:firstLine="708"/>
        <w:jc w:val="both"/>
        <w:textAlignment w:val="baseline"/>
      </w:pPr>
    </w:p>
    <w:p w14:paraId="560A6A39" w14:textId="77777777" w:rsidR="00155A55" w:rsidRDefault="00155A55" w:rsidP="0001736E">
      <w:pPr>
        <w:shd w:val="clear" w:color="auto" w:fill="FFFFFF"/>
        <w:spacing w:after="48"/>
        <w:ind w:firstLine="708"/>
        <w:jc w:val="both"/>
        <w:textAlignment w:val="baseline"/>
      </w:pPr>
    </w:p>
    <w:p w14:paraId="17E91A29" w14:textId="2CCEAD07" w:rsidR="005613CD" w:rsidRPr="00155A55" w:rsidRDefault="0001736E" w:rsidP="00155A55">
      <w:pPr>
        <w:shd w:val="clear" w:color="auto" w:fill="FFFFFF"/>
        <w:spacing w:after="48"/>
        <w:ind w:firstLine="708"/>
        <w:jc w:val="both"/>
        <w:textAlignment w:val="baseline"/>
      </w:pPr>
      <w:r w:rsidRPr="00012143">
        <w:lastRenderedPageBreak/>
        <w:t xml:space="preserve">Ako </w:t>
      </w:r>
      <w:r>
        <w:t>tijela</w:t>
      </w:r>
      <w:r w:rsidRPr="00012143">
        <w:t xml:space="preserve"> iz članka </w:t>
      </w:r>
      <w:r>
        <w:t>7</w:t>
      </w:r>
      <w:r w:rsidRPr="00012143">
        <w:t>. stav</w:t>
      </w:r>
      <w:r>
        <w:t>a</w:t>
      </w:r>
      <w:r w:rsidRPr="00012143">
        <w:t xml:space="preserve">ka 1. </w:t>
      </w:r>
      <w:r>
        <w:t xml:space="preserve">i 2. </w:t>
      </w:r>
      <w:r w:rsidRPr="00012143">
        <w:t>ovoga Zakona u obavljenom nadzoru utvrd</w:t>
      </w:r>
      <w:r>
        <w:t>e</w:t>
      </w:r>
      <w:r w:rsidRPr="00012143">
        <w:t xml:space="preserve"> da je povredom odredbi ovoga Zakona počinjen prekršaj i/ili kazneno djelo, obvezn</w:t>
      </w:r>
      <w:r>
        <w:t>a</w:t>
      </w:r>
      <w:r w:rsidRPr="00012143">
        <w:t xml:space="preserve"> </w:t>
      </w:r>
      <w:r>
        <w:t>su</w:t>
      </w:r>
      <w:r w:rsidRPr="00012143">
        <w:t xml:space="preserve"> izdati prekršajni nalog odnosno podnijeti optužni prijedlog i/ili </w:t>
      </w:r>
      <w:r>
        <w:t xml:space="preserve">kaznenu </w:t>
      </w:r>
      <w:r w:rsidRPr="00012143">
        <w:t xml:space="preserve">prijavu nadležnom </w:t>
      </w:r>
      <w:r w:rsidR="00C934B3">
        <w:t xml:space="preserve">pravosudnom </w:t>
      </w:r>
      <w:r w:rsidRPr="00012143">
        <w:t>tijelu.</w:t>
      </w:r>
    </w:p>
    <w:p w14:paraId="5A169AF0" w14:textId="6D9568F9" w:rsidR="0001736E" w:rsidRPr="008A63C4" w:rsidRDefault="0001736E" w:rsidP="0001736E">
      <w:pPr>
        <w:shd w:val="clear" w:color="auto" w:fill="FFFFFF"/>
        <w:spacing w:before="204"/>
        <w:jc w:val="center"/>
        <w:textAlignment w:val="baseline"/>
        <w:rPr>
          <w:i/>
          <w:iCs/>
        </w:rPr>
      </w:pPr>
      <w:r w:rsidRPr="008A63C4">
        <w:rPr>
          <w:i/>
          <w:iCs/>
        </w:rPr>
        <w:t>Akreditacija</w:t>
      </w:r>
    </w:p>
    <w:p w14:paraId="3042D0F7" w14:textId="77777777" w:rsidR="0001736E" w:rsidRPr="00772FFC" w:rsidRDefault="0001736E" w:rsidP="0001736E">
      <w:pPr>
        <w:shd w:val="clear" w:color="auto" w:fill="FFFFFF"/>
        <w:spacing w:after="120"/>
        <w:jc w:val="center"/>
        <w:textAlignment w:val="baseline"/>
        <w:rPr>
          <w:b/>
          <w:bCs/>
          <w:sz w:val="26"/>
          <w:szCs w:val="26"/>
        </w:rPr>
      </w:pPr>
      <w:r w:rsidRPr="008A63C4">
        <w:rPr>
          <w:b/>
          <w:bCs/>
        </w:rPr>
        <w:t>Članak 10.</w:t>
      </w:r>
    </w:p>
    <w:p w14:paraId="0E575D2A" w14:textId="77777777" w:rsidR="0001736E" w:rsidRPr="008658C0" w:rsidRDefault="0001736E" w:rsidP="00821FE7">
      <w:pPr>
        <w:pStyle w:val="ListParagraph"/>
        <w:numPr>
          <w:ilvl w:val="0"/>
          <w:numId w:val="3"/>
        </w:numPr>
        <w:tabs>
          <w:tab w:val="left" w:pos="993"/>
        </w:tabs>
        <w:spacing w:line="259" w:lineRule="auto"/>
        <w:ind w:left="-142" w:firstLine="847"/>
        <w:jc w:val="both"/>
      </w:pPr>
      <w:r>
        <w:t xml:space="preserve"> </w:t>
      </w:r>
      <w:r w:rsidRPr="007279BA">
        <w:t>Verifikatori koji provode aktivnosti verifikacije kako bi ocijenili sukladnost izvješća o emisijama metana u skladu s Uredbom (EU) 2024/1787 moraju biti akreditirani.</w:t>
      </w:r>
    </w:p>
    <w:p w14:paraId="680FC873" w14:textId="0EB63415" w:rsidR="0001736E" w:rsidRDefault="0001736E" w:rsidP="007A7E7E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/>
        <w:ind w:left="0" w:right="-58" w:firstLine="709"/>
        <w:contextualSpacing w:val="0"/>
        <w:jc w:val="both"/>
      </w:pPr>
      <w:r w:rsidRPr="008D487B">
        <w:t>Verifikatore koji su pravne osobe akreditira</w:t>
      </w:r>
      <w:r w:rsidR="00104D48">
        <w:t xml:space="preserve"> nacionalno </w:t>
      </w:r>
      <w:r w:rsidR="002A57D1">
        <w:t xml:space="preserve">akreditacijsko </w:t>
      </w:r>
      <w:r w:rsidR="00104D48">
        <w:t>tijelo</w:t>
      </w:r>
      <w:r w:rsidR="002A57D1">
        <w:t xml:space="preserve"> u skladu s Uredbom (EZ) </w:t>
      </w:r>
      <w:r w:rsidR="00FD608E">
        <w:t xml:space="preserve">br. 765/2008 Europskog parlamenta i Vijeća od 9. srpnja </w:t>
      </w:r>
      <w:r w:rsidR="0077310D">
        <w:t>2008. o utvrđivanju zahtjeva  za akreditaciju i za nadzor tržišta u odnosu na stavljanje proizvoda na tržište</w:t>
      </w:r>
      <w:r w:rsidR="001C4E4B">
        <w:t xml:space="preserve"> </w:t>
      </w:r>
      <w:r w:rsidR="007D0859">
        <w:t xml:space="preserve">i o stavljanju izvan snage Uredbe (EEZ) br. 339/93 </w:t>
      </w:r>
      <w:r w:rsidR="007D0859" w:rsidRPr="0001002A">
        <w:t>(SL L</w:t>
      </w:r>
      <w:r w:rsidR="007D0859">
        <w:t xml:space="preserve"> 218, </w:t>
      </w:r>
      <w:r w:rsidR="007D0859" w:rsidRPr="0011185B">
        <w:t>1</w:t>
      </w:r>
      <w:r w:rsidR="007D0859">
        <w:t>3</w:t>
      </w:r>
      <w:r w:rsidR="007D0859" w:rsidRPr="00870C91">
        <w:t>.</w:t>
      </w:r>
      <w:r w:rsidR="007D0859">
        <w:t>8</w:t>
      </w:r>
      <w:r w:rsidR="007D0859" w:rsidRPr="00870C91">
        <w:t>.20</w:t>
      </w:r>
      <w:r w:rsidR="007D0859">
        <w:t>08.</w:t>
      </w:r>
      <w:r w:rsidR="007D0859" w:rsidRPr="00870C91">
        <w:t>)</w:t>
      </w:r>
      <w:r w:rsidRPr="008D487B">
        <w:t>.</w:t>
      </w:r>
      <w:r>
        <w:t xml:space="preserve">  </w:t>
      </w:r>
    </w:p>
    <w:p w14:paraId="02724316" w14:textId="77777777" w:rsidR="0001736E" w:rsidRDefault="0001736E" w:rsidP="0001736E">
      <w:pPr>
        <w:jc w:val="center"/>
      </w:pPr>
    </w:p>
    <w:p w14:paraId="3921F71B" w14:textId="77777777" w:rsidR="000504D7" w:rsidRDefault="000504D7" w:rsidP="0001736E">
      <w:pPr>
        <w:jc w:val="center"/>
      </w:pPr>
    </w:p>
    <w:p w14:paraId="24DB7B8F" w14:textId="2649964E" w:rsidR="00E870A7" w:rsidRDefault="00E870A7" w:rsidP="0001736E">
      <w:pPr>
        <w:jc w:val="center"/>
      </w:pPr>
      <w:r>
        <w:t>O</w:t>
      </w:r>
      <w:r w:rsidR="009D2174">
        <w:t>DJELJAK</w:t>
      </w:r>
      <w:r>
        <w:t xml:space="preserve"> 3.</w:t>
      </w:r>
    </w:p>
    <w:p w14:paraId="17142BD4" w14:textId="13A0E1F9" w:rsidR="0001736E" w:rsidRDefault="00E870A7" w:rsidP="0001736E">
      <w:pPr>
        <w:jc w:val="center"/>
        <w:rPr>
          <w:b/>
          <w:bCs/>
        </w:rPr>
      </w:pPr>
      <w:r>
        <w:t>Prekršajne odredbe</w:t>
      </w:r>
    </w:p>
    <w:p w14:paraId="7BE22CC5" w14:textId="77777777" w:rsidR="0001736E" w:rsidRPr="005811DC" w:rsidRDefault="0001736E" w:rsidP="0001736E">
      <w:pPr>
        <w:rPr>
          <w:i/>
          <w:iCs/>
        </w:rPr>
      </w:pPr>
    </w:p>
    <w:p w14:paraId="2EDC69B8" w14:textId="77777777" w:rsidR="0001736E" w:rsidRPr="005811DC" w:rsidRDefault="0001736E" w:rsidP="0001736E">
      <w:pPr>
        <w:jc w:val="center"/>
        <w:rPr>
          <w:i/>
          <w:iCs/>
        </w:rPr>
      </w:pPr>
      <w:r w:rsidRPr="00E94C3A">
        <w:rPr>
          <w:i/>
          <w:iCs/>
        </w:rPr>
        <w:t>Kriteriji</w:t>
      </w:r>
      <w:r w:rsidRPr="005811DC">
        <w:rPr>
          <w:i/>
          <w:iCs/>
        </w:rPr>
        <w:t xml:space="preserve"> za izricanje novčanih kazni </w:t>
      </w:r>
    </w:p>
    <w:p w14:paraId="58D07DE7" w14:textId="1E09CF2C" w:rsidR="0001736E" w:rsidRPr="005811DC" w:rsidRDefault="0001736E" w:rsidP="0001736E">
      <w:pPr>
        <w:spacing w:after="120"/>
        <w:jc w:val="center"/>
        <w:rPr>
          <w:i/>
          <w:iCs/>
        </w:rPr>
      </w:pPr>
      <w:r w:rsidRPr="005811DC">
        <w:rPr>
          <w:b/>
          <w:bCs/>
        </w:rPr>
        <w:t>Članak 1</w:t>
      </w:r>
      <w:r w:rsidR="004E6FF8">
        <w:rPr>
          <w:b/>
          <w:bCs/>
        </w:rPr>
        <w:t>1</w:t>
      </w:r>
      <w:r w:rsidRPr="005811DC">
        <w:rPr>
          <w:b/>
          <w:bCs/>
        </w:rPr>
        <w:t>.</w:t>
      </w:r>
    </w:p>
    <w:p w14:paraId="517ADA63" w14:textId="77777777" w:rsidR="0001736E" w:rsidRPr="005811DC" w:rsidRDefault="0001736E" w:rsidP="0001736E">
      <w:pPr>
        <w:pStyle w:val="ListParagraph"/>
        <w:ind w:left="0" w:firstLine="851"/>
      </w:pPr>
      <w:r>
        <w:t>Z</w:t>
      </w:r>
      <w:r w:rsidRPr="005811DC">
        <w:t xml:space="preserve">a izricanje novčanih kazni </w:t>
      </w:r>
      <w:r>
        <w:t>primjenjuju se kriteriji sukladno Uredbi (EU) 2024/1787.</w:t>
      </w:r>
    </w:p>
    <w:p w14:paraId="7118EF23" w14:textId="77777777" w:rsidR="0001736E" w:rsidRPr="005811DC" w:rsidRDefault="0001736E" w:rsidP="0001736E">
      <w:pPr>
        <w:rPr>
          <w:i/>
          <w:iCs/>
        </w:rPr>
      </w:pPr>
    </w:p>
    <w:p w14:paraId="2CBA8E28" w14:textId="77777777" w:rsidR="0001736E" w:rsidRDefault="0001736E" w:rsidP="0001736E">
      <w:pPr>
        <w:jc w:val="center"/>
        <w:rPr>
          <w:i/>
          <w:iCs/>
        </w:rPr>
      </w:pPr>
      <w:r>
        <w:rPr>
          <w:i/>
          <w:iCs/>
        </w:rPr>
        <w:t>K</w:t>
      </w:r>
      <w:r w:rsidRPr="007A3CAB">
        <w:rPr>
          <w:i/>
          <w:iCs/>
        </w:rPr>
        <w:t xml:space="preserve">azne za </w:t>
      </w:r>
      <w:r>
        <w:rPr>
          <w:i/>
          <w:iCs/>
        </w:rPr>
        <w:t xml:space="preserve">lakše </w:t>
      </w:r>
      <w:r w:rsidRPr="007A3CAB">
        <w:rPr>
          <w:i/>
          <w:iCs/>
        </w:rPr>
        <w:t>prekršaje</w:t>
      </w:r>
      <w:r w:rsidRPr="003A4913">
        <w:rPr>
          <w:i/>
          <w:iCs/>
        </w:rPr>
        <w:t xml:space="preserve"> o</w:t>
      </w:r>
      <w:r w:rsidRPr="00020F5A">
        <w:rPr>
          <w:i/>
          <w:iCs/>
        </w:rPr>
        <w:t>peratora</w:t>
      </w:r>
    </w:p>
    <w:p w14:paraId="0BEC58B8" w14:textId="795D89EC" w:rsidR="0001736E" w:rsidRDefault="0001736E" w:rsidP="0001736E">
      <w:pPr>
        <w:spacing w:after="120"/>
        <w:jc w:val="center"/>
        <w:rPr>
          <w:b/>
          <w:bCs/>
        </w:rPr>
      </w:pPr>
      <w:r w:rsidRPr="00020F5A">
        <w:rPr>
          <w:b/>
          <w:bCs/>
        </w:rPr>
        <w:t xml:space="preserve">Članak </w:t>
      </w:r>
      <w:r>
        <w:rPr>
          <w:b/>
          <w:bCs/>
        </w:rPr>
        <w:t>1</w:t>
      </w:r>
      <w:r w:rsidR="004E6FF8">
        <w:rPr>
          <w:b/>
          <w:bCs/>
        </w:rPr>
        <w:t>2</w:t>
      </w:r>
      <w:r w:rsidRPr="00020F5A">
        <w:rPr>
          <w:b/>
          <w:bCs/>
        </w:rPr>
        <w:t>.</w:t>
      </w:r>
      <w:r>
        <w:rPr>
          <w:b/>
          <w:bCs/>
        </w:rPr>
        <w:t xml:space="preserve"> </w:t>
      </w:r>
    </w:p>
    <w:p w14:paraId="05144990" w14:textId="77777777" w:rsidR="0001736E" w:rsidRDefault="0001736E" w:rsidP="0001736E">
      <w:pPr>
        <w:tabs>
          <w:tab w:val="left" w:pos="1134"/>
        </w:tabs>
        <w:spacing w:after="240"/>
        <w:ind w:firstLine="709"/>
        <w:jc w:val="both"/>
      </w:pPr>
      <w:r>
        <w:t>(1)</w:t>
      </w:r>
      <w:r>
        <w:tab/>
      </w:r>
      <w:r w:rsidRPr="00B65ADA">
        <w:t>Novčanom kaznom u iznosu od 5000,00 eura do 50.000,00 eura kaznit će se za prekršaj pravna osoba koja je operator ako:</w:t>
      </w:r>
      <w:r>
        <w:t xml:space="preserve"> </w:t>
      </w:r>
    </w:p>
    <w:p w14:paraId="7656CE0F" w14:textId="148112C1" w:rsidR="0001736E" w:rsidRDefault="0001736E" w:rsidP="0001736E">
      <w:pPr>
        <w:tabs>
          <w:tab w:val="left" w:pos="284"/>
        </w:tabs>
        <w:spacing w:after="120"/>
        <w:jc w:val="both"/>
      </w:pPr>
      <w:r>
        <w:t>1.</w:t>
      </w:r>
      <w:r>
        <w:tab/>
        <w:t xml:space="preserve">propusti nadležnom tijelu, verifikatorima i drugim tijelima pružiti pomoć koja im je potrebna za obavljanje njihovih zadaća radi provedbe Uredbe </w:t>
      </w:r>
      <w:r w:rsidR="003763B5">
        <w:t xml:space="preserve">(EU) 2024/1787 </w:t>
      </w:r>
      <w:r w:rsidR="00516043">
        <w:t>u skladu s član</w:t>
      </w:r>
      <w:r w:rsidR="00AE4B96">
        <w:t>cima</w:t>
      </w:r>
      <w:r w:rsidR="00516043">
        <w:t xml:space="preserve"> 5. </w:t>
      </w:r>
      <w:r w:rsidR="00AE4B96">
        <w:t xml:space="preserve">i 8. </w:t>
      </w:r>
      <w:r w:rsidR="00516043">
        <w:t xml:space="preserve">Uredbe </w:t>
      </w:r>
      <w:r>
        <w:t xml:space="preserve">(EU) 2024/1787 (članak 33. stavak 5. podstavak (a) Uredbe (EU) 2024/1787) </w:t>
      </w:r>
    </w:p>
    <w:p w14:paraId="7B2C10DA" w14:textId="36B93EDF" w:rsidR="0001736E" w:rsidRDefault="0001736E" w:rsidP="0001736E">
      <w:pPr>
        <w:spacing w:after="120"/>
        <w:jc w:val="both"/>
      </w:pPr>
      <w:r>
        <w:t>2. propusti dostaviti izvješća o emisijama metana u skladu s člankom 12.</w:t>
      </w:r>
      <w:r w:rsidR="00165595">
        <w:t xml:space="preserve"> i</w:t>
      </w:r>
      <w:r>
        <w:t xml:space="preserve"> člankom 18. stavkom 3. Uredbe (EU) 2024/1787 (članak 33. stavak 5. podstavak (c) Uredbe (EU) 2024/1787)</w:t>
      </w:r>
    </w:p>
    <w:p w14:paraId="648F81B1" w14:textId="04BDBC3A" w:rsidR="0001736E" w:rsidRDefault="0001736E" w:rsidP="0001736E">
      <w:pPr>
        <w:spacing w:after="120"/>
        <w:jc w:val="both"/>
      </w:pPr>
      <w:r>
        <w:t xml:space="preserve">3. propusti dostaviti izjavu o verifikaciji </w:t>
      </w:r>
      <w:r w:rsidR="00953FD4">
        <w:t>u skladu s člankom</w:t>
      </w:r>
      <w:r w:rsidR="00036502">
        <w:t xml:space="preserve"> </w:t>
      </w:r>
      <w:r w:rsidR="00D10845">
        <w:t>12.</w:t>
      </w:r>
      <w:r w:rsidR="008724E8">
        <w:t xml:space="preserve"> i</w:t>
      </w:r>
      <w:r w:rsidR="00D10845">
        <w:t xml:space="preserve"> </w:t>
      </w:r>
      <w:r w:rsidR="00953FD4">
        <w:t xml:space="preserve">člankom </w:t>
      </w:r>
      <w:r w:rsidR="00D10845">
        <w:t>18.</w:t>
      </w:r>
      <w:r w:rsidR="008724E8">
        <w:t xml:space="preserve"> Uredbe (EU) 2024/1787 </w:t>
      </w:r>
      <w:r w:rsidR="00D10845">
        <w:t xml:space="preserve"> </w:t>
      </w:r>
      <w:r>
        <w:t>koju je izdao neovisni verifikator u skladu s člankom 8. stavkom 4. Uredbe (EU) 2024/1787 (članak 33. stavak 5. podstavak (c) Uredbe (EU) 2024/1787)</w:t>
      </w:r>
    </w:p>
    <w:p w14:paraId="706F3EEF" w14:textId="77777777" w:rsidR="0001736E" w:rsidRDefault="0001736E" w:rsidP="0001736E">
      <w:pPr>
        <w:spacing w:after="120"/>
        <w:jc w:val="both"/>
      </w:pPr>
      <w:r>
        <w:t xml:space="preserve">4. propusti podnijeti program za LDAR u skladu s člankom 14. stavkom 1. Uredbe (EU) 2024/1787 ili provesti pregled radi LDAR-a u skladu s člankom 14. stavcima </w:t>
      </w:r>
      <w:r>
        <w:lastRenderedPageBreak/>
        <w:t>2., 5. i 6. Uredbe (EU) 2024/1787 (članak 33. stavak 5. podstavak (d) Uredbe (EU) 2024/1787)</w:t>
      </w:r>
    </w:p>
    <w:p w14:paraId="76CE5CA5" w14:textId="77777777" w:rsidR="0001736E" w:rsidRDefault="0001736E" w:rsidP="0001736E">
      <w:pPr>
        <w:spacing w:after="120"/>
        <w:jc w:val="both"/>
      </w:pPr>
      <w:r>
        <w:t>5. propusti dostaviti izvješće u skladu s člankom 14. stavkom 14. Uredbe (EU) 2024/1787 (članak 33. stavak 5. podstavak (f) Uredbe (EU) 2024/1787)</w:t>
      </w:r>
    </w:p>
    <w:p w14:paraId="65C50FAA" w14:textId="77777777" w:rsidR="0001736E" w:rsidRDefault="0001736E" w:rsidP="0001736E">
      <w:pPr>
        <w:spacing w:after="120"/>
        <w:jc w:val="both"/>
      </w:pPr>
      <w:r>
        <w:t xml:space="preserve">6. propusti dokazati potrebu za upotrebom </w:t>
      </w:r>
      <w:proofErr w:type="spellStart"/>
      <w:r>
        <w:t>odzračivanja</w:t>
      </w:r>
      <w:proofErr w:type="spellEnd"/>
      <w:r>
        <w:t xml:space="preserve"> metana umjesto spaljivanja metana na baklji i dokazati potrebu za upotrebom spaljivanja metana na baklji umjesto ponovnog utiskivanja, iskorištavanja na licu mjesta, skladištenja radi kasnije upotrebe ili otpremanja metana na tržište, u skladu s člankom 15. stavcima 4. i 6. Uredbe (EU) 2024/1787 (članak 33. stavak 5. podstavak (h) Uredbe (EU) 2024/1787)</w:t>
      </w:r>
    </w:p>
    <w:p w14:paraId="53F6D1FC" w14:textId="77777777" w:rsidR="0001736E" w:rsidRDefault="0001736E" w:rsidP="0001736E">
      <w:pPr>
        <w:spacing w:after="120"/>
        <w:jc w:val="both"/>
      </w:pPr>
      <w:r>
        <w:t xml:space="preserve">7. propusti zamijeniti ili upotrijebiti opremu za </w:t>
      </w:r>
      <w:proofErr w:type="spellStart"/>
      <w:r>
        <w:t>odzračivanje</w:t>
      </w:r>
      <w:proofErr w:type="spellEnd"/>
      <w:r>
        <w:t xml:space="preserve"> metana u skladu s člankom 15. stavcima 5. i 7. Uredbe (EU) 2024/1787 (članak 33. stavak 5. podstavak (i) Uredbe (EU) 2024/1787)</w:t>
      </w:r>
    </w:p>
    <w:p w14:paraId="4D321D5E" w14:textId="77777777" w:rsidR="00A7181E" w:rsidRDefault="00A7181E" w:rsidP="0001736E">
      <w:pPr>
        <w:spacing w:after="120"/>
        <w:jc w:val="both"/>
      </w:pPr>
    </w:p>
    <w:p w14:paraId="65C253F9" w14:textId="77777777" w:rsidR="008C2AA1" w:rsidRDefault="008C2AA1" w:rsidP="0001736E">
      <w:pPr>
        <w:spacing w:after="120"/>
        <w:jc w:val="both"/>
      </w:pPr>
    </w:p>
    <w:p w14:paraId="689A5E5B" w14:textId="77777777" w:rsidR="005D1133" w:rsidRDefault="0001736E" w:rsidP="00155A55">
      <w:pPr>
        <w:spacing w:after="120"/>
        <w:jc w:val="both"/>
      </w:pPr>
      <w:r>
        <w:t xml:space="preserve">8. propusti prijaviti slučajeve </w:t>
      </w:r>
      <w:proofErr w:type="spellStart"/>
      <w:r>
        <w:t>odzračivanja</w:t>
      </w:r>
      <w:proofErr w:type="spellEnd"/>
      <w:r>
        <w:t xml:space="preserve"> metana i slučajeve spaljivanja metana na baklji ili izvijestiti o njima u skladu s člankom 16. Uredbe (EU) 2024/1787 (članak 33. stavak 5. podstavak (j) Uredbe (EU) 2024/1787)</w:t>
      </w:r>
    </w:p>
    <w:p w14:paraId="380A9341" w14:textId="77934A68" w:rsidR="005613CD" w:rsidRDefault="0001736E" w:rsidP="00155A55">
      <w:pPr>
        <w:spacing w:after="120"/>
        <w:jc w:val="both"/>
      </w:pPr>
      <w:r>
        <w:t>9. upotrijebi vršni dio baklje ili uređaja za izgaranje protivno zahtjevima utvrđenima  člankom 17., 22. i 23. Uredbe (EU) 2024/1787 (članak 33. stavak 5. podstavak (k) Uredbe (EU) 2024/1787)</w:t>
      </w:r>
    </w:p>
    <w:p w14:paraId="49781171" w14:textId="5C1D09B2" w:rsidR="005D7E40" w:rsidRDefault="0001736E" w:rsidP="00155A55">
      <w:pPr>
        <w:spacing w:after="120"/>
        <w:ind w:firstLine="708"/>
        <w:jc w:val="both"/>
      </w:pPr>
      <w:r>
        <w:t xml:space="preserve">(2) Novčanom kaznom u iznosu </w:t>
      </w:r>
      <w:r w:rsidRPr="00B65ADA">
        <w:t xml:space="preserve">od </w:t>
      </w:r>
      <w:r w:rsidR="000522E4">
        <w:t>5</w:t>
      </w:r>
      <w:r w:rsidR="000522E4" w:rsidRPr="00B65ADA">
        <w:t>00</w:t>
      </w:r>
      <w:r w:rsidRPr="00B65ADA">
        <w:t xml:space="preserve">,00 eura do </w:t>
      </w:r>
      <w:r w:rsidR="000522E4">
        <w:t>5</w:t>
      </w:r>
      <w:r w:rsidRPr="00B65ADA">
        <w:t>000,00 eura kaznit će se za prekršaj iz stavka 1. ovoga članka i odgovorna osoba u pravnoj osobi koja je operator.</w:t>
      </w:r>
    </w:p>
    <w:p w14:paraId="5DD3E0B2" w14:textId="2EA6A0EB" w:rsidR="0001736E" w:rsidRPr="00B65ADA" w:rsidRDefault="0001736E" w:rsidP="0001736E">
      <w:pPr>
        <w:spacing w:after="120"/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 novčane kazne.</w:t>
      </w:r>
    </w:p>
    <w:p w14:paraId="245FE66E" w14:textId="77777777" w:rsidR="0001736E" w:rsidRPr="00B65ADA" w:rsidRDefault="0001736E" w:rsidP="0001736E">
      <w:pPr>
        <w:spacing w:after="120"/>
        <w:jc w:val="center"/>
        <w:rPr>
          <w:b/>
          <w:bCs/>
        </w:rPr>
      </w:pPr>
    </w:p>
    <w:p w14:paraId="0E17D4AB" w14:textId="77777777" w:rsidR="0001736E" w:rsidRPr="00B65ADA" w:rsidRDefault="0001736E" w:rsidP="0001736E">
      <w:pPr>
        <w:jc w:val="center"/>
        <w:rPr>
          <w:i/>
          <w:iCs/>
        </w:rPr>
      </w:pPr>
      <w:r w:rsidRPr="00B65ADA">
        <w:rPr>
          <w:i/>
          <w:iCs/>
        </w:rPr>
        <w:t>Kazne za teže prekršaje operatora</w:t>
      </w:r>
    </w:p>
    <w:p w14:paraId="43465B45" w14:textId="1466FD37" w:rsidR="0001736E" w:rsidRPr="00B65ADA" w:rsidRDefault="0001736E" w:rsidP="0001736E">
      <w:pPr>
        <w:spacing w:after="12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3</w:t>
      </w:r>
      <w:r w:rsidRPr="00B65ADA">
        <w:rPr>
          <w:b/>
          <w:bCs/>
        </w:rPr>
        <w:t>.</w:t>
      </w:r>
    </w:p>
    <w:p w14:paraId="7D2833EA" w14:textId="77777777" w:rsidR="0001736E" w:rsidRPr="00B65ADA" w:rsidRDefault="0001736E" w:rsidP="00821FE7">
      <w:pPr>
        <w:pStyle w:val="ListParagraph"/>
        <w:numPr>
          <w:ilvl w:val="0"/>
          <w:numId w:val="5"/>
        </w:numPr>
        <w:tabs>
          <w:tab w:val="left" w:pos="1134"/>
        </w:tabs>
        <w:ind w:left="0" w:firstLine="705"/>
        <w:contextualSpacing w:val="0"/>
      </w:pPr>
      <w:r w:rsidRPr="00B65ADA">
        <w:t xml:space="preserve">Novčanom kaznom u iznosu od 50.000,00 eura do 250.000,00 eura kaznit će se za prekršaj pravna osoba koja je operator ako: </w:t>
      </w:r>
    </w:p>
    <w:p w14:paraId="0A5C8DA6" w14:textId="77777777" w:rsidR="0001736E" w:rsidRDefault="0001736E" w:rsidP="0001736E"/>
    <w:p w14:paraId="1BB2D3AD" w14:textId="77777777" w:rsidR="0001736E" w:rsidRDefault="0001736E" w:rsidP="0001736E">
      <w:pPr>
        <w:pStyle w:val="ListParagraph"/>
        <w:spacing w:after="120"/>
        <w:ind w:left="0"/>
        <w:jc w:val="both"/>
      </w:pPr>
      <w:r>
        <w:t>1</w:t>
      </w:r>
      <w:r w:rsidRPr="00020F5A">
        <w:t xml:space="preserve">. </w:t>
      </w:r>
      <w:r>
        <w:t xml:space="preserve">propusti </w:t>
      </w:r>
      <w:bookmarkStart w:id="2" w:name="_Hlk205900655"/>
      <w:r>
        <w:t>provesti mjere utvrđene u izvješćima o inspekcijskom nadzoru iz članka 6. stavaka 5. i 6. Uredbe (EU) 2024/1787 (članak 33. stavak 5. podstavak (b) Uredbe (EU) 2024/1787)</w:t>
      </w:r>
      <w:bookmarkEnd w:id="2"/>
    </w:p>
    <w:p w14:paraId="5EDA833C" w14:textId="77777777" w:rsidR="00BA0A53" w:rsidRDefault="00BA0A53" w:rsidP="0001736E">
      <w:pPr>
        <w:pStyle w:val="ListParagraph"/>
        <w:spacing w:after="120"/>
        <w:ind w:left="0"/>
        <w:jc w:val="both"/>
      </w:pPr>
    </w:p>
    <w:p w14:paraId="366F5A6E" w14:textId="77777777" w:rsidR="0001736E" w:rsidRDefault="0001736E" w:rsidP="0001736E">
      <w:pPr>
        <w:pStyle w:val="ListParagraph"/>
        <w:spacing w:after="120"/>
        <w:ind w:left="0"/>
        <w:jc w:val="both"/>
      </w:pPr>
      <w:r>
        <w:t xml:space="preserve">2. propusti sanirati ili zamijeniti </w:t>
      </w:r>
      <w:r w:rsidRPr="00477ED9">
        <w:t xml:space="preserve">komponente, </w:t>
      </w:r>
      <w:r w:rsidRPr="00020F5A">
        <w:t>provesti kontinuirani pregled komponenata i evidentirati istjecanja u skladu s člankom 14. stavcima od 8. do 13.</w:t>
      </w:r>
      <w:r>
        <w:t xml:space="preserve"> Uredbe (EU) 2024/1787 (članak 33. stavak 5. podstavak (e) Uredbe (EU) 2024/1787)</w:t>
      </w:r>
    </w:p>
    <w:p w14:paraId="0D22A016" w14:textId="77777777" w:rsidR="00BA0A53" w:rsidRDefault="00BA0A53" w:rsidP="0001736E">
      <w:pPr>
        <w:pStyle w:val="ListParagraph"/>
        <w:spacing w:after="120"/>
        <w:ind w:left="0"/>
        <w:jc w:val="both"/>
      </w:pPr>
    </w:p>
    <w:p w14:paraId="68ED0BD8" w14:textId="77777777" w:rsidR="0001736E" w:rsidRDefault="0001736E" w:rsidP="0001736E">
      <w:pPr>
        <w:pStyle w:val="ListParagraph"/>
        <w:spacing w:after="120"/>
        <w:ind w:left="0"/>
        <w:jc w:val="both"/>
      </w:pPr>
      <w:r>
        <w:lastRenderedPageBreak/>
        <w:t xml:space="preserve">3. </w:t>
      </w:r>
      <w:bookmarkStart w:id="3" w:name="_Hlk205903062"/>
      <w:proofErr w:type="spellStart"/>
      <w:r>
        <w:t>odzrači</w:t>
      </w:r>
      <w:proofErr w:type="spellEnd"/>
      <w:r>
        <w:t xml:space="preserve"> ili spali metan na baklji, uključujući i rutinsko spaljivanje metana na baklji, </w:t>
      </w:r>
      <w:r w:rsidRPr="00020F5A">
        <w:t>osim u situacijama predviđenima u članku 15. stavcima 2. i 3.</w:t>
      </w:r>
      <w:r w:rsidRPr="002A68BD">
        <w:t xml:space="preserve"> </w:t>
      </w:r>
      <w:r>
        <w:t>Uredbe (EU) 2024/1787 (članak 33. stavak 5. podstavak (g) Uredbe (EU) 2024/1787)</w:t>
      </w:r>
    </w:p>
    <w:p w14:paraId="11C9E4F3" w14:textId="77777777" w:rsidR="00BA0A53" w:rsidRDefault="00BA0A53" w:rsidP="0001736E">
      <w:pPr>
        <w:pStyle w:val="ListParagraph"/>
        <w:spacing w:after="120"/>
        <w:ind w:left="0"/>
        <w:jc w:val="both"/>
      </w:pPr>
    </w:p>
    <w:bookmarkEnd w:id="3"/>
    <w:p w14:paraId="68EC4E29" w14:textId="77777777" w:rsidR="0001736E" w:rsidRDefault="0001736E" w:rsidP="0001736E">
      <w:pPr>
        <w:pStyle w:val="ListParagraph"/>
        <w:spacing w:after="120"/>
        <w:ind w:left="0"/>
        <w:jc w:val="both"/>
      </w:pPr>
      <w:r>
        <w:t>4</w:t>
      </w:r>
      <w:r w:rsidRPr="002860E3">
        <w:t xml:space="preserve">. propusti primijeniti mjere ublažavanja u skladu s člankom 18. stavcima 6. i 9. Uredbe (EU) 2024/1787 (članak 33. stavak 5. podstavak (l) </w:t>
      </w:r>
      <w:bookmarkStart w:id="4" w:name="_Hlk207698093"/>
      <w:r w:rsidRPr="002860E3">
        <w:t>Uredbe (EU) 2024/1787</w:t>
      </w:r>
      <w:bookmarkEnd w:id="4"/>
      <w:r w:rsidRPr="002860E3">
        <w:t>).</w:t>
      </w:r>
    </w:p>
    <w:p w14:paraId="1913D08F" w14:textId="77777777" w:rsidR="00BA0A53" w:rsidRPr="002860E3" w:rsidRDefault="00BA0A53" w:rsidP="0001736E">
      <w:pPr>
        <w:pStyle w:val="ListParagraph"/>
        <w:spacing w:after="120"/>
        <w:ind w:left="0"/>
        <w:jc w:val="both"/>
      </w:pPr>
    </w:p>
    <w:p w14:paraId="4C7F5BED" w14:textId="0DD0F222" w:rsidR="0001736E" w:rsidRPr="002860E3" w:rsidRDefault="0001736E" w:rsidP="0001736E">
      <w:pPr>
        <w:pStyle w:val="ListParagraph"/>
        <w:ind w:left="0" w:firstLine="720"/>
        <w:jc w:val="both"/>
      </w:pPr>
      <w:r w:rsidRPr="002860E3">
        <w:t xml:space="preserve">(2) Novčanom kaznom u iznosu od </w:t>
      </w:r>
      <w:r w:rsidR="00B94286">
        <w:t>5</w:t>
      </w:r>
      <w:r w:rsidRPr="00B65ADA">
        <w:t>000,00</w:t>
      </w:r>
      <w:r w:rsidRPr="002860E3">
        <w:t xml:space="preserve"> eura do </w:t>
      </w:r>
      <w:r>
        <w:t>25</w:t>
      </w:r>
      <w:r w:rsidRPr="002860E3">
        <w:t>.000,00 eura kaznit će se za prekršaj iz stavka 1. ovoga članka i odgovorna osoba u pravnoj osobi koja je operator.</w:t>
      </w:r>
    </w:p>
    <w:p w14:paraId="4CF6758E" w14:textId="77777777" w:rsidR="0001736E" w:rsidRPr="002860E3" w:rsidRDefault="0001736E" w:rsidP="0001736E">
      <w:pPr>
        <w:pStyle w:val="ListParagraph"/>
        <w:ind w:left="0" w:firstLine="720"/>
        <w:jc w:val="both"/>
      </w:pPr>
    </w:p>
    <w:p w14:paraId="260895FD" w14:textId="77777777" w:rsidR="0001736E" w:rsidRPr="00B65ADA" w:rsidRDefault="0001736E" w:rsidP="0001736E">
      <w:pPr>
        <w:ind w:firstLine="708"/>
        <w:jc w:val="both"/>
      </w:pPr>
      <w:r w:rsidRPr="00B65ADA">
        <w:t>(3) Opetovano ponavljanje prekršaja predstavlja teško kršenje  Uredbe (EU) 2024/1787 i za svako ponavljanje se izriče novčana kazna uvećana za 10 % izrečene  novčane kazne.</w:t>
      </w:r>
    </w:p>
    <w:p w14:paraId="326ED6BD" w14:textId="77777777" w:rsidR="0001736E" w:rsidRPr="00B65ADA" w:rsidRDefault="0001736E" w:rsidP="0001736E">
      <w:pPr>
        <w:ind w:firstLine="708"/>
        <w:jc w:val="both"/>
      </w:pPr>
    </w:p>
    <w:p w14:paraId="6130E39B" w14:textId="77777777" w:rsidR="0001736E" w:rsidRPr="00B65ADA" w:rsidRDefault="0001736E" w:rsidP="0001736E">
      <w:pPr>
        <w:pStyle w:val="ListParagraph"/>
        <w:spacing w:after="120"/>
        <w:ind w:left="0"/>
        <w:jc w:val="both"/>
      </w:pPr>
    </w:p>
    <w:p w14:paraId="2B988E12" w14:textId="77777777" w:rsidR="0001736E" w:rsidRPr="00B65ADA" w:rsidRDefault="0001736E" w:rsidP="0001736E">
      <w:pPr>
        <w:pStyle w:val="ListParagraph"/>
        <w:ind w:left="0"/>
        <w:jc w:val="center"/>
        <w:rPr>
          <w:i/>
          <w:iCs/>
        </w:rPr>
      </w:pPr>
      <w:r w:rsidRPr="00B65ADA">
        <w:rPr>
          <w:i/>
          <w:iCs/>
        </w:rPr>
        <w:t>Kazne za lakše prekršaje operatora rudnika</w:t>
      </w:r>
    </w:p>
    <w:p w14:paraId="168F1D70" w14:textId="09371FDD" w:rsidR="0001736E" w:rsidRPr="00B65ADA" w:rsidRDefault="0001736E" w:rsidP="0001736E">
      <w:pPr>
        <w:pStyle w:val="ListParagraph"/>
        <w:spacing w:after="120"/>
        <w:ind w:left="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4</w:t>
      </w:r>
      <w:r w:rsidRPr="00B65ADA">
        <w:rPr>
          <w:b/>
          <w:bCs/>
        </w:rPr>
        <w:t>.</w:t>
      </w:r>
    </w:p>
    <w:p w14:paraId="0B68FD73" w14:textId="77777777" w:rsidR="0001736E" w:rsidRPr="002860E3" w:rsidRDefault="0001736E" w:rsidP="0001736E">
      <w:pPr>
        <w:ind w:firstLine="708"/>
        <w:jc w:val="both"/>
      </w:pPr>
      <w:r w:rsidRPr="00B65ADA">
        <w:t>(1) Novčanom kaznom u iznosu od 5000,00 eura do 50.000,00 eura kaznit će se za prekršaj pravna osoba koja je operator rudnika ako:</w:t>
      </w:r>
      <w:r w:rsidRPr="002860E3">
        <w:t xml:space="preserve"> </w:t>
      </w:r>
    </w:p>
    <w:p w14:paraId="55CFDB40" w14:textId="77777777" w:rsidR="0001736E" w:rsidRPr="002860E3" w:rsidRDefault="0001736E" w:rsidP="0001736E"/>
    <w:p w14:paraId="221B021D" w14:textId="22CE186F" w:rsidR="0001736E" w:rsidRPr="002860E3" w:rsidRDefault="0001736E" w:rsidP="00821FE7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2860E3">
        <w:t xml:space="preserve">propusti nadležnom tijelu, verifikatorima i drugim tijelima pružiti pomoć koja im je potrebna za obavljanje njihovih zadaća radi provedbe Uredbe (EU) 2024/1787 </w:t>
      </w:r>
      <w:r w:rsidR="0016070A">
        <w:t>u skladu s član</w:t>
      </w:r>
      <w:r w:rsidR="00AE4B96">
        <w:t>cima</w:t>
      </w:r>
      <w:r w:rsidR="0016070A">
        <w:t xml:space="preserve"> 5. </w:t>
      </w:r>
      <w:r w:rsidR="00AE4B96">
        <w:t xml:space="preserve">i 8. </w:t>
      </w:r>
      <w:r w:rsidR="0016070A">
        <w:t xml:space="preserve">Uredbe (EU) 2024/1787 </w:t>
      </w:r>
      <w:r w:rsidRPr="002860E3">
        <w:t xml:space="preserve">(članak 33. stavak 5. podstavak (a) Uredbe (EU) 2024/1787) </w:t>
      </w:r>
    </w:p>
    <w:p w14:paraId="012CE08A" w14:textId="77777777" w:rsidR="0001736E" w:rsidRDefault="0001736E" w:rsidP="0001736E">
      <w:pPr>
        <w:spacing w:after="120"/>
        <w:jc w:val="both"/>
      </w:pPr>
      <w:r>
        <w:t>2</w:t>
      </w:r>
      <w:r w:rsidRPr="002860E3">
        <w:t>. propusti dostaviti izvješća o emisijama metana u skladu s člankom 20. i člankom 25. stavkom 6. Uredbe (EU) 2024/1787 (članak 33. stavak 5. podstavak (c) Uredbe (EU) 2024/1787)</w:t>
      </w:r>
    </w:p>
    <w:p w14:paraId="6DC2E295" w14:textId="77777777" w:rsidR="007D4422" w:rsidRDefault="007D4422" w:rsidP="0001736E">
      <w:pPr>
        <w:spacing w:after="120"/>
        <w:jc w:val="both"/>
      </w:pPr>
    </w:p>
    <w:p w14:paraId="35006D81" w14:textId="77777777" w:rsidR="007D4422" w:rsidRDefault="007D4422" w:rsidP="0001736E">
      <w:pPr>
        <w:spacing w:after="120"/>
        <w:jc w:val="both"/>
      </w:pPr>
    </w:p>
    <w:p w14:paraId="794AE64C" w14:textId="77777777" w:rsidR="007D4422" w:rsidRPr="002860E3" w:rsidRDefault="007D4422" w:rsidP="0001736E">
      <w:pPr>
        <w:spacing w:after="120"/>
        <w:jc w:val="both"/>
      </w:pPr>
    </w:p>
    <w:p w14:paraId="31AEC4FB" w14:textId="3D23304C" w:rsidR="0001736E" w:rsidRDefault="0001736E" w:rsidP="0001736E">
      <w:pPr>
        <w:pStyle w:val="ListParagraph"/>
        <w:spacing w:after="120"/>
        <w:ind w:left="0"/>
        <w:jc w:val="both"/>
      </w:pPr>
      <w:r>
        <w:t>3</w:t>
      </w:r>
      <w:r w:rsidRPr="002860E3">
        <w:t xml:space="preserve">. propusti dostaviti izjavu o verifikaciji </w:t>
      </w:r>
      <w:r w:rsidR="0044231E">
        <w:t xml:space="preserve">u skladu s člankom </w:t>
      </w:r>
      <w:r w:rsidR="00673F33">
        <w:t>20</w:t>
      </w:r>
      <w:r w:rsidR="0044231E">
        <w:t xml:space="preserve">. i člankom </w:t>
      </w:r>
      <w:r w:rsidR="00673F33">
        <w:t>25</w:t>
      </w:r>
      <w:r w:rsidR="0044231E">
        <w:t xml:space="preserve">. Uredbe (EU) 2024/1787 </w:t>
      </w:r>
      <w:r w:rsidRPr="002860E3">
        <w:t>koju je izdao neovisni verifikator u skladu s člankom 8. stavkom 4. Uredbe (EU) 2024/1787 (članak 33. stavak 5. podstavak (c) Uredbe (EU) 2024/1787)</w:t>
      </w:r>
    </w:p>
    <w:p w14:paraId="2D4D38CD" w14:textId="77777777" w:rsidR="00BA0A53" w:rsidRPr="002860E3" w:rsidRDefault="00BA0A53" w:rsidP="0001736E">
      <w:pPr>
        <w:pStyle w:val="ListParagraph"/>
        <w:spacing w:after="120"/>
        <w:ind w:left="0"/>
        <w:jc w:val="both"/>
      </w:pPr>
    </w:p>
    <w:p w14:paraId="18C7A987" w14:textId="6DFF4C76" w:rsidR="0001736E" w:rsidRDefault="0001736E" w:rsidP="0001736E">
      <w:pPr>
        <w:pStyle w:val="ListParagraph"/>
        <w:spacing w:after="120"/>
        <w:ind w:left="0"/>
        <w:jc w:val="both"/>
      </w:pPr>
      <w:r>
        <w:t>4</w:t>
      </w:r>
      <w:r w:rsidRPr="002860E3">
        <w:t xml:space="preserve">. propusti dokazati potrebu za upotrebom </w:t>
      </w:r>
      <w:proofErr w:type="spellStart"/>
      <w:r w:rsidRPr="002860E3">
        <w:t>odzračivanja</w:t>
      </w:r>
      <w:proofErr w:type="spellEnd"/>
      <w:r w:rsidRPr="002860E3">
        <w:t xml:space="preserve"> metana umjesto spaljivanja metana na baklji i dokazati potrebu za upotrebom spaljivanja metana na baklji umjesto ponovnog </w:t>
      </w:r>
      <w:r>
        <w:t>utiskivanja</w:t>
      </w:r>
      <w:r w:rsidRPr="002860E3">
        <w:t>, iskorištavanja na licu mjesta, skladištenja radi kasnije upotrebe ili otpremanja metana na tržište, u skladu s člankom 22. stavcima 1. i 2. i člankom 26. stavkom 2. Uredbe (EU) 2024/1787 (članak 33. stavak 5. podstavak (h) Uredbe (EU) 2024/1787)</w:t>
      </w:r>
    </w:p>
    <w:p w14:paraId="3F3B7508" w14:textId="77777777" w:rsidR="005D7E40" w:rsidRDefault="005D7E40" w:rsidP="0001736E">
      <w:pPr>
        <w:pStyle w:val="ListParagraph"/>
        <w:spacing w:after="120"/>
        <w:ind w:left="0"/>
        <w:jc w:val="both"/>
      </w:pPr>
    </w:p>
    <w:p w14:paraId="3EBF64F1" w14:textId="651A5BAA" w:rsidR="0001736E" w:rsidRPr="002860E3" w:rsidRDefault="0001736E" w:rsidP="0001736E">
      <w:pPr>
        <w:pStyle w:val="ListParagraph"/>
        <w:spacing w:after="120"/>
        <w:ind w:left="0"/>
        <w:jc w:val="both"/>
      </w:pPr>
      <w:r>
        <w:lastRenderedPageBreak/>
        <w:t>5</w:t>
      </w:r>
      <w:r w:rsidRPr="002860E3">
        <w:t xml:space="preserve">. propusti prijaviti slučajeve </w:t>
      </w:r>
      <w:proofErr w:type="spellStart"/>
      <w:r w:rsidRPr="002860E3">
        <w:t>odzračivanja</w:t>
      </w:r>
      <w:proofErr w:type="spellEnd"/>
      <w:r w:rsidRPr="002860E3">
        <w:t xml:space="preserve"> metana i slučajeve spaljivanja metana na baklji ili izvijestiti o njima u skladu s člankom 23. stavkom 1. ili člankom 26. Uredbe (EU) 2024/1787 (članak 33. stavak 5. podstavak (j) Uredbe (EU) 2024/1787).</w:t>
      </w:r>
    </w:p>
    <w:p w14:paraId="4F9038EB" w14:textId="23E5BA40" w:rsidR="0001736E" w:rsidRPr="00B65ADA" w:rsidRDefault="0001736E" w:rsidP="0001736E">
      <w:pPr>
        <w:spacing w:after="120"/>
        <w:ind w:firstLine="708"/>
        <w:jc w:val="both"/>
      </w:pPr>
      <w:r w:rsidRPr="00B65ADA">
        <w:t xml:space="preserve">(2) Novčanom kaznom u iznosu od </w:t>
      </w:r>
      <w:r w:rsidR="00B94286">
        <w:t>5</w:t>
      </w:r>
      <w:r w:rsidR="00B94286" w:rsidRPr="00B65ADA">
        <w:t>00</w:t>
      </w:r>
      <w:r w:rsidRPr="00B65ADA">
        <w:t xml:space="preserve">,00 eura do </w:t>
      </w:r>
      <w:r w:rsidR="00B94286">
        <w:t>5</w:t>
      </w:r>
      <w:r w:rsidRPr="00B65ADA">
        <w:t>000,00 eura kaznit će se za prekršaj iz stavka 1. ovoga članka i odgovorna osoba u pravnoj osobi koja je operator rudnika.</w:t>
      </w:r>
    </w:p>
    <w:p w14:paraId="6AE47CEA" w14:textId="77777777" w:rsidR="0001736E" w:rsidRPr="00B65ADA" w:rsidRDefault="0001736E" w:rsidP="0001736E">
      <w:pPr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novčane kazne.</w:t>
      </w:r>
    </w:p>
    <w:p w14:paraId="5A990C46" w14:textId="77777777" w:rsidR="0001736E" w:rsidRPr="00B65ADA" w:rsidRDefault="0001736E" w:rsidP="0001736E">
      <w:pPr>
        <w:ind w:firstLine="708"/>
        <w:jc w:val="both"/>
      </w:pPr>
    </w:p>
    <w:p w14:paraId="3C78CF98" w14:textId="77777777" w:rsidR="0001736E" w:rsidRPr="00B65ADA" w:rsidRDefault="0001736E" w:rsidP="0001736E">
      <w:pPr>
        <w:pStyle w:val="ListParagraph"/>
        <w:ind w:left="0"/>
        <w:jc w:val="center"/>
        <w:rPr>
          <w:i/>
          <w:iCs/>
        </w:rPr>
      </w:pPr>
      <w:r w:rsidRPr="00B65ADA">
        <w:rPr>
          <w:i/>
          <w:iCs/>
        </w:rPr>
        <w:t>Kazne za teže prekršaje operatora rudnika</w:t>
      </w:r>
    </w:p>
    <w:p w14:paraId="01C0BEDB" w14:textId="66C05558" w:rsidR="0001736E" w:rsidRPr="00B65ADA" w:rsidRDefault="0001736E" w:rsidP="0001736E">
      <w:pPr>
        <w:pStyle w:val="ListParagraph"/>
        <w:spacing w:after="120"/>
        <w:ind w:left="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5</w:t>
      </w:r>
      <w:r w:rsidRPr="00B65ADA">
        <w:rPr>
          <w:b/>
          <w:bCs/>
        </w:rPr>
        <w:t>.</w:t>
      </w:r>
    </w:p>
    <w:p w14:paraId="5A6699B8" w14:textId="77777777" w:rsidR="0001736E" w:rsidRPr="00B65ADA" w:rsidRDefault="0001736E" w:rsidP="0001736E">
      <w:pPr>
        <w:ind w:firstLine="708"/>
        <w:jc w:val="both"/>
      </w:pPr>
      <w:r w:rsidRPr="00B65ADA">
        <w:t xml:space="preserve">(1) Novčanom kaznom u iznosu od 50.000,00 eura do 250.000,00 eura kaznit će se za prekršaj pravna osoba koja je operator rudnika ako: </w:t>
      </w:r>
    </w:p>
    <w:p w14:paraId="2D241099" w14:textId="77777777" w:rsidR="0001736E" w:rsidRPr="00B65ADA" w:rsidRDefault="0001736E" w:rsidP="0001736E"/>
    <w:p w14:paraId="5B9D8583" w14:textId="77777777" w:rsidR="0001736E" w:rsidRDefault="0001736E" w:rsidP="0001736E">
      <w:pPr>
        <w:pStyle w:val="ListParagraph"/>
        <w:tabs>
          <w:tab w:val="left" w:pos="284"/>
        </w:tabs>
        <w:spacing w:after="120"/>
        <w:ind w:left="0"/>
        <w:jc w:val="both"/>
      </w:pPr>
      <w:r w:rsidRPr="00B65ADA">
        <w:t>1. propusti provesti mjere utvrđene u izvješćima o inspekcijskom nadzoru iz članka 6. stavaka 5. i 6. Uredbe (EU) 2024/1787 (članak 33. stavak 5. podstavak (b) Uredbe (EU) 2024/1787)</w:t>
      </w:r>
    </w:p>
    <w:p w14:paraId="431FE853" w14:textId="77777777" w:rsidR="00BA0A53" w:rsidRPr="00B65ADA" w:rsidRDefault="00BA0A53" w:rsidP="0001736E">
      <w:pPr>
        <w:pStyle w:val="ListParagraph"/>
        <w:tabs>
          <w:tab w:val="left" w:pos="284"/>
        </w:tabs>
        <w:spacing w:after="120"/>
        <w:ind w:left="0"/>
        <w:jc w:val="both"/>
      </w:pPr>
    </w:p>
    <w:p w14:paraId="4517DAD1" w14:textId="77777777" w:rsidR="0001736E" w:rsidRPr="00B65ADA" w:rsidRDefault="0001736E" w:rsidP="0001736E">
      <w:pPr>
        <w:pStyle w:val="ListParagraph"/>
        <w:spacing w:after="120"/>
        <w:ind w:left="0"/>
        <w:jc w:val="both"/>
      </w:pPr>
      <w:r w:rsidRPr="00B65ADA">
        <w:t xml:space="preserve">2. </w:t>
      </w:r>
      <w:proofErr w:type="spellStart"/>
      <w:r w:rsidRPr="00B65ADA">
        <w:t>odzrači</w:t>
      </w:r>
      <w:proofErr w:type="spellEnd"/>
      <w:r w:rsidRPr="00B65ADA">
        <w:t xml:space="preserve"> ili spali metan na baklji, uključujući i rutinsko spaljivanje metana na baklji, osim u situacijama predviđenima u članku 22. stavcima 1. i 2. i članku 26. stavku 2. Uredbe (EU) 2024/1787 (članak 33. stavak 5. podstavak (g) Uredbe (EU) 2024/1787)</w:t>
      </w:r>
    </w:p>
    <w:p w14:paraId="3F3250CD" w14:textId="3F26F00F" w:rsidR="0001736E" w:rsidRPr="00B65ADA" w:rsidRDefault="0001736E" w:rsidP="0001736E">
      <w:pPr>
        <w:spacing w:after="120"/>
        <w:ind w:firstLine="708"/>
        <w:jc w:val="both"/>
      </w:pPr>
      <w:r w:rsidRPr="00B65ADA">
        <w:t xml:space="preserve">(2) Novčanom kaznom u iznosu od </w:t>
      </w:r>
      <w:r w:rsidR="00B94286">
        <w:t>5</w:t>
      </w:r>
      <w:r w:rsidRPr="00B65ADA">
        <w:t>000,00 eura do 25.000,00 eura kaznit će se za prekršaj iz stavka 1. ovoga članka i odgovorna osoba u pravnoj osobi koja je operator rudnika.</w:t>
      </w:r>
    </w:p>
    <w:p w14:paraId="0852B041" w14:textId="77777777" w:rsidR="0001736E" w:rsidRPr="002860E3" w:rsidRDefault="0001736E" w:rsidP="0001736E">
      <w:pPr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novčane kazne.</w:t>
      </w:r>
    </w:p>
    <w:p w14:paraId="674050AD" w14:textId="77777777" w:rsidR="0001736E" w:rsidRDefault="0001736E" w:rsidP="0001736E">
      <w:pPr>
        <w:pStyle w:val="ListParagraph"/>
        <w:ind w:left="0"/>
        <w:rPr>
          <w:i/>
          <w:iCs/>
        </w:rPr>
      </w:pPr>
    </w:p>
    <w:p w14:paraId="2963FD5A" w14:textId="77777777" w:rsidR="0001736E" w:rsidRDefault="0001736E" w:rsidP="0001736E">
      <w:pPr>
        <w:pStyle w:val="ListParagraph"/>
        <w:ind w:left="0"/>
        <w:jc w:val="center"/>
        <w:rPr>
          <w:i/>
          <w:iCs/>
        </w:rPr>
      </w:pPr>
    </w:p>
    <w:p w14:paraId="7BFB2CE0" w14:textId="77777777" w:rsidR="0001736E" w:rsidRPr="002860E3" w:rsidRDefault="0001736E" w:rsidP="0001736E">
      <w:pPr>
        <w:pStyle w:val="ListParagraph"/>
        <w:ind w:left="0"/>
        <w:jc w:val="center"/>
        <w:rPr>
          <w:i/>
          <w:iCs/>
        </w:rPr>
      </w:pPr>
      <w:r w:rsidRPr="002860E3">
        <w:rPr>
          <w:i/>
          <w:iCs/>
        </w:rPr>
        <w:t>Kazne za prekršaje uvoznika</w:t>
      </w:r>
    </w:p>
    <w:p w14:paraId="6DF57CA4" w14:textId="68812FF2" w:rsidR="0001736E" w:rsidRPr="002860E3" w:rsidRDefault="0001736E" w:rsidP="00821FE7">
      <w:pPr>
        <w:pStyle w:val="ListParagraph"/>
        <w:spacing w:after="120"/>
        <w:ind w:left="0"/>
        <w:contextualSpacing w:val="0"/>
        <w:jc w:val="center"/>
        <w:rPr>
          <w:b/>
          <w:bCs/>
        </w:rPr>
      </w:pPr>
      <w:r w:rsidRPr="002860E3">
        <w:rPr>
          <w:b/>
          <w:bCs/>
        </w:rPr>
        <w:t>Članak 1</w:t>
      </w:r>
      <w:r w:rsidR="00D02349">
        <w:rPr>
          <w:b/>
          <w:bCs/>
        </w:rPr>
        <w:t>6</w:t>
      </w:r>
      <w:r>
        <w:rPr>
          <w:b/>
          <w:bCs/>
        </w:rPr>
        <w:t>.</w:t>
      </w:r>
    </w:p>
    <w:p w14:paraId="7DBB95BD" w14:textId="3F1946EF" w:rsidR="0001736E" w:rsidRDefault="0001736E" w:rsidP="0001736E">
      <w:pPr>
        <w:pStyle w:val="ListParagraph"/>
        <w:spacing w:after="120"/>
        <w:ind w:left="0"/>
        <w:jc w:val="both"/>
      </w:pPr>
      <w:r w:rsidRPr="002860E3">
        <w:tab/>
        <w:t xml:space="preserve">(1) Novčanom kaznom u iznosu </w:t>
      </w:r>
      <w:r w:rsidRPr="000B6921">
        <w:t xml:space="preserve">od 5000,00 eura do </w:t>
      </w:r>
      <w:r w:rsidR="00B94286">
        <w:t>5</w:t>
      </w:r>
      <w:r w:rsidR="00B94286" w:rsidRPr="000B6921">
        <w:t>0</w:t>
      </w:r>
      <w:r w:rsidRPr="000B6921">
        <w:t xml:space="preserve">.000,00 eura kaznit će se za prekršaj pravna osoba koja je uvoznik ako: </w:t>
      </w:r>
    </w:p>
    <w:p w14:paraId="11C6D639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206C5EBC" w14:textId="47C30781" w:rsidR="0001736E" w:rsidRDefault="0001736E" w:rsidP="0001736E">
      <w:pPr>
        <w:pStyle w:val="ListParagraph"/>
        <w:spacing w:after="120"/>
        <w:ind w:left="0"/>
        <w:jc w:val="both"/>
      </w:pPr>
      <w:r w:rsidRPr="000B6921">
        <w:t>1. propusti nadležnom tijelu, verifikatorima i drugim tijelima pružiti pomoć koja im je potrebna za obavljanje njihovih zadaća radi provedbe Uredbe (EU) 2024/1787</w:t>
      </w:r>
      <w:r w:rsidR="009B355C">
        <w:t xml:space="preserve"> u skladu s član</w:t>
      </w:r>
      <w:r w:rsidR="000522E4">
        <w:t>cima</w:t>
      </w:r>
      <w:r w:rsidR="009B355C">
        <w:t xml:space="preserve"> 5. </w:t>
      </w:r>
      <w:r w:rsidR="000522E4">
        <w:t xml:space="preserve">i 8. </w:t>
      </w:r>
      <w:r w:rsidR="009B355C">
        <w:t>Uredbe (EU) 2024/1787</w:t>
      </w:r>
      <w:r w:rsidRPr="000B6921">
        <w:t xml:space="preserve"> (članak 33. stavak 5. podstavak (a) Uredbe (EU) 2024/1787)</w:t>
      </w:r>
    </w:p>
    <w:p w14:paraId="2C09A11B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787B1B80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 xml:space="preserve">2. propusti </w:t>
      </w:r>
      <w:bookmarkStart w:id="5" w:name="_Hlk205969889"/>
      <w:r w:rsidRPr="000B6921">
        <w:t>dostaviti informacije koje se zahtijevaju u skladu s člankom 27. stavkom 1. i Prilogom IX. Uredbe (EU) 2024/1787 (članak 33. stavak 5. podstavak (m) Uredbe (EU) 2024/1787)</w:t>
      </w:r>
    </w:p>
    <w:p w14:paraId="7451B5C6" w14:textId="77777777" w:rsidR="00B13E57" w:rsidRDefault="00B13E57" w:rsidP="0001736E">
      <w:pPr>
        <w:pStyle w:val="ListParagraph"/>
        <w:spacing w:after="120"/>
        <w:ind w:left="0"/>
        <w:jc w:val="both"/>
      </w:pPr>
    </w:p>
    <w:p w14:paraId="33ACC66E" w14:textId="77777777" w:rsidR="007D4422" w:rsidRDefault="007D4422" w:rsidP="0001736E">
      <w:pPr>
        <w:pStyle w:val="ListParagraph"/>
        <w:spacing w:after="120"/>
        <w:ind w:left="0"/>
        <w:jc w:val="both"/>
      </w:pPr>
    </w:p>
    <w:p w14:paraId="0E63DA4C" w14:textId="77777777" w:rsidR="007D4422" w:rsidRDefault="007D4422" w:rsidP="0001736E">
      <w:pPr>
        <w:pStyle w:val="ListParagraph"/>
        <w:spacing w:after="120"/>
        <w:ind w:left="0"/>
        <w:jc w:val="both"/>
      </w:pPr>
    </w:p>
    <w:p w14:paraId="5FF4BDDC" w14:textId="77777777" w:rsidR="007D4422" w:rsidRPr="000B6921" w:rsidRDefault="007D4422" w:rsidP="0001736E">
      <w:pPr>
        <w:pStyle w:val="ListParagraph"/>
        <w:spacing w:after="120"/>
        <w:ind w:left="0"/>
        <w:jc w:val="both"/>
      </w:pPr>
    </w:p>
    <w:bookmarkEnd w:id="5"/>
    <w:p w14:paraId="25DAE919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>3. propusti dostaviti informacije koje se zahtijevaju u skladu s člankom 28. stavcima 1. i 2. Uredbe (EU) 2024/1787 (članak 33. stavak 5. podstavak (n) Uredbe (EU) 2024/1787)</w:t>
      </w:r>
    </w:p>
    <w:p w14:paraId="75E95F2D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7A916C2C" w14:textId="07D723A9" w:rsidR="00D60E79" w:rsidRDefault="0001736E" w:rsidP="0001736E">
      <w:pPr>
        <w:pStyle w:val="ListParagraph"/>
        <w:spacing w:after="120"/>
        <w:ind w:left="0"/>
        <w:jc w:val="both"/>
      </w:pPr>
      <w:r w:rsidRPr="000B6921">
        <w:t>4. propusti dostaviti informacije koje se zahtijevaju u skladu s člankom 29. stavcima 1. i 2. Uredbe (EU) 2024/1787 (članak 33. stavak 5. podstavak (o) Uredbe (EU) 2024/1787)</w:t>
      </w:r>
    </w:p>
    <w:p w14:paraId="582019D6" w14:textId="77777777" w:rsidR="00D60E79" w:rsidRDefault="00D60E79" w:rsidP="0001736E">
      <w:pPr>
        <w:pStyle w:val="ListParagraph"/>
        <w:spacing w:after="120"/>
        <w:ind w:left="0"/>
        <w:jc w:val="both"/>
      </w:pPr>
    </w:p>
    <w:p w14:paraId="13BBE346" w14:textId="4D83E61F" w:rsidR="0001736E" w:rsidRDefault="0001736E" w:rsidP="0001736E">
      <w:pPr>
        <w:pStyle w:val="ListParagraph"/>
        <w:spacing w:after="120"/>
        <w:ind w:left="0"/>
        <w:jc w:val="both"/>
      </w:pPr>
      <w:r w:rsidRPr="000B6921">
        <w:t>5. propusti pridržavati se maksimalnih vrijednosti intenziteta metana utvrđenih u delegiranim aktima donesenima u skladu s člankom 29. stavkom 6. Uredbe (EU) 2024/1787 (članak 33. stavak 5. podstavak (p) Uredbe (EU) 2024/1787).</w:t>
      </w:r>
    </w:p>
    <w:p w14:paraId="4438794D" w14:textId="77777777" w:rsidR="000873DC" w:rsidRDefault="000873DC" w:rsidP="0001736E">
      <w:pPr>
        <w:pStyle w:val="ListParagraph"/>
        <w:spacing w:after="120"/>
        <w:ind w:left="0"/>
        <w:jc w:val="both"/>
      </w:pPr>
    </w:p>
    <w:p w14:paraId="2A0AA85B" w14:textId="53D43BE0" w:rsidR="0001736E" w:rsidRPr="000B6921" w:rsidRDefault="0001736E" w:rsidP="0001736E">
      <w:pPr>
        <w:pStyle w:val="ListParagraph"/>
        <w:spacing w:after="120"/>
        <w:ind w:left="0" w:firstLine="720"/>
        <w:jc w:val="both"/>
      </w:pPr>
      <w:r w:rsidRPr="000B6921">
        <w:t xml:space="preserve">(2) Novčanom kaznom u iznosu od </w:t>
      </w:r>
      <w:r w:rsidR="00B94286">
        <w:t>5</w:t>
      </w:r>
      <w:r w:rsidR="00B94286" w:rsidRPr="000B6921">
        <w:t>00</w:t>
      </w:r>
      <w:r w:rsidRPr="000B6921">
        <w:t xml:space="preserve">,00 eura do </w:t>
      </w:r>
      <w:r w:rsidR="00B94286">
        <w:t>5</w:t>
      </w:r>
      <w:r w:rsidRPr="000B6921">
        <w:t>000,00 eura kaznit će se za prekršaj iz stavka 1. ovoga članka i odgovorna osoba u pravnoj osobi koja je uvoznik.</w:t>
      </w:r>
    </w:p>
    <w:p w14:paraId="75E9802D" w14:textId="7300E3A1" w:rsidR="0001736E" w:rsidRPr="002860E3" w:rsidRDefault="0001736E" w:rsidP="0001736E">
      <w:pPr>
        <w:ind w:firstLine="708"/>
        <w:jc w:val="both"/>
      </w:pPr>
      <w:r w:rsidRPr="002860E3">
        <w:t>(</w:t>
      </w:r>
      <w:r>
        <w:t>3</w:t>
      </w:r>
      <w:r w:rsidRPr="002860E3">
        <w:t xml:space="preserve">) Opetovano ponavljanje prekršaja predstavlja teško kršenje Uredbe (EU) 2024/1787 i za svako ponavljanje se izriče novčana kazna uvećana za </w:t>
      </w:r>
      <w:r>
        <w:t>10</w:t>
      </w:r>
      <w:r w:rsidRPr="002860E3">
        <w:t xml:space="preserve"> % </w:t>
      </w:r>
      <w:r>
        <w:t>izrečene</w:t>
      </w:r>
      <w:r w:rsidRPr="002860E3">
        <w:t xml:space="preserve"> novčane kazne.</w:t>
      </w:r>
    </w:p>
    <w:p w14:paraId="19E72560" w14:textId="77777777" w:rsidR="0001736E" w:rsidRPr="009D0A6E" w:rsidRDefault="0001736E" w:rsidP="0001736E">
      <w:pPr>
        <w:ind w:firstLine="708"/>
        <w:jc w:val="both"/>
      </w:pPr>
    </w:p>
    <w:p w14:paraId="5391A46C" w14:textId="77777777" w:rsidR="0001736E" w:rsidRPr="009D0A6E" w:rsidRDefault="0001736E" w:rsidP="0001736E">
      <w:pPr>
        <w:pStyle w:val="ListParagraph"/>
        <w:ind w:left="0"/>
        <w:jc w:val="center"/>
        <w:rPr>
          <w:i/>
          <w:iCs/>
        </w:rPr>
      </w:pPr>
      <w:r>
        <w:rPr>
          <w:i/>
          <w:iCs/>
        </w:rPr>
        <w:t>Kazne za p</w:t>
      </w:r>
      <w:r w:rsidRPr="009D0A6E">
        <w:rPr>
          <w:i/>
          <w:iCs/>
        </w:rPr>
        <w:t>rekršaj</w:t>
      </w:r>
      <w:r>
        <w:rPr>
          <w:i/>
          <w:iCs/>
        </w:rPr>
        <w:t>e</w:t>
      </w:r>
      <w:r w:rsidRPr="009D0A6E">
        <w:rPr>
          <w:i/>
          <w:iCs/>
        </w:rPr>
        <w:t xml:space="preserve"> proizvođača iz Europske unije</w:t>
      </w:r>
    </w:p>
    <w:p w14:paraId="155DA731" w14:textId="675548FE" w:rsidR="0001736E" w:rsidRPr="009D0A6E" w:rsidRDefault="0001736E" w:rsidP="00821FE7">
      <w:pPr>
        <w:pStyle w:val="ListParagraph"/>
        <w:spacing w:after="120"/>
        <w:ind w:left="0"/>
        <w:contextualSpacing w:val="0"/>
        <w:jc w:val="center"/>
      </w:pPr>
      <w:r w:rsidRPr="009D0A6E">
        <w:rPr>
          <w:b/>
          <w:bCs/>
        </w:rPr>
        <w:t>Članak 1</w:t>
      </w:r>
      <w:r w:rsidR="00D02349">
        <w:rPr>
          <w:b/>
          <w:bCs/>
        </w:rPr>
        <w:t>7</w:t>
      </w:r>
      <w:r w:rsidRPr="009D0A6E">
        <w:rPr>
          <w:b/>
          <w:bCs/>
        </w:rPr>
        <w:t>.</w:t>
      </w:r>
    </w:p>
    <w:p w14:paraId="44E3C21D" w14:textId="77777777" w:rsidR="0001736E" w:rsidRPr="000B6921" w:rsidRDefault="0001736E" w:rsidP="00821FE7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ind w:left="0" w:firstLine="709"/>
        <w:contextualSpacing w:val="0"/>
        <w:jc w:val="both"/>
      </w:pPr>
      <w:r w:rsidRPr="009D0A6E">
        <w:t xml:space="preserve"> Novčanom kaznom u iznosu od </w:t>
      </w:r>
      <w:r w:rsidRPr="000B6921">
        <w:t>5000,00 eura do 50.000,00 eura kaznit će se za prekršaj pravna osoba koja je proizvođač ako:</w:t>
      </w:r>
    </w:p>
    <w:p w14:paraId="709ABF07" w14:textId="77777777" w:rsidR="0001736E" w:rsidRPr="000B6921" w:rsidRDefault="0001736E" w:rsidP="00821FE7">
      <w:pPr>
        <w:pStyle w:val="ListParagraph"/>
        <w:numPr>
          <w:ilvl w:val="0"/>
          <w:numId w:val="8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0B6921">
        <w:t>propusti dostaviti informacije koje se zahtijevaju u skladu s člankom 29. stavcima 1. i 2. Uredbe (EU) 2024/1787 (članak 33. stavak 5. podstavak (o) Uredbe (EU) 2024/1787)</w:t>
      </w:r>
    </w:p>
    <w:p w14:paraId="7B9F7057" w14:textId="77777777" w:rsidR="0001736E" w:rsidRPr="000B6921" w:rsidRDefault="0001736E" w:rsidP="00821FE7">
      <w:pPr>
        <w:pStyle w:val="ListParagraph"/>
        <w:numPr>
          <w:ilvl w:val="0"/>
          <w:numId w:val="8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0B6921">
        <w:t>propusti pridržavati se maksimalnih vrijednosti intenziteta metana utvrđenih u delegiranim aktima donesenima u skladu s člankom 29. stavkom 6. Uredbe (EU) 2024/1787 (članak 33. stavak 5. podstavak (p) Uredbe (EU) 2024/1787).</w:t>
      </w:r>
    </w:p>
    <w:p w14:paraId="2EA5C31A" w14:textId="1009E4B5" w:rsidR="0001736E" w:rsidRPr="009D0A6E" w:rsidRDefault="0001736E" w:rsidP="0001736E">
      <w:pPr>
        <w:pStyle w:val="ListParagraph"/>
        <w:spacing w:after="120"/>
        <w:ind w:left="0" w:firstLine="708"/>
        <w:jc w:val="both"/>
      </w:pPr>
      <w:r w:rsidRPr="000B6921">
        <w:t xml:space="preserve">(2) Novčanom kaznom u iznosu od </w:t>
      </w:r>
      <w:r w:rsidR="00960F12">
        <w:t>5</w:t>
      </w:r>
      <w:r w:rsidR="00960F12" w:rsidRPr="000B6921">
        <w:t>00</w:t>
      </w:r>
      <w:r w:rsidRPr="000B6921">
        <w:t xml:space="preserve">,00 eura do </w:t>
      </w:r>
      <w:r w:rsidR="00960F12">
        <w:t>5</w:t>
      </w:r>
      <w:r w:rsidRPr="000B6921">
        <w:t>000,00 eura kaznit će se za prekršaj iz stavka 1. ovoga članka i odgovorna osoba u pravnoj osobi koja je proizvođač.</w:t>
      </w:r>
    </w:p>
    <w:p w14:paraId="283A7BE9" w14:textId="77777777" w:rsidR="0001736E" w:rsidRPr="009D0A6E" w:rsidRDefault="0001736E" w:rsidP="0001736E">
      <w:pPr>
        <w:ind w:firstLine="708"/>
        <w:jc w:val="both"/>
      </w:pPr>
      <w:r w:rsidRPr="009D0A6E">
        <w:t>(</w:t>
      </w:r>
      <w:r>
        <w:t>3</w:t>
      </w:r>
      <w:r w:rsidRPr="009D0A6E">
        <w:t xml:space="preserve">) Opetovano ponavljanje prekršaja predstavlja teško kršenje </w:t>
      </w:r>
      <w:r w:rsidRPr="002860E3">
        <w:t>Uredbe (EU) 2024/1787</w:t>
      </w:r>
      <w:r w:rsidRPr="009D0A6E">
        <w:t xml:space="preserve"> i za svako ponavljanje se izriče novčana kazna uvećana za </w:t>
      </w:r>
      <w:r>
        <w:t>10</w:t>
      </w:r>
      <w:r w:rsidRPr="009D0A6E">
        <w:t xml:space="preserve"> % </w:t>
      </w:r>
      <w:r>
        <w:t>izrečene</w:t>
      </w:r>
      <w:r w:rsidRPr="009D0A6E">
        <w:t xml:space="preserve"> novčane kazne.</w:t>
      </w:r>
    </w:p>
    <w:p w14:paraId="66B06DB6" w14:textId="77777777" w:rsidR="0001736E" w:rsidRDefault="0001736E" w:rsidP="0001736E">
      <w:pPr>
        <w:pStyle w:val="ListParagraph"/>
        <w:ind w:left="0"/>
        <w:rPr>
          <w:i/>
          <w:iCs/>
        </w:rPr>
      </w:pPr>
    </w:p>
    <w:p w14:paraId="25F7EBA7" w14:textId="77777777" w:rsidR="0001736E" w:rsidRDefault="0001736E" w:rsidP="0001736E">
      <w:pPr>
        <w:jc w:val="center"/>
      </w:pPr>
    </w:p>
    <w:p w14:paraId="17F694CB" w14:textId="1468F826" w:rsidR="009D2174" w:rsidRDefault="009D2174" w:rsidP="0001736E">
      <w:pPr>
        <w:jc w:val="center"/>
      </w:pPr>
      <w:r>
        <w:t>ODJELJAK 4.</w:t>
      </w:r>
    </w:p>
    <w:p w14:paraId="33183D69" w14:textId="03670D6D" w:rsidR="0001736E" w:rsidRPr="000B6921" w:rsidRDefault="00C8735F" w:rsidP="0001736E">
      <w:pPr>
        <w:jc w:val="center"/>
      </w:pPr>
      <w:r>
        <w:t xml:space="preserve"> Upravne s</w:t>
      </w:r>
      <w:r w:rsidR="009D2174" w:rsidRPr="000B6921">
        <w:t>ankcije</w:t>
      </w:r>
    </w:p>
    <w:p w14:paraId="43F8B385" w14:textId="77777777" w:rsidR="0001736E" w:rsidRPr="009D0A6E" w:rsidRDefault="0001736E" w:rsidP="0001736E">
      <w:pPr>
        <w:jc w:val="center"/>
        <w:rPr>
          <w:b/>
          <w:bCs/>
        </w:rPr>
      </w:pPr>
    </w:p>
    <w:p w14:paraId="370BCF02" w14:textId="77777777" w:rsidR="0001736E" w:rsidRDefault="0001736E" w:rsidP="0001736E">
      <w:pPr>
        <w:jc w:val="center"/>
        <w:rPr>
          <w:i/>
          <w:iCs/>
        </w:rPr>
      </w:pPr>
      <w:r>
        <w:rPr>
          <w:i/>
          <w:iCs/>
        </w:rPr>
        <w:t>Opće odredbe</w:t>
      </w:r>
      <w:r w:rsidRPr="00DB5924">
        <w:rPr>
          <w:i/>
          <w:iCs/>
        </w:rPr>
        <w:t xml:space="preserve"> </w:t>
      </w:r>
    </w:p>
    <w:p w14:paraId="5B114376" w14:textId="58C68071" w:rsidR="0001736E" w:rsidRDefault="0001736E" w:rsidP="0001736E">
      <w:pPr>
        <w:spacing w:after="120"/>
        <w:jc w:val="center"/>
        <w:rPr>
          <w:i/>
          <w:iCs/>
        </w:rPr>
      </w:pPr>
      <w:r w:rsidRPr="000B6921">
        <w:rPr>
          <w:b/>
          <w:bCs/>
        </w:rPr>
        <w:t>Članak 1</w:t>
      </w:r>
      <w:r w:rsidR="00D02349">
        <w:rPr>
          <w:b/>
          <w:bCs/>
        </w:rPr>
        <w:t>8</w:t>
      </w:r>
      <w:r w:rsidRPr="000B6921">
        <w:rPr>
          <w:b/>
          <w:bCs/>
        </w:rPr>
        <w:t>.</w:t>
      </w:r>
    </w:p>
    <w:p w14:paraId="3A9EE6FA" w14:textId="6F835DCF" w:rsidR="0001736E" w:rsidRPr="00BB338D" w:rsidRDefault="0001736E" w:rsidP="000330A5">
      <w:pPr>
        <w:pStyle w:val="ListParagraph"/>
        <w:numPr>
          <w:ilvl w:val="0"/>
          <w:numId w:val="9"/>
        </w:numPr>
        <w:tabs>
          <w:tab w:val="left" w:pos="1134"/>
        </w:tabs>
        <w:ind w:left="0" w:firstLine="851"/>
        <w:contextualSpacing w:val="0"/>
        <w:jc w:val="both"/>
      </w:pPr>
      <w:r>
        <w:t xml:space="preserve"> </w:t>
      </w:r>
      <w:r w:rsidRPr="000B6921">
        <w:t xml:space="preserve">U svrhu osiguranja provedbe Uredbe (EU) 2024/1787 utvrđuju se dnevni penali </w:t>
      </w:r>
      <w:r w:rsidRPr="00BB338D">
        <w:t>kako bi se obveznike prisililo da prestanu s kršenjem, postupe u skladu s odlukom kojom se nalaže poduzimanje korektivnih djelovanja ili korektivnih mjera, dostave informacije ili da se podvrgnu inspekcijskom nadzoru, ovisno o slučaju.</w:t>
      </w:r>
    </w:p>
    <w:p w14:paraId="7D0FD79D" w14:textId="77777777" w:rsidR="0001736E" w:rsidRPr="000B6921" w:rsidRDefault="0001736E" w:rsidP="0001736E">
      <w:pPr>
        <w:pStyle w:val="ListParagraph"/>
        <w:tabs>
          <w:tab w:val="left" w:pos="1134"/>
        </w:tabs>
        <w:ind w:left="851"/>
        <w:jc w:val="both"/>
      </w:pPr>
    </w:p>
    <w:p w14:paraId="63CF9739" w14:textId="77777777" w:rsidR="0001736E" w:rsidRPr="000B6921" w:rsidRDefault="0001736E" w:rsidP="00821FE7">
      <w:pPr>
        <w:pStyle w:val="ListParagraph"/>
        <w:numPr>
          <w:ilvl w:val="0"/>
          <w:numId w:val="9"/>
        </w:numPr>
        <w:tabs>
          <w:tab w:val="left" w:pos="1134"/>
        </w:tabs>
        <w:ind w:left="0" w:firstLine="851"/>
        <w:contextualSpacing w:val="0"/>
        <w:jc w:val="both"/>
      </w:pPr>
      <w:r w:rsidRPr="000B6921">
        <w:t xml:space="preserve"> Za izricanje dnevnih penala primjenjuju se kriteriji sukladno Uredbi (EU) 2024/1787.</w:t>
      </w:r>
    </w:p>
    <w:p w14:paraId="2DE942D8" w14:textId="77777777" w:rsidR="0001736E" w:rsidRPr="005811DC" w:rsidRDefault="0001736E" w:rsidP="0001736E">
      <w:pPr>
        <w:pStyle w:val="ListParagraph"/>
        <w:ind w:left="360"/>
        <w:jc w:val="both"/>
      </w:pPr>
    </w:p>
    <w:p w14:paraId="57984EC2" w14:textId="21AA27D3" w:rsidR="008E508B" w:rsidRDefault="008E508B" w:rsidP="00821FE7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ind w:left="0" w:firstLine="851"/>
        <w:contextualSpacing w:val="0"/>
        <w:jc w:val="both"/>
      </w:pPr>
      <w:r>
        <w:t xml:space="preserve"> </w:t>
      </w:r>
      <w:r w:rsidR="00C859A1">
        <w:t xml:space="preserve">Postupak radi utvrđivanja dnevnih penala vode tijela iz </w:t>
      </w:r>
      <w:r w:rsidR="00B800A2">
        <w:t>članka 7. ovoga Zakona.</w:t>
      </w:r>
    </w:p>
    <w:p w14:paraId="4B2C7FEE" w14:textId="77777777" w:rsidR="008E508B" w:rsidRDefault="008E508B" w:rsidP="009E55FF">
      <w:pPr>
        <w:pStyle w:val="ListParagraph"/>
        <w:tabs>
          <w:tab w:val="left" w:pos="851"/>
          <w:tab w:val="left" w:pos="1134"/>
        </w:tabs>
        <w:ind w:left="851"/>
        <w:contextualSpacing w:val="0"/>
        <w:jc w:val="both"/>
      </w:pPr>
    </w:p>
    <w:p w14:paraId="68B629D7" w14:textId="652682BC" w:rsidR="0001736E" w:rsidRPr="005811DC" w:rsidRDefault="008E508B" w:rsidP="009E55FF">
      <w:pPr>
        <w:pStyle w:val="ListParagraph"/>
        <w:tabs>
          <w:tab w:val="left" w:pos="851"/>
          <w:tab w:val="left" w:pos="1134"/>
        </w:tabs>
        <w:ind w:left="851"/>
        <w:contextualSpacing w:val="0"/>
        <w:jc w:val="both"/>
      </w:pPr>
      <w:r>
        <w:t xml:space="preserve">(4) </w:t>
      </w:r>
      <w:r w:rsidR="0001736E" w:rsidRPr="005811DC">
        <w:t>Osim sluča</w:t>
      </w:r>
      <w:r w:rsidR="0001736E">
        <w:t>j</w:t>
      </w:r>
      <w:r w:rsidR="0001736E" w:rsidRPr="005811DC">
        <w:t xml:space="preserve">a iz stavka 1. ovoga </w:t>
      </w:r>
      <w:r w:rsidR="0001736E">
        <w:t>članka</w:t>
      </w:r>
      <w:r w:rsidR="0001736E" w:rsidRPr="005811DC">
        <w:t>, može se:</w:t>
      </w:r>
    </w:p>
    <w:p w14:paraId="2F7000FC" w14:textId="77777777" w:rsidR="0001736E" w:rsidRPr="005811DC" w:rsidRDefault="0001736E" w:rsidP="0001736E">
      <w:pPr>
        <w:jc w:val="both"/>
      </w:pPr>
    </w:p>
    <w:p w14:paraId="76E2A241" w14:textId="77777777" w:rsidR="0001736E" w:rsidRPr="005811DC" w:rsidRDefault="0001736E" w:rsidP="00821FE7">
      <w:pPr>
        <w:pStyle w:val="box47241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donijeti rješenje o prestanku kršenja</w:t>
      </w:r>
    </w:p>
    <w:p w14:paraId="6F77883A" w14:textId="77777777" w:rsidR="0001736E" w:rsidRPr="005811DC" w:rsidRDefault="0001736E" w:rsidP="00821FE7">
      <w:pPr>
        <w:pStyle w:val="box47241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izdati javno upozorenje ili obavijest.</w:t>
      </w:r>
    </w:p>
    <w:p w14:paraId="679B5E46" w14:textId="77777777" w:rsidR="00821FE7" w:rsidRDefault="00821FE7" w:rsidP="0001736E">
      <w:pPr>
        <w:rPr>
          <w:i/>
          <w:iCs/>
        </w:rPr>
      </w:pPr>
    </w:p>
    <w:p w14:paraId="01F17F3D" w14:textId="77777777" w:rsidR="006977F2" w:rsidRDefault="006977F2" w:rsidP="0001736E">
      <w:pPr>
        <w:rPr>
          <w:i/>
          <w:iCs/>
        </w:rPr>
      </w:pPr>
    </w:p>
    <w:p w14:paraId="668BE3A8" w14:textId="77777777" w:rsidR="0001736E" w:rsidRPr="009D0A6E" w:rsidRDefault="0001736E" w:rsidP="0001736E">
      <w:pPr>
        <w:jc w:val="center"/>
        <w:rPr>
          <w:i/>
          <w:iCs/>
        </w:rPr>
      </w:pPr>
      <w:r>
        <w:rPr>
          <w:i/>
          <w:iCs/>
        </w:rPr>
        <w:t>Dnevni</w:t>
      </w:r>
      <w:r w:rsidRPr="009D0A6E">
        <w:rPr>
          <w:i/>
          <w:iCs/>
        </w:rPr>
        <w:t xml:space="preserve"> penali</w:t>
      </w:r>
    </w:p>
    <w:p w14:paraId="281EDBFE" w14:textId="47CC5EAA" w:rsidR="00112DA3" w:rsidRPr="009D0A6E" w:rsidRDefault="0001736E" w:rsidP="0001736E">
      <w:pPr>
        <w:spacing w:after="120"/>
        <w:jc w:val="center"/>
        <w:rPr>
          <w:b/>
          <w:bCs/>
        </w:rPr>
      </w:pPr>
      <w:r w:rsidRPr="009D0A6E">
        <w:rPr>
          <w:b/>
          <w:bCs/>
        </w:rPr>
        <w:t xml:space="preserve">Članak </w:t>
      </w:r>
      <w:r w:rsidR="00D02349">
        <w:rPr>
          <w:b/>
          <w:bCs/>
        </w:rPr>
        <w:t>19</w:t>
      </w:r>
      <w:r w:rsidRPr="009D0A6E">
        <w:rPr>
          <w:b/>
          <w:bCs/>
        </w:rPr>
        <w:t>.</w:t>
      </w:r>
    </w:p>
    <w:p w14:paraId="33D359B4" w14:textId="0990155F" w:rsidR="00D60E79" w:rsidRPr="000B515D" w:rsidRDefault="0001736E" w:rsidP="000B515D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b/>
          <w:bCs/>
        </w:rPr>
      </w:pPr>
      <w:r>
        <w:t xml:space="preserve"> </w:t>
      </w:r>
      <w:r w:rsidR="00C813F4">
        <w:t>Dnevni penali izriču se z</w:t>
      </w:r>
      <w:r>
        <w:t xml:space="preserve">a </w:t>
      </w:r>
      <w:r w:rsidR="006F55E1">
        <w:t xml:space="preserve">kršenje odredbi Uredbe </w:t>
      </w:r>
      <w:r w:rsidR="00771E33">
        <w:t>navedenim u</w:t>
      </w:r>
      <w:r>
        <w:t xml:space="preserve"> člank</w:t>
      </w:r>
      <w:r w:rsidR="00771E33">
        <w:t>u</w:t>
      </w:r>
      <w:r>
        <w:t xml:space="preserve"> 1</w:t>
      </w:r>
      <w:r w:rsidR="00872152">
        <w:t>2</w:t>
      </w:r>
      <w:r>
        <w:t>. stavk</w:t>
      </w:r>
      <w:r w:rsidR="00771E33">
        <w:t>u</w:t>
      </w:r>
      <w:r>
        <w:t xml:space="preserve"> 1. točk</w:t>
      </w:r>
      <w:r w:rsidR="00771E33">
        <w:t>i</w:t>
      </w:r>
      <w:r>
        <w:t xml:space="preserve"> 9., člank</w:t>
      </w:r>
      <w:r w:rsidR="00771E33">
        <w:t>u</w:t>
      </w:r>
      <w:r>
        <w:t xml:space="preserve"> 1</w:t>
      </w:r>
      <w:r w:rsidR="00872152">
        <w:t>3</w:t>
      </w:r>
      <w:r>
        <w:t>. stavk</w:t>
      </w:r>
      <w:r w:rsidR="00771E33">
        <w:t>u</w:t>
      </w:r>
      <w:r>
        <w:t xml:space="preserve"> 1. točk</w:t>
      </w:r>
      <w:r w:rsidR="00771E33">
        <w:t>ama</w:t>
      </w:r>
      <w:r>
        <w:t xml:space="preserve"> 2. i 3. i člank</w:t>
      </w:r>
      <w:r w:rsidR="00771E33">
        <w:t>u</w:t>
      </w:r>
      <w:r>
        <w:t xml:space="preserve"> 1</w:t>
      </w:r>
      <w:r w:rsidR="00872152">
        <w:t>5</w:t>
      </w:r>
      <w:r>
        <w:t>. stavk</w:t>
      </w:r>
      <w:r w:rsidR="00771E33">
        <w:t>u</w:t>
      </w:r>
      <w:r>
        <w:t xml:space="preserve"> 1. točk</w:t>
      </w:r>
      <w:r w:rsidR="00771E33">
        <w:t>i</w:t>
      </w:r>
      <w:r>
        <w:t xml:space="preserve"> 2. ovoga Zakona, </w:t>
      </w:r>
      <w:r w:rsidR="00771E33">
        <w:t>nakon izdanog drugog upozorenja</w:t>
      </w:r>
      <w:r>
        <w:t>.</w:t>
      </w:r>
    </w:p>
    <w:p w14:paraId="5A75C886" w14:textId="77777777" w:rsidR="0001736E" w:rsidRPr="007A6D8B" w:rsidRDefault="0001736E" w:rsidP="0001736E">
      <w:pPr>
        <w:pStyle w:val="ListParagraph"/>
        <w:tabs>
          <w:tab w:val="left" w:pos="993"/>
        </w:tabs>
        <w:ind w:left="709"/>
        <w:jc w:val="both"/>
        <w:rPr>
          <w:b/>
          <w:bCs/>
        </w:rPr>
      </w:pPr>
    </w:p>
    <w:p w14:paraId="739AA5CD" w14:textId="77777777" w:rsidR="0001736E" w:rsidRPr="00C50157" w:rsidRDefault="0001736E" w:rsidP="00821FE7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b/>
          <w:bCs/>
        </w:rPr>
      </w:pPr>
      <w:r>
        <w:t xml:space="preserve"> Dnevni penali iz stavka 1. ovoga članka utvrđuju se rješenjem u iznosu </w:t>
      </w:r>
      <w:r w:rsidRPr="00C50157">
        <w:t xml:space="preserve">od 500,00 eura po danu, u kojem se naznačuje rok i način uplate utvrđenog </w:t>
      </w:r>
      <w:r>
        <w:t>dnevnog</w:t>
      </w:r>
      <w:r w:rsidRPr="00C50157">
        <w:t xml:space="preserve"> penala.</w:t>
      </w:r>
    </w:p>
    <w:p w14:paraId="0ED7A39C" w14:textId="77777777" w:rsidR="0001736E" w:rsidRPr="00C50157" w:rsidRDefault="0001736E" w:rsidP="0001736E">
      <w:pPr>
        <w:jc w:val="both"/>
        <w:rPr>
          <w:b/>
          <w:bCs/>
        </w:rPr>
      </w:pPr>
    </w:p>
    <w:p w14:paraId="01AC4E26" w14:textId="77777777" w:rsidR="0001736E" w:rsidRPr="00C50157" w:rsidRDefault="0001736E" w:rsidP="00821FE7">
      <w:pPr>
        <w:pStyle w:val="ListParagraph"/>
        <w:numPr>
          <w:ilvl w:val="0"/>
          <w:numId w:val="10"/>
        </w:numPr>
        <w:tabs>
          <w:tab w:val="left" w:pos="993"/>
        </w:tabs>
        <w:ind w:hanging="11"/>
        <w:contextualSpacing w:val="0"/>
        <w:jc w:val="both"/>
        <w:rPr>
          <w:b/>
          <w:bCs/>
        </w:rPr>
      </w:pPr>
      <w:r w:rsidRPr="00C50157">
        <w:t xml:space="preserve"> </w:t>
      </w:r>
      <w:r>
        <w:t xml:space="preserve">Dnevni </w:t>
      </w:r>
      <w:r w:rsidRPr="00C50157">
        <w:t>penali iz stavka 1. ovoga članka se plaćaju do ispunjenja obveze.</w:t>
      </w:r>
    </w:p>
    <w:p w14:paraId="4A3EBD4E" w14:textId="77777777" w:rsidR="0001736E" w:rsidRPr="00F81D7A" w:rsidRDefault="0001736E" w:rsidP="0001736E"/>
    <w:p w14:paraId="63F12756" w14:textId="77777777" w:rsidR="0001736E" w:rsidRDefault="0001736E" w:rsidP="0001736E">
      <w:pPr>
        <w:rPr>
          <w:b/>
          <w:bCs/>
        </w:rPr>
      </w:pPr>
    </w:p>
    <w:p w14:paraId="357F0275" w14:textId="77777777" w:rsidR="0001736E" w:rsidRDefault="0001736E" w:rsidP="0001736E">
      <w:pPr>
        <w:jc w:val="center"/>
        <w:rPr>
          <w:b/>
          <w:bCs/>
        </w:rPr>
      </w:pPr>
    </w:p>
    <w:p w14:paraId="403BEABD" w14:textId="30E14226" w:rsidR="009D2174" w:rsidRDefault="009D2174" w:rsidP="0001736E">
      <w:pPr>
        <w:jc w:val="center"/>
      </w:pPr>
      <w:r>
        <w:t>ODJELJAK 5.</w:t>
      </w:r>
    </w:p>
    <w:p w14:paraId="648E11C7" w14:textId="5768C6B1" w:rsidR="0001736E" w:rsidRPr="000778AA" w:rsidRDefault="009D2174" w:rsidP="0001736E">
      <w:pPr>
        <w:jc w:val="center"/>
      </w:pPr>
      <w:r>
        <w:t>P</w:t>
      </w:r>
      <w:r w:rsidRPr="000778AA">
        <w:t>rijelazna i završna odredba</w:t>
      </w:r>
    </w:p>
    <w:p w14:paraId="394CDFE0" w14:textId="77777777" w:rsidR="0001736E" w:rsidRDefault="0001736E" w:rsidP="0001736E">
      <w:pPr>
        <w:jc w:val="center"/>
        <w:rPr>
          <w:b/>
          <w:bCs/>
        </w:rPr>
      </w:pPr>
    </w:p>
    <w:p w14:paraId="55357362" w14:textId="77777777" w:rsidR="0001736E" w:rsidRDefault="0001736E" w:rsidP="0001736E">
      <w:pPr>
        <w:jc w:val="center"/>
        <w:rPr>
          <w:i/>
          <w:iCs/>
        </w:rPr>
      </w:pPr>
      <w:r w:rsidRPr="00020F5A">
        <w:rPr>
          <w:i/>
          <w:iCs/>
        </w:rPr>
        <w:t>Plan ublažavanja</w:t>
      </w:r>
    </w:p>
    <w:p w14:paraId="7E985CBA" w14:textId="699B5EB2" w:rsidR="0001736E" w:rsidRDefault="0001736E" w:rsidP="0001736E">
      <w:pPr>
        <w:spacing w:after="120"/>
        <w:jc w:val="center"/>
        <w:rPr>
          <w:b/>
          <w:bCs/>
        </w:rPr>
      </w:pPr>
      <w:r w:rsidRPr="000778AA">
        <w:rPr>
          <w:b/>
          <w:bCs/>
        </w:rPr>
        <w:t>Članak 2</w:t>
      </w:r>
      <w:r w:rsidR="00D02349">
        <w:rPr>
          <w:b/>
          <w:bCs/>
        </w:rPr>
        <w:t>0</w:t>
      </w:r>
      <w:r w:rsidRPr="000778AA">
        <w:rPr>
          <w:b/>
          <w:bCs/>
        </w:rPr>
        <w:t>.</w:t>
      </w:r>
    </w:p>
    <w:p w14:paraId="362A3B84" w14:textId="0038BA57" w:rsidR="0001736E" w:rsidRPr="00020F5A" w:rsidRDefault="0001736E" w:rsidP="0001736E">
      <w:pPr>
        <w:jc w:val="both"/>
      </w:pPr>
      <w:r>
        <w:tab/>
        <w:t>Ministar</w:t>
      </w:r>
      <w:r w:rsidR="00876D7E">
        <w:t xml:space="preserve"> </w:t>
      </w:r>
      <w:r>
        <w:t>nadlež</w:t>
      </w:r>
      <w:r w:rsidR="00876D7E">
        <w:t>an</w:t>
      </w:r>
      <w:r>
        <w:t xml:space="preserve"> za energetiku će donijeti plan ublažavanja iz članka </w:t>
      </w:r>
      <w:r w:rsidR="00A023E1">
        <w:t>6</w:t>
      </w:r>
      <w:r>
        <w:t xml:space="preserve">. </w:t>
      </w:r>
      <w:r w:rsidR="00A023E1">
        <w:t>ovoga Zakona</w:t>
      </w:r>
      <w:r>
        <w:t xml:space="preserve"> do 5. kolovoza 2026.</w:t>
      </w:r>
    </w:p>
    <w:p w14:paraId="0D39F8D2" w14:textId="77777777" w:rsidR="0001736E" w:rsidRDefault="0001736E" w:rsidP="0001736E">
      <w:pPr>
        <w:jc w:val="center"/>
        <w:rPr>
          <w:b/>
          <w:bCs/>
        </w:rPr>
      </w:pPr>
    </w:p>
    <w:p w14:paraId="040B36CE" w14:textId="77777777" w:rsidR="0001736E" w:rsidRPr="00020F5A" w:rsidRDefault="0001736E" w:rsidP="0001736E">
      <w:pPr>
        <w:jc w:val="center"/>
        <w:rPr>
          <w:i/>
          <w:iCs/>
        </w:rPr>
      </w:pPr>
      <w:r w:rsidRPr="00020F5A">
        <w:rPr>
          <w:i/>
          <w:iCs/>
        </w:rPr>
        <w:t>Stupanje na snagu</w:t>
      </w:r>
    </w:p>
    <w:p w14:paraId="3D423E40" w14:textId="2BCF1F1E" w:rsidR="0001736E" w:rsidRDefault="0001736E" w:rsidP="0001736E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Članak 2</w:t>
      </w:r>
      <w:r w:rsidR="00D02349">
        <w:rPr>
          <w:b/>
          <w:bCs/>
        </w:rPr>
        <w:t>1</w:t>
      </w:r>
      <w:r>
        <w:rPr>
          <w:b/>
          <w:bCs/>
        </w:rPr>
        <w:t>.</w:t>
      </w:r>
    </w:p>
    <w:p w14:paraId="315AE6AE" w14:textId="77777777" w:rsidR="0001736E" w:rsidRDefault="0001736E" w:rsidP="00C8454F">
      <w:pPr>
        <w:ind w:firstLine="708"/>
        <w:rPr>
          <w:b/>
          <w:bCs/>
        </w:rPr>
      </w:pPr>
      <w:r w:rsidRPr="00866998">
        <w:t xml:space="preserve">Ovaj Zakon stupa na snagu osmoga dana od dana objave u </w:t>
      </w:r>
      <w:r>
        <w:t>„</w:t>
      </w:r>
      <w:r w:rsidRPr="00866998">
        <w:t>Narodnim novinama</w:t>
      </w:r>
      <w:r>
        <w:t>“</w:t>
      </w:r>
      <w:r w:rsidRPr="00866998">
        <w:t xml:space="preserve">. </w:t>
      </w:r>
    </w:p>
    <w:p w14:paraId="07507B5A" w14:textId="77777777" w:rsidR="0001736E" w:rsidRDefault="0001736E" w:rsidP="0001736E">
      <w:pPr>
        <w:pStyle w:val="box474668"/>
        <w:spacing w:after="120" w:afterAutospacing="0"/>
        <w:jc w:val="center"/>
        <w:rPr>
          <w:b/>
          <w:bCs/>
        </w:rPr>
      </w:pPr>
    </w:p>
    <w:p w14:paraId="3598F2E1" w14:textId="77777777" w:rsidR="0001736E" w:rsidRDefault="0001736E" w:rsidP="0001736E">
      <w:pPr>
        <w:pStyle w:val="box474668"/>
        <w:spacing w:after="120" w:afterAutospacing="0"/>
        <w:jc w:val="center"/>
        <w:rPr>
          <w:b/>
          <w:bCs/>
        </w:rPr>
      </w:pPr>
    </w:p>
    <w:p w14:paraId="12019C28" w14:textId="77777777" w:rsidR="00D02349" w:rsidRDefault="00D02349" w:rsidP="00713B77">
      <w:pPr>
        <w:pStyle w:val="box474668"/>
        <w:spacing w:after="120" w:afterAutospacing="0"/>
        <w:rPr>
          <w:b/>
          <w:bCs/>
        </w:rPr>
      </w:pPr>
    </w:p>
    <w:p w14:paraId="3585972D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263B2B7A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5AED2739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338F6A95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20222A2F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2DB80075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35B1956F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42A8F10D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02AA2BFD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2F4168C3" w14:textId="77777777" w:rsidR="00D60E79" w:rsidRDefault="00D60E79" w:rsidP="00713B77">
      <w:pPr>
        <w:pStyle w:val="box474668"/>
        <w:spacing w:after="120" w:afterAutospacing="0"/>
        <w:rPr>
          <w:b/>
          <w:bCs/>
        </w:rPr>
      </w:pPr>
    </w:p>
    <w:p w14:paraId="66DDAD6D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21F5368F" w14:textId="38366AF5" w:rsidR="005D7E40" w:rsidRDefault="006726F2" w:rsidP="00C57CBB">
      <w:pPr>
        <w:pStyle w:val="ListParagraph"/>
        <w:spacing w:after="12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OBRAZLOŽENJE</w:t>
      </w:r>
    </w:p>
    <w:p w14:paraId="33A053F9" w14:textId="77777777" w:rsidR="00112DA3" w:rsidRDefault="00112DA3" w:rsidP="00C57CBB">
      <w:pPr>
        <w:pStyle w:val="ListParagraph"/>
        <w:spacing w:after="120"/>
        <w:ind w:left="0"/>
        <w:contextualSpacing w:val="0"/>
        <w:jc w:val="center"/>
        <w:rPr>
          <w:b/>
          <w:bCs/>
        </w:rPr>
      </w:pPr>
    </w:p>
    <w:p w14:paraId="57BD9180" w14:textId="77777777" w:rsidR="005D7E40" w:rsidRDefault="005D7E40" w:rsidP="005D7E40">
      <w:pPr>
        <w:jc w:val="center"/>
        <w:rPr>
          <w:b/>
          <w:bCs/>
        </w:rPr>
      </w:pPr>
    </w:p>
    <w:p w14:paraId="3FA55C51" w14:textId="20E4100F" w:rsidR="005D7E40" w:rsidRDefault="005D7E40" w:rsidP="00EE3E5E">
      <w:pPr>
        <w:ind w:left="709" w:hanging="709"/>
        <w:contextualSpacing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="00EE3E5E">
        <w:rPr>
          <w:b/>
          <w:bCs/>
        </w:rPr>
        <w:t>RAZLOZI ZBOG KOJIH SE ZAKON DONOSI</w:t>
      </w:r>
    </w:p>
    <w:p w14:paraId="5DF83A12" w14:textId="77777777" w:rsidR="00EE3E5E" w:rsidRDefault="00EE3E5E" w:rsidP="00EE4D76">
      <w:pPr>
        <w:jc w:val="both"/>
      </w:pPr>
    </w:p>
    <w:p w14:paraId="16D8A74C" w14:textId="4DE1C019" w:rsidR="00EE3E5E" w:rsidRDefault="00EE3E5E" w:rsidP="00EE3E5E">
      <w:pPr>
        <w:ind w:firstLine="709"/>
        <w:jc w:val="both"/>
      </w:pPr>
      <w:r>
        <w:rPr>
          <w:color w:val="000000" w:themeColor="text1"/>
        </w:rPr>
        <w:t>Ovaj Zakon se donosi</w:t>
      </w:r>
      <w:r w:rsidRPr="00AA4BBA">
        <w:t xml:space="preserve"> </w:t>
      </w:r>
      <w:r>
        <w:t>k</w:t>
      </w:r>
      <w:r w:rsidRPr="00AA4BBA">
        <w:t>ako bi se osigurala provedba Uredbe</w:t>
      </w:r>
      <w:r>
        <w:t xml:space="preserve"> (EU) 2024/1787</w:t>
      </w:r>
      <w:r w:rsidR="00B64DCD" w:rsidRPr="00B64DCD">
        <w:rPr>
          <w:color w:val="000000"/>
        </w:rPr>
        <w:t xml:space="preserve"> </w:t>
      </w:r>
      <w:r w:rsidR="00B64DCD">
        <w:rPr>
          <w:color w:val="000000"/>
        </w:rPr>
        <w:t xml:space="preserve">Europskog parlamenta i Vijeća od 13. lipnja 2024. </w:t>
      </w:r>
      <w:r w:rsidR="00B64DCD" w:rsidRPr="00694736">
        <w:rPr>
          <w:color w:val="000000"/>
        </w:rPr>
        <w:t>o smanjenju emisija metana u energetskom sektoru i izmjeni Uredbe (EU) 2019/942</w:t>
      </w:r>
      <w:r w:rsidR="00B64DCD" w:rsidRPr="00AA4BBA">
        <w:t xml:space="preserve"> (</w:t>
      </w:r>
      <w:r w:rsidR="00B64DCD">
        <w:t>u daljnjem tekstu</w:t>
      </w:r>
      <w:r w:rsidR="00B64DCD" w:rsidRPr="00AA4BBA">
        <w:t>: Uredba</w:t>
      </w:r>
      <w:r w:rsidR="00B64DCD">
        <w:t xml:space="preserve"> (EU) 2024/1787</w:t>
      </w:r>
      <w:r w:rsidR="00B64DCD" w:rsidRPr="00AA4BBA">
        <w:t>)</w:t>
      </w:r>
      <w:r w:rsidRPr="00AA4BBA">
        <w:t xml:space="preserve">, koja je </w:t>
      </w:r>
      <w:r w:rsidR="003A4432">
        <w:t xml:space="preserve">stupila na snagu 4. kolovoza 2024., </w:t>
      </w:r>
      <w:r w:rsidRPr="00AA4BBA">
        <w:t xml:space="preserve">u cijelosti </w:t>
      </w:r>
      <w:r w:rsidR="00916AE8">
        <w:t xml:space="preserve">je </w:t>
      </w:r>
      <w:r w:rsidRPr="00AA4BBA">
        <w:t>obvezujuća i primjenjuje se u svim državama članicama</w:t>
      </w:r>
      <w:r>
        <w:t xml:space="preserve">, ali je </w:t>
      </w:r>
      <w:r w:rsidRPr="00AA4BBA">
        <w:t xml:space="preserve">potrebno </w:t>
      </w:r>
      <w:r>
        <w:t xml:space="preserve">Zakonom </w:t>
      </w:r>
      <w:r w:rsidRPr="00AA4BBA">
        <w:t>odrediti nadležn</w:t>
      </w:r>
      <w:r>
        <w:t>o</w:t>
      </w:r>
      <w:r w:rsidRPr="00AA4BBA">
        <w:t xml:space="preserve"> tijel</w:t>
      </w:r>
      <w:r>
        <w:t>o</w:t>
      </w:r>
      <w:r w:rsidRPr="00AA4BBA">
        <w:t xml:space="preserve"> </w:t>
      </w:r>
      <w:r w:rsidRPr="00856E9C">
        <w:rPr>
          <w:lang w:eastAsia="zh-CN"/>
        </w:rPr>
        <w:t>odgovorno za provedbu i nadzor mjera iz Uredbe</w:t>
      </w:r>
      <w:r>
        <w:rPr>
          <w:lang w:eastAsia="zh-CN"/>
        </w:rPr>
        <w:t xml:space="preserve"> (EU) </w:t>
      </w:r>
      <w:r>
        <w:t xml:space="preserve">2024/1787 </w:t>
      </w:r>
      <w:r w:rsidRPr="00AA4BBA">
        <w:t>te prekršajne odredbe</w:t>
      </w:r>
      <w:r>
        <w:t>.</w:t>
      </w:r>
    </w:p>
    <w:p w14:paraId="45D373D4" w14:textId="77777777" w:rsidR="005D7E40" w:rsidRPr="000B7B0F" w:rsidRDefault="005D7E40" w:rsidP="005D7E40">
      <w:pPr>
        <w:ind w:firstLine="709"/>
        <w:jc w:val="both"/>
      </w:pPr>
    </w:p>
    <w:p w14:paraId="580DB9D9" w14:textId="2FAF9863" w:rsidR="005D7E40" w:rsidRDefault="005D7E40" w:rsidP="00F822D9">
      <w:pPr>
        <w:pStyle w:val="ListParagraph"/>
        <w:ind w:left="709" w:hanging="709"/>
        <w:jc w:val="both"/>
      </w:pPr>
      <w:r>
        <w:rPr>
          <w:b/>
          <w:bCs/>
        </w:rPr>
        <w:lastRenderedPageBreak/>
        <w:t>II.</w:t>
      </w:r>
      <w:r>
        <w:rPr>
          <w:b/>
          <w:bCs/>
        </w:rPr>
        <w:tab/>
      </w:r>
      <w:r w:rsidRPr="00E6131D">
        <w:rPr>
          <w:b/>
          <w:bCs/>
        </w:rPr>
        <w:t xml:space="preserve">PITANJA KOJA SE ZAKONOM </w:t>
      </w:r>
      <w:r w:rsidR="00F822D9">
        <w:rPr>
          <w:b/>
          <w:bCs/>
        </w:rPr>
        <w:t>RJEŠAVAJU</w:t>
      </w:r>
    </w:p>
    <w:p w14:paraId="6DC165AA" w14:textId="77777777" w:rsidR="005D7E40" w:rsidRDefault="005D7E40" w:rsidP="005D7E40">
      <w:pPr>
        <w:ind w:firstLine="709"/>
        <w:jc w:val="both"/>
      </w:pPr>
    </w:p>
    <w:p w14:paraId="456F0A87" w14:textId="2DE1F55E" w:rsidR="00EE4D76" w:rsidRDefault="00EE4D76" w:rsidP="00EE4D76">
      <w:pPr>
        <w:ind w:firstLine="709"/>
        <w:jc w:val="both"/>
      </w:pPr>
      <w:r w:rsidRPr="00694736">
        <w:rPr>
          <w:color w:val="000000"/>
        </w:rPr>
        <w:t>Uredb</w:t>
      </w:r>
      <w:r>
        <w:rPr>
          <w:color w:val="000000"/>
        </w:rPr>
        <w:t>a</w:t>
      </w:r>
      <w:r w:rsidRPr="00694736">
        <w:rPr>
          <w:color w:val="000000"/>
        </w:rPr>
        <w:t xml:space="preserve"> (EU) 2024/1787 </w:t>
      </w:r>
      <w:r w:rsidRPr="00A530C5">
        <w:t>utvrđuj</w:t>
      </w:r>
      <w:r>
        <w:t>e</w:t>
      </w:r>
      <w:r w:rsidRPr="00A530C5">
        <w:t xml:space="preserve"> pravila za točno mjerenje, kvantifikaciju, praćenje, izvješćivanje i verifikaciju emisija metana u energetskom sektoru u Euro</w:t>
      </w:r>
      <w:r>
        <w:t>ps</w:t>
      </w:r>
      <w:r w:rsidRPr="00A530C5">
        <w:t xml:space="preserve">koj uniji,  </w:t>
      </w:r>
      <w:r>
        <w:t xml:space="preserve">kao i za </w:t>
      </w:r>
      <w:r w:rsidRPr="00A530C5">
        <w:t xml:space="preserve">smanjivanje tih emisija, među ostalim s pomoću pregleda radi otkrivanja i sanacije </w:t>
      </w:r>
      <w:r>
        <w:t xml:space="preserve">mjesta </w:t>
      </w:r>
      <w:r w:rsidRPr="00147A34">
        <w:t>istjecanja</w:t>
      </w:r>
      <w:r w:rsidRPr="00343957">
        <w:t>,</w:t>
      </w:r>
      <w:r w:rsidRPr="00A530C5">
        <w:t xml:space="preserve"> obveze u pogledu sanacije te ograničenja </w:t>
      </w:r>
      <w:proofErr w:type="spellStart"/>
      <w:r w:rsidRPr="00A530C5">
        <w:t>odzračivanja</w:t>
      </w:r>
      <w:proofErr w:type="spellEnd"/>
      <w:r w:rsidRPr="00A530C5">
        <w:t xml:space="preserve"> i spaljivanja na baklji. Uredbom </w:t>
      </w:r>
      <w:r>
        <w:t xml:space="preserve">(EU) 2024/1787 </w:t>
      </w:r>
      <w:r w:rsidRPr="00A530C5">
        <w:t xml:space="preserve">se utvrđuju i pravila o alatima kojima se osigurava transparentnost u pogledu emisija metana. </w:t>
      </w:r>
    </w:p>
    <w:p w14:paraId="70FD4259" w14:textId="77777777" w:rsidR="005A7EFB" w:rsidRPr="00955248" w:rsidRDefault="005A7EFB" w:rsidP="00EE4D76">
      <w:pPr>
        <w:ind w:firstLine="709"/>
        <w:jc w:val="both"/>
      </w:pPr>
    </w:p>
    <w:p w14:paraId="6769CE0F" w14:textId="369846C9" w:rsidR="005A7EFB" w:rsidRPr="00BC5B7C" w:rsidRDefault="00B3271E" w:rsidP="005A7EFB">
      <w:pPr>
        <w:ind w:firstLine="709"/>
        <w:jc w:val="both"/>
      </w:pPr>
      <w:r w:rsidRPr="00BC5B7C">
        <w:t>M</w:t>
      </w:r>
      <w:r w:rsidR="005A7EFB" w:rsidRPr="00BC5B7C">
        <w:t xml:space="preserve">inistarstvo nadležno za energetiku </w:t>
      </w:r>
      <w:r w:rsidRPr="00BC5B7C">
        <w:t xml:space="preserve">određuje se </w:t>
      </w:r>
      <w:r w:rsidR="005A7EFB" w:rsidRPr="00BC5B7C">
        <w:t>nadležn</w:t>
      </w:r>
      <w:r w:rsidRPr="00BC5B7C">
        <w:t>im</w:t>
      </w:r>
      <w:r w:rsidR="005A7EFB" w:rsidRPr="00BC5B7C">
        <w:t xml:space="preserve"> tijelo</w:t>
      </w:r>
      <w:r w:rsidRPr="00BC5B7C">
        <w:t>m</w:t>
      </w:r>
      <w:r w:rsidR="005A7EFB" w:rsidRPr="00BC5B7C">
        <w:t xml:space="preserve"> odgovorn</w:t>
      </w:r>
      <w:r w:rsidRPr="00BC5B7C">
        <w:t>im</w:t>
      </w:r>
      <w:r w:rsidR="005A7EFB" w:rsidRPr="00BC5B7C">
        <w:t xml:space="preserve"> za praćenje i provedbu Uredbe </w:t>
      </w:r>
      <w:r w:rsidR="001E7B3F" w:rsidRPr="00BC5B7C">
        <w:t>(EU) 2024/1787</w:t>
      </w:r>
      <w:r w:rsidR="00717AE0" w:rsidRPr="00BC5B7C">
        <w:t xml:space="preserve"> i isto</w:t>
      </w:r>
      <w:r w:rsidR="005A7EFB" w:rsidRPr="00BC5B7C">
        <w:t xml:space="preserve"> uspostavlja kontaktnu točku radi izvršenja svojih zadaća.</w:t>
      </w:r>
    </w:p>
    <w:p w14:paraId="2748BFE6" w14:textId="77777777" w:rsidR="00591E7C" w:rsidRPr="00BC5B7C" w:rsidRDefault="00591E7C" w:rsidP="005A7EFB">
      <w:pPr>
        <w:ind w:firstLine="709"/>
        <w:jc w:val="both"/>
      </w:pPr>
    </w:p>
    <w:p w14:paraId="59FB0B69" w14:textId="46F9F774" w:rsidR="00BF00C0" w:rsidRPr="00BC5B7C" w:rsidRDefault="00A56EEC" w:rsidP="00591E7C">
      <w:pPr>
        <w:ind w:firstLine="708"/>
        <w:jc w:val="both"/>
      </w:pPr>
      <w:r w:rsidRPr="00BC5B7C">
        <w:t xml:space="preserve">Zakonskim se prijedlogom </w:t>
      </w:r>
      <w:r w:rsidR="00717AE0" w:rsidRPr="00BC5B7C">
        <w:t xml:space="preserve">određuje </w:t>
      </w:r>
      <w:r w:rsidRPr="00BC5B7C">
        <w:t xml:space="preserve">da inspekcijski nadzor nad provedbom Uredbe (EU) 2024/1787 </w:t>
      </w:r>
      <w:r w:rsidR="00403B89" w:rsidRPr="00BC5B7C">
        <w:t>i zakonskog prijedloga provode nadležne inspekcije</w:t>
      </w:r>
      <w:r w:rsidR="00B3271E" w:rsidRPr="00BC5B7C">
        <w:t>.</w:t>
      </w:r>
    </w:p>
    <w:p w14:paraId="0D1D7344" w14:textId="77777777" w:rsidR="00591E7C" w:rsidRPr="00BC5B7C" w:rsidRDefault="00591E7C" w:rsidP="00591E7C">
      <w:pPr>
        <w:ind w:firstLine="708"/>
        <w:jc w:val="both"/>
      </w:pPr>
    </w:p>
    <w:p w14:paraId="2DFD1700" w14:textId="7581FE8A" w:rsidR="00591E7C" w:rsidRDefault="00591E7C" w:rsidP="00591E7C">
      <w:pPr>
        <w:ind w:firstLine="708"/>
        <w:jc w:val="both"/>
      </w:pPr>
      <w:r w:rsidRPr="00BC5B7C">
        <w:t>Nadalje, zakonskim prijedlogom se u skladu s člankom 33. Uredbe (EU) 2024/1787 utvrđuju prekršajne odredbe, odnosno utvrđuju se novčane kazne i dnevni penali.</w:t>
      </w:r>
    </w:p>
    <w:p w14:paraId="3056804E" w14:textId="77777777" w:rsidR="00591E7C" w:rsidRDefault="00591E7C" w:rsidP="00846722">
      <w:pPr>
        <w:jc w:val="both"/>
      </w:pPr>
    </w:p>
    <w:p w14:paraId="2F662139" w14:textId="29D7E1B8" w:rsidR="005D7E40" w:rsidRDefault="005D7E40" w:rsidP="005D7E40">
      <w:pPr>
        <w:ind w:firstLine="709"/>
        <w:jc w:val="both"/>
      </w:pPr>
      <w:r>
        <w:t xml:space="preserve">S obzirom na to da je metan drugi najznačajniji staklenički plin, njegovo smanjenje je </w:t>
      </w:r>
      <w:r w:rsidRPr="00E560F9">
        <w:t xml:space="preserve">ključno za postizanje ciljeva Pariškog sporazuma iz 2015., a to je posebno ograničavanje globalnog zagrijavanja </w:t>
      </w:r>
      <w:r>
        <w:t>na</w:t>
      </w:r>
      <w:r w:rsidRPr="00E560F9">
        <w:t xml:space="preserve"> 1,5</w:t>
      </w:r>
      <w:r>
        <w:t xml:space="preserve"> </w:t>
      </w:r>
      <w:r w:rsidRPr="00E560F9">
        <w:t>°C.</w:t>
      </w:r>
      <w:r>
        <w:t xml:space="preserve"> </w:t>
      </w:r>
      <w:r w:rsidRPr="0082288B">
        <w:t xml:space="preserve">Smanjenje emisija metana iz energetskog sektora </w:t>
      </w:r>
      <w:r>
        <w:t xml:space="preserve">je </w:t>
      </w:r>
      <w:r w:rsidRPr="0082288B">
        <w:t xml:space="preserve">ključan </w:t>
      </w:r>
      <w:r>
        <w:t>čimbenik</w:t>
      </w:r>
      <w:r w:rsidRPr="0082288B">
        <w:t xml:space="preserve"> prijelaza na obnovljive izvore energije i </w:t>
      </w:r>
      <w:proofErr w:type="spellStart"/>
      <w:r w:rsidRPr="0082288B">
        <w:t>dekarbonizaciju</w:t>
      </w:r>
      <w:proofErr w:type="spellEnd"/>
      <w:r w:rsidRPr="0082288B">
        <w:t xml:space="preserve"> energetskog sektora</w:t>
      </w:r>
      <w:r>
        <w:t xml:space="preserve">. Njegovo smanjenje </w:t>
      </w:r>
      <w:r w:rsidRPr="0082288B">
        <w:t xml:space="preserve">poboljšava kvalitetu zraka i </w:t>
      </w:r>
      <w:r>
        <w:t>zdravlje stanovništva.</w:t>
      </w:r>
    </w:p>
    <w:p w14:paraId="7C1541EC" w14:textId="77777777" w:rsidR="005D7E40" w:rsidRDefault="005D7E40" w:rsidP="005D7E40">
      <w:pPr>
        <w:ind w:firstLine="709"/>
        <w:jc w:val="both"/>
      </w:pPr>
    </w:p>
    <w:p w14:paraId="568F001B" w14:textId="77777777" w:rsidR="005D7E40" w:rsidRDefault="005D7E40" w:rsidP="005D7E40">
      <w:pPr>
        <w:pStyle w:val="ListParagraph"/>
        <w:spacing w:before="120"/>
        <w:ind w:left="0" w:right="-57" w:firstLine="709"/>
        <w:jc w:val="both"/>
      </w:pPr>
      <w:r w:rsidRPr="00A0321D">
        <w:t xml:space="preserve"> </w:t>
      </w:r>
      <w:r w:rsidRPr="00C44E5C">
        <w:t>Uredba (EU) 2024/1787</w:t>
      </w:r>
      <w:r>
        <w:t xml:space="preserve"> se primjenjuje na</w:t>
      </w:r>
      <w:r w:rsidRPr="00A0321D">
        <w:t xml:space="preserve"> smanjenje emisija metana u istraživanju i </w:t>
      </w:r>
      <w:r>
        <w:t>eksploataciji</w:t>
      </w:r>
      <w:r w:rsidRPr="00A0321D">
        <w:t xml:space="preserve"> nafte i </w:t>
      </w:r>
      <w:r w:rsidRPr="00375658">
        <w:t>fosilnog</w:t>
      </w:r>
      <w:r w:rsidRPr="00A0321D">
        <w:t xml:space="preserve"> plina</w:t>
      </w:r>
      <w:r>
        <w:t xml:space="preserve"> </w:t>
      </w:r>
      <w:r w:rsidRPr="00001924">
        <w:t>te prikupljanj</w:t>
      </w:r>
      <w:r>
        <w:t>u</w:t>
      </w:r>
      <w:r w:rsidRPr="00001924">
        <w:t xml:space="preserve"> i prerad</w:t>
      </w:r>
      <w:r>
        <w:t>i</w:t>
      </w:r>
      <w:r w:rsidRPr="00001924">
        <w:t xml:space="preserve"> </w:t>
      </w:r>
      <w:r w:rsidRPr="00147A34">
        <w:t>fosilnog</w:t>
      </w:r>
      <w:r w:rsidRPr="00001924">
        <w:t xml:space="preserve"> plina</w:t>
      </w:r>
      <w:r w:rsidRPr="00A0321D">
        <w:t xml:space="preserve">, u neaktivnim bušotinama, privremeno zatvorenim bušotinama te trajno zatvorenim i napuštenim bušotinama, u transportu </w:t>
      </w:r>
      <w:r>
        <w:t xml:space="preserve">i distribuciji prirodnog </w:t>
      </w:r>
      <w:r w:rsidRPr="00A0321D">
        <w:t>plina</w:t>
      </w:r>
      <w:r>
        <w:t xml:space="preserve"> (</w:t>
      </w:r>
      <w:r w:rsidRPr="00001924">
        <w:t>što ne uključuje mjerne sustave na mjestima krajnje potrošnje te dijelove servisnih vodova između distribucijske mreže i mjernog sustava na imovini krajnjih kupaca</w:t>
      </w:r>
      <w:r>
        <w:t xml:space="preserve">), na podzemno skladištenje plina i aktivnosti u </w:t>
      </w:r>
      <w:r w:rsidRPr="00A0321D">
        <w:t>terminalima za ukapljeni prirodni plin</w:t>
      </w:r>
      <w:r>
        <w:t>.</w:t>
      </w:r>
      <w:r w:rsidRPr="00A0321D">
        <w:t xml:space="preserve"> </w:t>
      </w:r>
      <w:r>
        <w:t xml:space="preserve">Također, </w:t>
      </w:r>
      <w:r w:rsidRPr="00C44E5C">
        <w:t>Uredba (EU) 2024/1787</w:t>
      </w:r>
      <w:r>
        <w:t xml:space="preserve"> se primjenjuje</w:t>
      </w:r>
      <w:r w:rsidRPr="00A0321D">
        <w:t xml:space="preserve"> na aktivne podzemne ugljenokope i površinske ugljenokope te zatvorene ili napuštene podzemne ugljenokope.</w:t>
      </w:r>
    </w:p>
    <w:p w14:paraId="715FC92B" w14:textId="77777777" w:rsidR="005D7E40" w:rsidRDefault="005D7E40" w:rsidP="005D7E40">
      <w:pPr>
        <w:pStyle w:val="ListParagraph"/>
        <w:spacing w:before="120" w:after="120"/>
        <w:ind w:left="0" w:right="-58" w:firstLine="708"/>
        <w:jc w:val="both"/>
      </w:pPr>
    </w:p>
    <w:p w14:paraId="337B5686" w14:textId="77777777" w:rsidR="002479FF" w:rsidRDefault="005D7E40" w:rsidP="002479FF">
      <w:pPr>
        <w:pStyle w:val="ListParagraph"/>
        <w:spacing w:before="120" w:after="120"/>
        <w:ind w:left="0" w:right="-58" w:firstLine="708"/>
        <w:jc w:val="both"/>
      </w:pPr>
      <w:r>
        <w:t xml:space="preserve">Predmetna uredba </w:t>
      </w:r>
      <w:r w:rsidRPr="00874702">
        <w:t>uvodi detaljne obveze za operat</w:t>
      </w:r>
      <w:r>
        <w:t>o</w:t>
      </w:r>
      <w:r w:rsidRPr="00874702">
        <w:t>re sektora nafte, plina i ugljena, države članice E</w:t>
      </w:r>
      <w:r>
        <w:t>uropske unije</w:t>
      </w:r>
      <w:r w:rsidRPr="00874702">
        <w:t xml:space="preserve"> te uvoznike fosilnih goriva, što uključuje obvezno kvantificiranje, praćenje, izvještavanje i verifikaciju emisija metana, kao i implementaciju sustava za otkrivanje i popravak </w:t>
      </w:r>
      <w:r>
        <w:t xml:space="preserve">mjesta </w:t>
      </w:r>
      <w:r w:rsidRPr="00874702">
        <w:t>propuštanja metana na samim izvorima emisija.</w:t>
      </w:r>
      <w:r>
        <w:t xml:space="preserve"> Dakle, z</w:t>
      </w:r>
      <w:r w:rsidRPr="00B511E7">
        <w:t xml:space="preserve">a industriju nafte, fosilnog plina i ugljena uvodi se </w:t>
      </w:r>
      <w:r w:rsidRPr="005E60FB">
        <w:t>mjerenje, kvantifikacij</w:t>
      </w:r>
      <w:r w:rsidRPr="00B511E7">
        <w:t>a</w:t>
      </w:r>
      <w:r w:rsidRPr="005E60FB">
        <w:t>, praćenje, verifikacij</w:t>
      </w:r>
      <w:r w:rsidRPr="00B511E7">
        <w:t>a</w:t>
      </w:r>
      <w:r w:rsidRPr="005E60FB">
        <w:t xml:space="preserve"> </w:t>
      </w:r>
      <w:r w:rsidRPr="00B511E7">
        <w:t xml:space="preserve">emisija metana prema najvišim </w:t>
      </w:r>
    </w:p>
    <w:p w14:paraId="7C050FE7" w14:textId="77777777" w:rsidR="002479FF" w:rsidRDefault="002479FF" w:rsidP="002479FF">
      <w:pPr>
        <w:pStyle w:val="ListParagraph"/>
        <w:spacing w:before="120" w:after="120"/>
        <w:ind w:left="0" w:right="-58" w:firstLine="708"/>
        <w:jc w:val="both"/>
      </w:pPr>
    </w:p>
    <w:p w14:paraId="572BC30C" w14:textId="77777777" w:rsidR="002479FF" w:rsidRDefault="002479FF" w:rsidP="002479FF">
      <w:pPr>
        <w:pStyle w:val="ListParagraph"/>
        <w:spacing w:before="120" w:after="120"/>
        <w:ind w:left="0" w:right="-58" w:firstLine="708"/>
        <w:jc w:val="both"/>
      </w:pPr>
    </w:p>
    <w:p w14:paraId="5916026E" w14:textId="77777777" w:rsidR="002479FF" w:rsidRDefault="002479FF" w:rsidP="002479FF">
      <w:pPr>
        <w:pStyle w:val="ListParagraph"/>
        <w:spacing w:before="120" w:after="120"/>
        <w:ind w:left="0" w:right="-58" w:firstLine="708"/>
        <w:jc w:val="both"/>
      </w:pPr>
    </w:p>
    <w:p w14:paraId="053ABE3C" w14:textId="44E67B53" w:rsidR="005D7E40" w:rsidRDefault="005D7E40" w:rsidP="002479FF">
      <w:pPr>
        <w:pStyle w:val="ListParagraph"/>
        <w:spacing w:before="120" w:after="120"/>
        <w:ind w:left="0" w:right="-58"/>
        <w:jc w:val="both"/>
      </w:pPr>
      <w:r w:rsidRPr="00B511E7">
        <w:t>standardima praćenja,</w:t>
      </w:r>
      <w:r w:rsidRPr="005E60FB">
        <w:t xml:space="preserve"> izvješćivanje o njima, uključujući emisije koje nastaju zbog istjecanj</w:t>
      </w:r>
      <w:r w:rsidRPr="00B511E7">
        <w:t>a</w:t>
      </w:r>
      <w:r w:rsidRPr="005E60FB">
        <w:t xml:space="preserve">, </w:t>
      </w:r>
      <w:proofErr w:type="spellStart"/>
      <w:r w:rsidRPr="005E60FB">
        <w:t>odzračivanja</w:t>
      </w:r>
      <w:proofErr w:type="spellEnd"/>
      <w:r w:rsidRPr="005E60FB">
        <w:t xml:space="preserve"> ili spaljivanja </w:t>
      </w:r>
      <w:r>
        <w:t xml:space="preserve">plina </w:t>
      </w:r>
      <w:r w:rsidRPr="005E60FB">
        <w:t>na baklji</w:t>
      </w:r>
      <w:r w:rsidRPr="00B511E7">
        <w:t xml:space="preserve"> te poduzimanje mjera za njihovo smanjenje.</w:t>
      </w:r>
    </w:p>
    <w:p w14:paraId="39A0BEFE" w14:textId="77777777" w:rsidR="005D7E40" w:rsidRDefault="005D7E40" w:rsidP="005D7E40">
      <w:pPr>
        <w:pStyle w:val="ListParagraph"/>
        <w:spacing w:before="120" w:after="120"/>
        <w:ind w:left="0" w:right="-58" w:firstLine="708"/>
        <w:jc w:val="both"/>
      </w:pPr>
    </w:p>
    <w:p w14:paraId="66CBF3C6" w14:textId="77777777" w:rsidR="005D7E40" w:rsidRPr="00002F1D" w:rsidRDefault="005D7E40" w:rsidP="005D7E40">
      <w:pPr>
        <w:ind w:firstLine="709"/>
        <w:jc w:val="both"/>
        <w:rPr>
          <w:lang w:val="sv-SE"/>
        </w:rPr>
      </w:pPr>
      <w:r w:rsidRPr="00002F1D">
        <w:rPr>
          <w:lang w:val="sv-SE"/>
        </w:rPr>
        <w:t xml:space="preserve">Uredba </w:t>
      </w:r>
      <w:r w:rsidRPr="00165DDF">
        <w:t xml:space="preserve">(EU) 2024/1787 </w:t>
      </w:r>
      <w:r w:rsidRPr="00002F1D">
        <w:rPr>
          <w:lang w:val="sv-SE"/>
        </w:rPr>
        <w:t>predviđa:</w:t>
      </w:r>
    </w:p>
    <w:p w14:paraId="3953D7DC" w14:textId="77777777" w:rsidR="005D7E40" w:rsidRPr="00165DDF" w:rsidRDefault="005D7E40" w:rsidP="005D7E40">
      <w:pPr>
        <w:jc w:val="both"/>
      </w:pPr>
      <w:r w:rsidRPr="00002F1D">
        <w:rPr>
          <w:lang w:val="sv-SE"/>
        </w:rPr>
        <w:tab/>
        <w:t xml:space="preserve">- </w:t>
      </w:r>
      <w:r w:rsidRPr="00165DDF">
        <w:t>praćenje, izvještavanje i verifikaciju, što uključuje mjerenje emisija metana, prikupljanje i komunikaciju tih podataka, dok verifikacija osigurava točnost i pouzdanost prijavljenih informacija putem neovisnih procjena i procesa validacije</w:t>
      </w:r>
    </w:p>
    <w:p w14:paraId="608CE019" w14:textId="0083B401" w:rsidR="005D7E40" w:rsidRPr="00165DDF" w:rsidRDefault="005D7E40" w:rsidP="005D7E40">
      <w:pPr>
        <w:jc w:val="both"/>
      </w:pPr>
      <w:r w:rsidRPr="00165DDF">
        <w:tab/>
        <w:t>-</w:t>
      </w:r>
      <w:r w:rsidR="00903C06">
        <w:t xml:space="preserve"> </w:t>
      </w:r>
      <w:r w:rsidRPr="00165DDF">
        <w:t>otkrivanje i sanacij</w:t>
      </w:r>
      <w:r>
        <w:t>u mjesta</w:t>
      </w:r>
      <w:r w:rsidRPr="00165DDF">
        <w:t xml:space="preserve"> </w:t>
      </w:r>
      <w:r>
        <w:t>propuštanja</w:t>
      </w:r>
      <w:r w:rsidRPr="00165DDF">
        <w:t>, što uključuje identificiranje i otklanjanje neplaniranih propuštanja</w:t>
      </w:r>
    </w:p>
    <w:p w14:paraId="177DFC5F" w14:textId="0EA1646E" w:rsidR="005D7E40" w:rsidRPr="00165DDF" w:rsidRDefault="005D7E40" w:rsidP="00591E7C">
      <w:pPr>
        <w:jc w:val="both"/>
      </w:pPr>
      <w:r w:rsidRPr="00165DDF">
        <w:tab/>
        <w:t>- ograničenja rutinskog ispuštanja i spaljivanja plina, što uključuje namjerno ispuštanje metana u atmosferu</w:t>
      </w:r>
    </w:p>
    <w:p w14:paraId="57478175" w14:textId="77777777" w:rsidR="005D7E40" w:rsidRPr="00F54E3E" w:rsidRDefault="005D7E40" w:rsidP="005D7E40">
      <w:pPr>
        <w:ind w:firstLine="708"/>
        <w:jc w:val="both"/>
      </w:pPr>
      <w:r w:rsidRPr="00D46B8C">
        <w:t>- zatvorena, neaktivna, privremeno zatvorena i napuštena bušotina - države članice trebaju javno dostupnim učiniti popis svih evidentiranih neaktivnih bušotina, privremeno zatvorenih bušotina te trajno zatvorenih i napuštenih bušotina</w:t>
      </w:r>
      <w:r>
        <w:t xml:space="preserve">, koji se </w:t>
      </w:r>
      <w:r w:rsidRPr="00D46B8C">
        <w:t>mora redovito ažurirati. Dokaz o nepostojanju emisija metana trebao bi biti dostupan za bušotine trajno zatvorene i napuštene prije manje od 30 godina</w:t>
      </w:r>
      <w:r>
        <w:t>, a ako</w:t>
      </w:r>
      <w:r w:rsidRPr="00D46B8C">
        <w:t xml:space="preserve"> je dostupno, </w:t>
      </w:r>
      <w:r>
        <w:t xml:space="preserve">i za </w:t>
      </w:r>
      <w:r w:rsidRPr="00D46B8C">
        <w:t>bušotine trajno zatvorene i napuštene</w:t>
      </w:r>
      <w:r>
        <w:t xml:space="preserve"> prije više od 30 godina</w:t>
      </w:r>
      <w:r w:rsidRPr="00D46B8C">
        <w:t>.</w:t>
      </w:r>
    </w:p>
    <w:p w14:paraId="6D3E4124" w14:textId="77777777" w:rsidR="005D7E40" w:rsidRPr="00F54E3E" w:rsidRDefault="005D7E40" w:rsidP="005D7E40">
      <w:pPr>
        <w:ind w:firstLine="709"/>
        <w:jc w:val="both"/>
      </w:pPr>
    </w:p>
    <w:p w14:paraId="0855E18A" w14:textId="77777777" w:rsidR="005D7E40" w:rsidRPr="00F54E3E" w:rsidRDefault="005D7E40" w:rsidP="005D7E40">
      <w:pPr>
        <w:ind w:firstLine="709"/>
        <w:jc w:val="both"/>
      </w:pPr>
      <w:r w:rsidRPr="00165DDF">
        <w:t xml:space="preserve">Smanjenje emisija metana u industriji nafte, plina i ugljena predstavlja važan korak u borbi protiv klimatskih promjena. Također, smanjenje gubitaka plina kroz </w:t>
      </w:r>
      <w:r>
        <w:t>propuštanje</w:t>
      </w:r>
      <w:r w:rsidRPr="00165DDF">
        <w:t xml:space="preserve"> tijekom proizvodnje, transporta i distribucije fosilnih goriva može rezultirati ekonomskim uštedama za kompanije. Iako troškovi implementacije novih tehnologija i postupaka mogu biti visoki, prednosti za okoliš i </w:t>
      </w:r>
      <w:r w:rsidRPr="00FD7BBF">
        <w:t>gospodarstvo</w:t>
      </w:r>
      <w:r w:rsidRPr="00165DDF">
        <w:t xml:space="preserve"> su značajne. S kontinuiranim naporima i suradnjom na globalnoj razini, mjere iz predmetne uredbe mogu doprinijeti održivijoj i čišćoj budućnosti.</w:t>
      </w:r>
      <w:r w:rsidRPr="00F54E3E">
        <w:t xml:space="preserve"> </w:t>
      </w:r>
    </w:p>
    <w:p w14:paraId="61BA2E7E" w14:textId="77777777" w:rsidR="005D7E40" w:rsidRPr="00F54E3E" w:rsidRDefault="005D7E40" w:rsidP="005D7E40">
      <w:pPr>
        <w:ind w:firstLine="709"/>
        <w:jc w:val="both"/>
      </w:pPr>
    </w:p>
    <w:p w14:paraId="3E967CED" w14:textId="77777777" w:rsidR="005D7E40" w:rsidRPr="00165DDF" w:rsidRDefault="005D7E40" w:rsidP="005D7E40">
      <w:pPr>
        <w:ind w:firstLine="709"/>
        <w:jc w:val="both"/>
      </w:pPr>
      <w:r w:rsidRPr="00165DDF">
        <w:t xml:space="preserve">Uredbom (EU) 2024/1787 se uvode novi zahtjevi za mjerenje emisija metana u energetskom sektoru, izvješćivanje o njima i njihovu verifikaciju. Cilj mjera ublažavanja, kao što su otkrivanje i saniranje </w:t>
      </w:r>
      <w:r>
        <w:t xml:space="preserve">mjesta </w:t>
      </w:r>
      <w:r w:rsidRPr="00165DDF">
        <w:t>istjecanja metana te ogranič</w:t>
      </w:r>
      <w:r>
        <w:t>e</w:t>
      </w:r>
      <w:r w:rsidRPr="00165DDF">
        <w:t>nj</w:t>
      </w:r>
      <w:r>
        <w:t>a</w:t>
      </w:r>
      <w:r w:rsidRPr="00165DDF">
        <w:t xml:space="preserve"> u pogledu </w:t>
      </w:r>
      <w:proofErr w:type="spellStart"/>
      <w:r w:rsidRPr="00165DDF">
        <w:t>odzračivanja</w:t>
      </w:r>
      <w:proofErr w:type="spellEnd"/>
      <w:r w:rsidRPr="00165DDF">
        <w:t xml:space="preserve"> i spaljivanja na baklji</w:t>
      </w:r>
      <w:r>
        <w:t>,</w:t>
      </w:r>
      <w:r w:rsidRPr="00165DDF">
        <w:t xml:space="preserve"> </w:t>
      </w:r>
      <w:r>
        <w:t>je</w:t>
      </w:r>
      <w:r w:rsidRPr="00165DDF">
        <w:t xml:space="preserve"> </w:t>
      </w:r>
      <w:r w:rsidRPr="00E94935">
        <w:t>izbjeći ili smanjiti emisije</w:t>
      </w:r>
      <w:r w:rsidRPr="00165DDF">
        <w:t xml:space="preserve"> metana. Globalnim alatima za praćenje osigura</w:t>
      </w:r>
      <w:r>
        <w:t xml:space="preserve">va se </w:t>
      </w:r>
      <w:r w:rsidRPr="00165DDF">
        <w:t>transparentnost u vezi s emisijama metana iz uvoza nafte, plina i ugljena.</w:t>
      </w:r>
    </w:p>
    <w:p w14:paraId="2E43722E" w14:textId="77777777" w:rsidR="005D7E40" w:rsidRPr="00165DDF" w:rsidRDefault="005D7E40" w:rsidP="005D7E40">
      <w:pPr>
        <w:ind w:firstLine="709"/>
        <w:jc w:val="both"/>
      </w:pPr>
    </w:p>
    <w:p w14:paraId="6C801FA2" w14:textId="77777777" w:rsidR="005D7E40" w:rsidRPr="00257829" w:rsidRDefault="005D7E40" w:rsidP="005D7E40">
      <w:pPr>
        <w:ind w:firstLine="709"/>
        <w:jc w:val="both"/>
      </w:pPr>
      <w:r w:rsidRPr="00257829">
        <w:t>Operatori će morati mjeriti emisije metana na razini izvora i sastaviti izvješća o praćenju koja će provjeravati neovisni akreditirani verifikatori.</w:t>
      </w:r>
    </w:p>
    <w:p w14:paraId="0A4A6A4A" w14:textId="77777777" w:rsidR="005D7E40" w:rsidRPr="00257829" w:rsidRDefault="005D7E40" w:rsidP="005D7E40">
      <w:pPr>
        <w:ind w:firstLine="709"/>
        <w:jc w:val="both"/>
      </w:pPr>
    </w:p>
    <w:p w14:paraId="63DC43AA" w14:textId="77777777" w:rsidR="005D7E40" w:rsidRPr="00257829" w:rsidRDefault="005D7E40" w:rsidP="005D7E40">
      <w:pPr>
        <w:ind w:firstLine="709"/>
        <w:jc w:val="both"/>
      </w:pPr>
      <w:r w:rsidRPr="00257829">
        <w:t xml:space="preserve">Države članice vodit će i redovito ažurirati popis svih bušotina </w:t>
      </w:r>
      <w:r>
        <w:t xml:space="preserve">uključujući </w:t>
      </w:r>
      <w:r w:rsidRPr="00257829">
        <w:t xml:space="preserve">neaktivne bušotine te planove </w:t>
      </w:r>
      <w:r>
        <w:t xml:space="preserve">za </w:t>
      </w:r>
      <w:r w:rsidRPr="00257829">
        <w:t>ublažavanj</w:t>
      </w:r>
      <w:r>
        <w:t>e</w:t>
      </w:r>
      <w:r w:rsidRPr="00257829">
        <w:t xml:space="preserve"> </w:t>
      </w:r>
      <w:r>
        <w:t xml:space="preserve">njihovog utjecaja na klimatske promjene, a </w:t>
      </w:r>
      <w:r w:rsidRPr="00257829">
        <w:t xml:space="preserve">kako bi se spriječili </w:t>
      </w:r>
      <w:r>
        <w:t>eventualni</w:t>
      </w:r>
      <w:r w:rsidRPr="00257829">
        <w:t xml:space="preserve"> rizici za javno zdravlje i okoliš povezani s emisijama metana. Također će mjeriti i pratiti emisije iz</w:t>
      </w:r>
      <w:r>
        <w:t xml:space="preserve"> </w:t>
      </w:r>
      <w:r w:rsidRPr="00257829">
        <w:t>ugljenokopa</w:t>
      </w:r>
      <w:r>
        <w:t xml:space="preserve"> </w:t>
      </w:r>
      <w:r w:rsidRPr="00257829">
        <w:t xml:space="preserve">koji su zatvoreni ili napušteni </w:t>
      </w:r>
      <w:r>
        <w:t xml:space="preserve">prije </w:t>
      </w:r>
      <w:r w:rsidRPr="00257829">
        <w:t>manje od 70 godina jer se metan i dalje ispušta čak i kad je proizvodnja zaustavljena.</w:t>
      </w:r>
    </w:p>
    <w:p w14:paraId="141CC619" w14:textId="77777777" w:rsidR="005D7E40" w:rsidRPr="00257829" w:rsidRDefault="005D7E40" w:rsidP="005D7E40">
      <w:pPr>
        <w:ind w:firstLine="709"/>
        <w:jc w:val="both"/>
      </w:pPr>
    </w:p>
    <w:p w14:paraId="2EE871CB" w14:textId="77777777" w:rsidR="005D7E40" w:rsidRPr="00165DDF" w:rsidRDefault="005D7E40" w:rsidP="005D7E40">
      <w:pPr>
        <w:ind w:firstLine="709"/>
        <w:jc w:val="both"/>
      </w:pPr>
      <w:r w:rsidRPr="005E4D10">
        <w:lastRenderedPageBreak/>
        <w:t xml:space="preserve">Nacionalno inspekcijsko tijelo provodit će periodične inspekcijske nadzore kako bi provjerilo i osiguralo usklađenost operatora sa zahtjevima </w:t>
      </w:r>
      <w:r w:rsidRPr="007B44D8">
        <w:t>Uredbe (EU) 2024/1787</w:t>
      </w:r>
      <w:r w:rsidRPr="005E4D10">
        <w:t>, što obuhvaća i poduzimanje daljnjih korektivnih mjera.</w:t>
      </w:r>
    </w:p>
    <w:p w14:paraId="266241E1" w14:textId="77777777" w:rsidR="005D7E40" w:rsidRPr="00165DDF" w:rsidRDefault="005D7E40" w:rsidP="005D7E40">
      <w:pPr>
        <w:ind w:firstLine="709"/>
        <w:jc w:val="both"/>
      </w:pPr>
    </w:p>
    <w:p w14:paraId="22861301" w14:textId="77777777" w:rsidR="005D7E40" w:rsidRPr="00F54E3E" w:rsidRDefault="005D7E40" w:rsidP="005D7E40">
      <w:pPr>
        <w:ind w:firstLine="709"/>
        <w:jc w:val="both"/>
      </w:pPr>
      <w:r w:rsidRPr="00165DDF">
        <w:t>U skladu s novim pravilima operatori će morati</w:t>
      </w:r>
      <w:r>
        <w:t xml:space="preserve"> </w:t>
      </w:r>
      <w:r w:rsidRPr="00165DDF">
        <w:t>otkrivati i sanirati</w:t>
      </w:r>
      <w:r>
        <w:t xml:space="preserve"> mjesta </w:t>
      </w:r>
      <w:r w:rsidRPr="00165DDF">
        <w:t>istjecanj</w:t>
      </w:r>
      <w:r>
        <w:t>a</w:t>
      </w:r>
      <w:r w:rsidRPr="00165DDF">
        <w:t xml:space="preserve"> metana. Operatori će morati provoditi preglede </w:t>
      </w:r>
      <w:r>
        <w:t xml:space="preserve">mjesta </w:t>
      </w:r>
      <w:r w:rsidRPr="00165DDF">
        <w:t xml:space="preserve">istjecanja metana u različitim vrstama infrastruktura u utvrđenim vremenskim razmacima. Zatim će morati sanirati ili zamijeniti sve komponente </w:t>
      </w:r>
      <w:r>
        <w:t xml:space="preserve">kod kojih dolazi do propuštanja emisija metana </w:t>
      </w:r>
      <w:r w:rsidRPr="00165DDF">
        <w:t>iznad određenih razina</w:t>
      </w:r>
      <w:r>
        <w:t>, sukladno Uredbi (EU) 2024/1787.</w:t>
      </w:r>
      <w:r w:rsidRPr="00165DDF">
        <w:t xml:space="preserve"> </w:t>
      </w:r>
    </w:p>
    <w:p w14:paraId="0C93E508" w14:textId="77777777" w:rsidR="005D7E40" w:rsidRPr="00F54E3E" w:rsidRDefault="005D7E40" w:rsidP="005D7E40">
      <w:pPr>
        <w:ind w:firstLine="709"/>
        <w:jc w:val="both"/>
      </w:pPr>
    </w:p>
    <w:p w14:paraId="20B78582" w14:textId="77777777" w:rsidR="007D4422" w:rsidRDefault="007D4422" w:rsidP="005D7E40">
      <w:pPr>
        <w:ind w:firstLine="709"/>
        <w:jc w:val="both"/>
      </w:pPr>
    </w:p>
    <w:p w14:paraId="29673ADA" w14:textId="77777777" w:rsidR="007D4422" w:rsidRDefault="007D4422" w:rsidP="005D7E40">
      <w:pPr>
        <w:ind w:firstLine="709"/>
        <w:jc w:val="both"/>
      </w:pPr>
    </w:p>
    <w:p w14:paraId="37096A6A" w14:textId="77777777" w:rsidR="007D4422" w:rsidRDefault="007D4422" w:rsidP="005D7E40">
      <w:pPr>
        <w:ind w:firstLine="709"/>
        <w:jc w:val="both"/>
      </w:pPr>
    </w:p>
    <w:p w14:paraId="79359B8C" w14:textId="77777777" w:rsidR="002479FF" w:rsidRDefault="002479FF" w:rsidP="005D7E40">
      <w:pPr>
        <w:ind w:firstLine="709"/>
        <w:jc w:val="both"/>
      </w:pPr>
    </w:p>
    <w:p w14:paraId="615805C9" w14:textId="77777777" w:rsidR="002479FF" w:rsidRDefault="002479FF" w:rsidP="005D7E40">
      <w:pPr>
        <w:ind w:firstLine="709"/>
        <w:jc w:val="both"/>
      </w:pPr>
    </w:p>
    <w:p w14:paraId="20C62B51" w14:textId="189D3070" w:rsidR="005D7E40" w:rsidRPr="00F54E3E" w:rsidRDefault="005D7E40" w:rsidP="005D7E40">
      <w:pPr>
        <w:ind w:firstLine="709"/>
        <w:jc w:val="both"/>
      </w:pPr>
      <w:r w:rsidRPr="00165DDF">
        <w:t>Osim toga, Uredbom (EU) 2024/1787 se zabranjuje</w:t>
      </w:r>
      <w:r>
        <w:t xml:space="preserve"> </w:t>
      </w:r>
      <w:proofErr w:type="spellStart"/>
      <w:r w:rsidRPr="00165DDF">
        <w:t>odzračivanje</w:t>
      </w:r>
      <w:proofErr w:type="spellEnd"/>
      <w:r w:rsidRPr="00165DDF">
        <w:t xml:space="preserve"> i spaljivanje metana na baklji</w:t>
      </w:r>
      <w:r>
        <w:t xml:space="preserve"> </w:t>
      </w:r>
      <w:r w:rsidRPr="00165DDF">
        <w:t xml:space="preserve">iz drenažnih stanica </w:t>
      </w:r>
      <w:r w:rsidRPr="00165DDF">
        <w:rPr>
          <w:color w:val="000000" w:themeColor="text1"/>
        </w:rPr>
        <w:t xml:space="preserve">od 2025., </w:t>
      </w:r>
      <w:r>
        <w:rPr>
          <w:color w:val="000000" w:themeColor="text1"/>
        </w:rPr>
        <w:t xml:space="preserve">a </w:t>
      </w:r>
      <w:r w:rsidRPr="00165DDF">
        <w:rPr>
          <w:color w:val="000000" w:themeColor="text1"/>
        </w:rPr>
        <w:t xml:space="preserve">iz ventilacijskih okana od 2027., osim </w:t>
      </w:r>
      <w:r w:rsidRPr="00165DDF">
        <w:t>ako je to neophodno potrebno ili u kriznoj situaciji ili u slučaju kvara.</w:t>
      </w:r>
    </w:p>
    <w:p w14:paraId="0DF089E6" w14:textId="77777777" w:rsidR="008C1BC2" w:rsidRDefault="008C1BC2" w:rsidP="005D7E40">
      <w:pPr>
        <w:ind w:firstLine="709"/>
        <w:jc w:val="both"/>
      </w:pPr>
    </w:p>
    <w:p w14:paraId="41E849BC" w14:textId="29E9EB31" w:rsidR="005D7E40" w:rsidRDefault="005D7E40" w:rsidP="005D7E40">
      <w:pPr>
        <w:ind w:firstLine="709"/>
        <w:jc w:val="both"/>
      </w:pPr>
      <w:r w:rsidRPr="00312347">
        <w:t>Pratit će se i emisije metana koje nastaju izvan Europske unije kad je riječ o sirovoj nafti, prirodnom plinu i ugljenu koji se stavljaju na tržište Europske unije</w:t>
      </w:r>
      <w:r>
        <w:t>.</w:t>
      </w:r>
    </w:p>
    <w:p w14:paraId="45D87BBB" w14:textId="77777777" w:rsidR="005D7E40" w:rsidRPr="000B7B0F" w:rsidRDefault="005D7E40" w:rsidP="005D7E40">
      <w:pPr>
        <w:ind w:firstLine="709"/>
        <w:jc w:val="both"/>
      </w:pPr>
    </w:p>
    <w:p w14:paraId="6E5D1340" w14:textId="77777777" w:rsidR="00474BC1" w:rsidRDefault="00474BC1" w:rsidP="005D7E40">
      <w:pPr>
        <w:pStyle w:val="ListParagraph"/>
        <w:ind w:left="709" w:hanging="709"/>
        <w:jc w:val="both"/>
        <w:rPr>
          <w:b/>
          <w:bCs/>
        </w:rPr>
      </w:pPr>
    </w:p>
    <w:p w14:paraId="598D15B4" w14:textId="7CFC1921" w:rsidR="00A31263" w:rsidRDefault="005D7E40" w:rsidP="005D7E40">
      <w:pPr>
        <w:pStyle w:val="ListParagraph"/>
        <w:ind w:left="709" w:hanging="709"/>
        <w:jc w:val="both"/>
        <w:rPr>
          <w:b/>
          <w:bCs/>
        </w:rPr>
      </w:pPr>
      <w:r w:rsidRPr="0001002A">
        <w:rPr>
          <w:b/>
          <w:bCs/>
        </w:rPr>
        <w:t>III.</w:t>
      </w:r>
      <w:r w:rsidRPr="0001002A">
        <w:rPr>
          <w:b/>
          <w:bCs/>
        </w:rPr>
        <w:tab/>
      </w:r>
      <w:r w:rsidR="00127D0A">
        <w:rPr>
          <w:b/>
          <w:bCs/>
        </w:rPr>
        <w:t>OBRAZLOŽENJE ODREDBI PREDLOŽENOG ZAKONA</w:t>
      </w:r>
    </w:p>
    <w:p w14:paraId="30123ACD" w14:textId="77777777" w:rsidR="00127D0A" w:rsidRDefault="00127D0A" w:rsidP="005D7E40">
      <w:pPr>
        <w:pStyle w:val="ListParagraph"/>
        <w:ind w:left="709" w:hanging="709"/>
        <w:jc w:val="both"/>
        <w:rPr>
          <w:b/>
          <w:bCs/>
        </w:rPr>
      </w:pPr>
    </w:p>
    <w:p w14:paraId="7FC4F24A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>Uz članak 1.</w:t>
      </w:r>
    </w:p>
    <w:p w14:paraId="4190044F" w14:textId="77777777" w:rsidR="00127D0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t xml:space="preserve">uređuje se predmet Zakona. Naime, Zakonom se </w:t>
      </w:r>
      <w:r>
        <w:rPr>
          <w:color w:val="000000"/>
        </w:rPr>
        <w:t xml:space="preserve">utvrđuje nadležno tijelo odgovorno za </w:t>
      </w:r>
      <w:r w:rsidRPr="002977BD">
        <w:t>praćenje i izvršavanje pr</w:t>
      </w:r>
      <w:r>
        <w:t xml:space="preserve">ovedbe Uredbe </w:t>
      </w:r>
      <w:r w:rsidRPr="00791ED3">
        <w:t>(EU) 202</w:t>
      </w:r>
      <w:r>
        <w:t>4</w:t>
      </w:r>
      <w:r w:rsidRPr="00791ED3">
        <w:t>/1</w:t>
      </w:r>
      <w:r>
        <w:t>787 i prekršajne odredbe</w:t>
      </w:r>
      <w:r w:rsidRPr="00870C91">
        <w:t>.</w:t>
      </w:r>
    </w:p>
    <w:p w14:paraId="6AAD4E46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63F62E2F" w14:textId="6AD0E34F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9C33CA">
        <w:rPr>
          <w:b/>
          <w:bCs/>
        </w:rPr>
        <w:t xml:space="preserve">Uz članak 2. </w:t>
      </w:r>
    </w:p>
    <w:p w14:paraId="7656BD87" w14:textId="77777777" w:rsidR="00127D0A" w:rsidRPr="00207340" w:rsidRDefault="00127D0A" w:rsidP="00127D0A">
      <w:pPr>
        <w:pStyle w:val="box474668"/>
        <w:spacing w:before="0" w:beforeAutospacing="0" w:after="0" w:afterAutospacing="0"/>
      </w:pPr>
      <w:r w:rsidRPr="009C33CA">
        <w:t xml:space="preserve">Ovim </w:t>
      </w:r>
      <w:r>
        <w:t xml:space="preserve">člankom se utvrđuje da se ovim Zakonom osigurava provedba </w:t>
      </w:r>
      <w:r w:rsidRPr="00870C91">
        <w:t xml:space="preserve">Uredbe </w:t>
      </w:r>
      <w:r w:rsidRPr="00694736">
        <w:rPr>
          <w:color w:val="000000"/>
        </w:rPr>
        <w:t xml:space="preserve">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</w:t>
      </w:r>
      <w:r w:rsidRPr="0011185B">
        <w:rPr>
          <w:color w:val="000000"/>
        </w:rPr>
        <w:t>942</w:t>
      </w:r>
      <w:r w:rsidRPr="0011185B">
        <w:t xml:space="preserve"> </w:t>
      </w:r>
      <w:r w:rsidRPr="0001002A">
        <w:t>(SL L</w:t>
      </w:r>
      <w:r>
        <w:t xml:space="preserve"> 2024/1787</w:t>
      </w:r>
      <w:r w:rsidRPr="0001002A">
        <w:t>,</w:t>
      </w:r>
      <w:r w:rsidRPr="0011185B">
        <w:t xml:space="preserve"> 15</w:t>
      </w:r>
      <w:r w:rsidRPr="00870C91">
        <w:t>.7.202</w:t>
      </w:r>
      <w:r>
        <w:t>4.</w:t>
      </w:r>
      <w:r w:rsidRPr="00870C91">
        <w:t>)</w:t>
      </w:r>
    </w:p>
    <w:p w14:paraId="78B1D8EE" w14:textId="77777777" w:rsidR="00127D0A" w:rsidRPr="00020F5A" w:rsidRDefault="00127D0A" w:rsidP="00127D0A">
      <w:pPr>
        <w:pStyle w:val="box474668"/>
        <w:spacing w:before="0" w:beforeAutospacing="0" w:after="0" w:afterAutospacing="0"/>
      </w:pPr>
    </w:p>
    <w:p w14:paraId="59DC0A16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3</w:t>
      </w:r>
      <w:r w:rsidRPr="00020F5A">
        <w:rPr>
          <w:b/>
          <w:bCs/>
        </w:rPr>
        <w:t>.</w:t>
      </w:r>
    </w:p>
    <w:p w14:paraId="697BCFEC" w14:textId="77777777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rPr>
          <w:rFonts w:eastAsia="Calibri"/>
          <w:lang w:eastAsia="hr-HR"/>
        </w:rPr>
        <w:t>utvrđuje se primjena Zakona</w:t>
      </w:r>
      <w:r w:rsidRPr="00020F5A">
        <w:t>.</w:t>
      </w:r>
    </w:p>
    <w:p w14:paraId="4DE47A15" w14:textId="77777777" w:rsidR="00127D0A" w:rsidRPr="00020F5A" w:rsidRDefault="00127D0A" w:rsidP="00127D0A">
      <w:pPr>
        <w:pStyle w:val="box474668"/>
        <w:spacing w:before="0" w:beforeAutospacing="0" w:after="0" w:afterAutospacing="0"/>
      </w:pPr>
    </w:p>
    <w:p w14:paraId="512C604E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članka </w:t>
      </w:r>
      <w:r>
        <w:rPr>
          <w:b/>
          <w:bCs/>
        </w:rPr>
        <w:t>4</w:t>
      </w:r>
      <w:r w:rsidRPr="00020F5A">
        <w:rPr>
          <w:b/>
          <w:bCs/>
        </w:rPr>
        <w:t xml:space="preserve">. </w:t>
      </w:r>
    </w:p>
    <w:p w14:paraId="2E7760A9" w14:textId="77777777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t xml:space="preserve">se </w:t>
      </w:r>
      <w:r w:rsidRPr="00791ED3">
        <w:t>utvrđuje da pojmovi koji se koriste u ovom</w:t>
      </w:r>
      <w:r>
        <w:t>e</w:t>
      </w:r>
      <w:r w:rsidRPr="00791ED3">
        <w:t xml:space="preserve"> Zakonu imaju značenje utvrđeno Uredbom (EU) 202</w:t>
      </w:r>
      <w:r>
        <w:t>4</w:t>
      </w:r>
      <w:r w:rsidRPr="00791ED3">
        <w:t>/1</w:t>
      </w:r>
      <w:r>
        <w:t>787.</w:t>
      </w:r>
    </w:p>
    <w:p w14:paraId="34C40272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5E9E9B17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5</w:t>
      </w:r>
      <w:r w:rsidRPr="00020F5A">
        <w:rPr>
          <w:b/>
          <w:bCs/>
        </w:rPr>
        <w:t>.</w:t>
      </w:r>
    </w:p>
    <w:p w14:paraId="05B0ACBB" w14:textId="77777777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lastRenderedPageBreak/>
        <w:t xml:space="preserve">Ovim člankom </w:t>
      </w:r>
      <w:r>
        <w:t>se utvrđuje da je ministarstvo nadležno</w:t>
      </w:r>
      <w:r w:rsidRPr="002977BD">
        <w:t xml:space="preserve"> za energetiku nadležno tijelo odgovorno za praćenje i izvršavanje pr</w:t>
      </w:r>
      <w:r>
        <w:t>ovedbe Uredbe (EU) 2024/1787.</w:t>
      </w:r>
    </w:p>
    <w:p w14:paraId="65DF4092" w14:textId="77777777" w:rsidR="00127D0A" w:rsidRPr="00020F5A" w:rsidRDefault="00127D0A" w:rsidP="00127D0A">
      <w:pPr>
        <w:pStyle w:val="box474668"/>
        <w:spacing w:before="0" w:beforeAutospacing="0" w:after="0" w:afterAutospacing="0"/>
      </w:pPr>
    </w:p>
    <w:p w14:paraId="40BD1B8C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 xml:space="preserve">Uz članak </w:t>
      </w:r>
      <w:r>
        <w:rPr>
          <w:b/>
          <w:bCs/>
        </w:rPr>
        <w:t>6</w:t>
      </w:r>
      <w:r w:rsidRPr="00AD6011">
        <w:rPr>
          <w:b/>
          <w:bCs/>
        </w:rPr>
        <w:t>.</w:t>
      </w:r>
    </w:p>
    <w:p w14:paraId="31D6A306" w14:textId="77777777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</w:t>
      </w:r>
      <w:r>
        <w:t xml:space="preserve">člankom se propisuje da nadležno tijelo odgovorno za </w:t>
      </w:r>
      <w:r w:rsidRPr="002977BD">
        <w:t>praćenje i izvršavanje pr</w:t>
      </w:r>
      <w:r>
        <w:t>ovedbe Uredbe (EU) 2024/1787 obavlja zadaće sukladno Uredbi (EU) 2024/1787.</w:t>
      </w:r>
    </w:p>
    <w:p w14:paraId="1238FCDE" w14:textId="77777777" w:rsidR="00127D0A" w:rsidRDefault="00127D0A" w:rsidP="00127D0A">
      <w:pPr>
        <w:pStyle w:val="box474668"/>
        <w:spacing w:before="0" w:beforeAutospacing="0" w:after="0" w:afterAutospacing="0"/>
      </w:pPr>
    </w:p>
    <w:p w14:paraId="2F498267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8B7A97">
        <w:rPr>
          <w:b/>
          <w:bCs/>
        </w:rPr>
        <w:t xml:space="preserve">Uz članak </w:t>
      </w:r>
      <w:r>
        <w:rPr>
          <w:b/>
          <w:bCs/>
        </w:rPr>
        <w:t>7</w:t>
      </w:r>
      <w:r w:rsidRPr="008B7A97">
        <w:rPr>
          <w:b/>
          <w:bCs/>
        </w:rPr>
        <w:t>.</w:t>
      </w:r>
    </w:p>
    <w:p w14:paraId="321C7446" w14:textId="28AFE647" w:rsidR="00127D0A" w:rsidRPr="00020F5A" w:rsidRDefault="00127D0A" w:rsidP="00127D0A">
      <w:pPr>
        <w:pStyle w:val="box47241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008B7A97">
        <w:t xml:space="preserve">Ovim člankom se </w:t>
      </w:r>
      <w:r>
        <w:t xml:space="preserve">utvrđuje da inspekcijske nadzore sukladno Uredbi (EU) 2024/1787 provodi rudarska inspekcija Državnog inspektorata i </w:t>
      </w:r>
      <w:r w:rsidR="004D6218">
        <w:t xml:space="preserve">inspektori nadležni za </w:t>
      </w:r>
      <w:r>
        <w:t>zaštit</w:t>
      </w:r>
      <w:r w:rsidR="004D6218">
        <w:t>u</w:t>
      </w:r>
      <w:r>
        <w:t xml:space="preserve"> od požara i </w:t>
      </w:r>
      <w:r w:rsidR="004D6218">
        <w:t xml:space="preserve">inspektori nadležni za </w:t>
      </w:r>
      <w:r>
        <w:t>civiln</w:t>
      </w:r>
      <w:r w:rsidR="004D6218">
        <w:t>u</w:t>
      </w:r>
      <w:r>
        <w:t xml:space="preserve"> zaštit</w:t>
      </w:r>
      <w:r w:rsidR="004D6218">
        <w:t>u</w:t>
      </w:r>
      <w:r>
        <w:t xml:space="preserve"> Ministarstva unutarnjih poslova.</w:t>
      </w:r>
    </w:p>
    <w:p w14:paraId="08A56684" w14:textId="77777777" w:rsidR="00127D0A" w:rsidRPr="00020F5A" w:rsidRDefault="00127D0A" w:rsidP="00127D0A">
      <w:pPr>
        <w:pStyle w:val="box474668"/>
        <w:spacing w:before="0" w:beforeAutospacing="0" w:after="0" w:afterAutospacing="0"/>
      </w:pPr>
    </w:p>
    <w:p w14:paraId="4C5A9B90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8</w:t>
      </w:r>
      <w:r w:rsidRPr="00020F5A">
        <w:rPr>
          <w:b/>
          <w:bCs/>
        </w:rPr>
        <w:t>.</w:t>
      </w:r>
    </w:p>
    <w:p w14:paraId="4B0EB356" w14:textId="77777777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člankom se utvrđuje vrsta akta koja donose </w:t>
      </w:r>
      <w:r>
        <w:t>inspekcijska</w:t>
      </w:r>
      <w:r w:rsidRPr="00020F5A">
        <w:t xml:space="preserve"> tijela i pravni lijek. </w:t>
      </w:r>
    </w:p>
    <w:p w14:paraId="0E02C3C9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1B1DABD2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9.</w:t>
      </w:r>
    </w:p>
    <w:p w14:paraId="5C555ACC" w14:textId="77777777" w:rsidR="00127D0A" w:rsidRPr="00F626F5" w:rsidRDefault="00127D0A" w:rsidP="00127D0A">
      <w:pPr>
        <w:pStyle w:val="box474668"/>
        <w:spacing w:before="0" w:beforeAutospacing="0" w:after="0" w:afterAutospacing="0"/>
      </w:pPr>
      <w:r w:rsidRPr="00F626F5">
        <w:t>Ovim člankom se određuje postupak nadležnog inspekcijskog tijela u slučaju povrede odredbi ovoga Zakona.</w:t>
      </w:r>
    </w:p>
    <w:p w14:paraId="51893733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1817795E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10</w:t>
      </w:r>
      <w:r w:rsidRPr="00020F5A">
        <w:rPr>
          <w:b/>
          <w:bCs/>
        </w:rPr>
        <w:t>.</w:t>
      </w:r>
    </w:p>
    <w:p w14:paraId="5797DCD2" w14:textId="77777777" w:rsidR="00127D0A" w:rsidRDefault="00127D0A" w:rsidP="00127D0A">
      <w:pPr>
        <w:pStyle w:val="box474668"/>
        <w:spacing w:before="0" w:beforeAutospacing="0" w:after="0" w:afterAutospacing="0"/>
      </w:pPr>
      <w:r w:rsidRPr="00020F5A">
        <w:t xml:space="preserve">Ovim člankom se </w:t>
      </w:r>
      <w:r>
        <w:t>određuje nadležno tijelo za akreditaciju verifikatora.</w:t>
      </w:r>
    </w:p>
    <w:p w14:paraId="77FF3DAD" w14:textId="77777777" w:rsidR="00127D0A" w:rsidRPr="00020F5A" w:rsidRDefault="00127D0A" w:rsidP="00127D0A">
      <w:pPr>
        <w:pStyle w:val="box474668"/>
        <w:spacing w:before="0" w:beforeAutospacing="0" w:after="0" w:afterAutospacing="0"/>
      </w:pPr>
    </w:p>
    <w:p w14:paraId="15EE0A70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>Uz članak 1</w:t>
      </w:r>
      <w:r>
        <w:rPr>
          <w:b/>
          <w:bCs/>
        </w:rPr>
        <w:t>1</w:t>
      </w:r>
      <w:r w:rsidRPr="00AD6011">
        <w:rPr>
          <w:b/>
          <w:bCs/>
        </w:rPr>
        <w:t>.</w:t>
      </w:r>
    </w:p>
    <w:p w14:paraId="68133670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t>Ovim člankom se propisuj</w:t>
      </w:r>
      <w:r>
        <w:t>e da se</w:t>
      </w:r>
      <w:r w:rsidRPr="00020F5A">
        <w:t xml:space="preserve"> za izricanje novčanih kazni </w:t>
      </w:r>
      <w:r>
        <w:t>primjenjuju kriteriji sukladno Uredbi (EU) 2024/1787.</w:t>
      </w:r>
    </w:p>
    <w:p w14:paraId="441C5907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54B85EF8" w14:textId="77777777" w:rsidR="007D4422" w:rsidRDefault="007D4422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2B8B57CB" w14:textId="77777777" w:rsidR="007D4422" w:rsidRDefault="007D4422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0E90426E" w14:textId="4020207E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>Uz čla</w:t>
      </w:r>
      <w:r>
        <w:rPr>
          <w:b/>
          <w:bCs/>
        </w:rPr>
        <w:t>nke</w:t>
      </w:r>
      <w:r w:rsidRPr="00020F5A">
        <w:rPr>
          <w:b/>
          <w:bCs/>
        </w:rPr>
        <w:t xml:space="preserve"> 1</w:t>
      </w:r>
      <w:r>
        <w:rPr>
          <w:b/>
          <w:bCs/>
        </w:rPr>
        <w:t>2</w:t>
      </w:r>
      <w:r w:rsidRPr="00020F5A">
        <w:rPr>
          <w:b/>
          <w:bCs/>
        </w:rPr>
        <w:t>.</w:t>
      </w:r>
      <w:r>
        <w:rPr>
          <w:b/>
          <w:bCs/>
        </w:rPr>
        <w:t xml:space="preserve"> do 17.</w:t>
      </w:r>
    </w:p>
    <w:p w14:paraId="4F51241E" w14:textId="77777777" w:rsidR="00127D0A" w:rsidRPr="00866998" w:rsidRDefault="00127D0A" w:rsidP="00127D0A">
      <w:pPr>
        <w:jc w:val="both"/>
      </w:pPr>
      <w:r w:rsidRPr="00866998">
        <w:t xml:space="preserve">Ovim člancima propisane su prekršajne odredbe i visine novčanih kazni za pojedine prekršaje propisane Zakonom. </w:t>
      </w:r>
    </w:p>
    <w:p w14:paraId="48484C8A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18AD37AE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18.</w:t>
      </w:r>
    </w:p>
    <w:p w14:paraId="483DD71E" w14:textId="2CD5B8EC" w:rsidR="00127D0A" w:rsidRDefault="00127D0A" w:rsidP="00127D0A">
      <w:pPr>
        <w:pStyle w:val="box474668"/>
        <w:spacing w:before="0" w:beforeAutospacing="0" w:after="0" w:afterAutospacing="0"/>
      </w:pPr>
      <w:r>
        <w:t xml:space="preserve">Ovim člankom se utvrđuju opće odredbe </w:t>
      </w:r>
      <w:r w:rsidR="00C8454F">
        <w:t xml:space="preserve">upravnih </w:t>
      </w:r>
      <w:r>
        <w:t>sankcija radi poduzimanja potrebnih mjera u svrhu osiguranja provedbe Uredbe (EU) 2024/1787.</w:t>
      </w:r>
    </w:p>
    <w:p w14:paraId="077269A0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4B4ADCCA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19</w:t>
      </w:r>
      <w:r w:rsidRPr="00020F5A">
        <w:rPr>
          <w:b/>
          <w:bCs/>
        </w:rPr>
        <w:t>.</w:t>
      </w:r>
    </w:p>
    <w:p w14:paraId="12051E08" w14:textId="77777777" w:rsidR="00127D0A" w:rsidRDefault="00127D0A" w:rsidP="00127D0A">
      <w:pPr>
        <w:pStyle w:val="box474668"/>
        <w:spacing w:before="0" w:beforeAutospacing="0" w:after="0" w:afterAutospacing="0"/>
      </w:pPr>
      <w:r w:rsidRPr="00020F5A">
        <w:t>Ovim člankom se utvrđuje iznos</w:t>
      </w:r>
      <w:r>
        <w:t xml:space="preserve"> dnevnih</w:t>
      </w:r>
      <w:r w:rsidRPr="00020F5A">
        <w:t xml:space="preserve"> penala i </w:t>
      </w:r>
      <w:r>
        <w:t>kriterij</w:t>
      </w:r>
      <w:r w:rsidRPr="00020F5A">
        <w:t xml:space="preserve"> njihovog plaćanja.</w:t>
      </w:r>
    </w:p>
    <w:p w14:paraId="695DDAEA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19495E6B" w14:textId="0E34081F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20</w:t>
      </w:r>
      <w:r w:rsidRPr="00020F5A">
        <w:rPr>
          <w:b/>
          <w:bCs/>
        </w:rPr>
        <w:t>.</w:t>
      </w:r>
    </w:p>
    <w:p w14:paraId="48D89E9C" w14:textId="2112D826" w:rsidR="00127D0A" w:rsidRPr="00020F5A" w:rsidRDefault="00127D0A" w:rsidP="00127D0A">
      <w:pPr>
        <w:pStyle w:val="box474668"/>
        <w:spacing w:before="0" w:beforeAutospacing="0" w:after="0" w:afterAutospacing="0"/>
      </w:pPr>
      <w:r w:rsidRPr="00020F5A">
        <w:t>Ovim člankom se propisuje obveza donošenja plana ublažavanja</w:t>
      </w:r>
      <w:r>
        <w:t>, kao i rok donošenja istoga koji je određen člankom 18. Uredbe (EU) 2024/1787</w:t>
      </w:r>
      <w:r w:rsidRPr="00020F5A">
        <w:t>.</w:t>
      </w:r>
    </w:p>
    <w:p w14:paraId="394990DA" w14:textId="77777777" w:rsidR="00127D0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</w:p>
    <w:p w14:paraId="5646CE4A" w14:textId="77777777" w:rsidR="00127D0A" w:rsidRPr="00020F5A" w:rsidRDefault="00127D0A" w:rsidP="00127D0A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21.</w:t>
      </w:r>
    </w:p>
    <w:p w14:paraId="7564D794" w14:textId="77777777" w:rsidR="00127D0A" w:rsidRPr="000B7B0F" w:rsidRDefault="00127D0A" w:rsidP="00127D0A">
      <w:pPr>
        <w:pStyle w:val="box474668"/>
        <w:spacing w:before="0" w:beforeAutospacing="0" w:after="0" w:afterAutospacing="0"/>
      </w:pPr>
      <w:r w:rsidRPr="00020F5A">
        <w:t>Ovim člankom propisuje se stupanje na snagu Zakona.</w:t>
      </w:r>
    </w:p>
    <w:p w14:paraId="38AF3BC8" w14:textId="77777777" w:rsidR="00127D0A" w:rsidRDefault="00127D0A" w:rsidP="00127D0A">
      <w:pPr>
        <w:pStyle w:val="box474668"/>
        <w:spacing w:before="0" w:beforeAutospacing="0" w:after="0" w:afterAutospacing="0"/>
      </w:pPr>
    </w:p>
    <w:p w14:paraId="683C3F71" w14:textId="77777777" w:rsidR="00127D0A" w:rsidRDefault="00127D0A" w:rsidP="005D7E40">
      <w:pPr>
        <w:pStyle w:val="ListParagraph"/>
        <w:ind w:left="709" w:hanging="709"/>
        <w:jc w:val="both"/>
        <w:rPr>
          <w:b/>
          <w:bCs/>
        </w:rPr>
      </w:pPr>
    </w:p>
    <w:p w14:paraId="1D0F81BD" w14:textId="5F2F61DE" w:rsidR="005D7E40" w:rsidRDefault="0008205D" w:rsidP="005D7E40">
      <w:pPr>
        <w:pStyle w:val="ListParagraph"/>
        <w:ind w:left="709" w:hanging="709"/>
        <w:jc w:val="both"/>
        <w:rPr>
          <w:b/>
          <w:bCs/>
        </w:rPr>
      </w:pPr>
      <w:r>
        <w:rPr>
          <w:b/>
          <w:bCs/>
        </w:rPr>
        <w:t xml:space="preserve">IV.  </w:t>
      </w:r>
      <w:r>
        <w:rPr>
          <w:b/>
          <w:bCs/>
        </w:rPr>
        <w:tab/>
      </w:r>
      <w:r w:rsidR="005D7E40" w:rsidRPr="00DF5156">
        <w:rPr>
          <w:b/>
          <w:bCs/>
        </w:rPr>
        <w:t>OCJENA I IZVORI SREDSTAVA POTREBNIH ZA PROVOĐENJE ZAKONA</w:t>
      </w:r>
    </w:p>
    <w:p w14:paraId="76F0EA1A" w14:textId="77777777" w:rsidR="005D7E40" w:rsidRPr="000B7B0F" w:rsidRDefault="005D7E40" w:rsidP="005D7E40">
      <w:pPr>
        <w:pStyle w:val="ListParagraph"/>
        <w:ind w:left="709" w:hanging="709"/>
        <w:jc w:val="both"/>
      </w:pPr>
    </w:p>
    <w:p w14:paraId="1351DB5D" w14:textId="77777777" w:rsidR="005D7E40" w:rsidRDefault="005D7E40" w:rsidP="005D7E40">
      <w:pPr>
        <w:ind w:firstLine="709"/>
        <w:jc w:val="both"/>
      </w:pPr>
      <w:r w:rsidRPr="000B7B0F">
        <w:t>Za provođenje ovoga Zakona nije potrebno osigurati dodatna sredstva u državnom proračunu Republike Hrvatske.</w:t>
      </w:r>
    </w:p>
    <w:p w14:paraId="66EA0602" w14:textId="77777777" w:rsidR="005D7E40" w:rsidRDefault="005D7E40" w:rsidP="005D7E40">
      <w:pPr>
        <w:rPr>
          <w:rFonts w:eastAsia="Calibri"/>
        </w:rPr>
      </w:pPr>
    </w:p>
    <w:p w14:paraId="3AF57A7B" w14:textId="77777777" w:rsidR="005D7E40" w:rsidRDefault="005D7E40" w:rsidP="005D7E40">
      <w:pPr>
        <w:jc w:val="center"/>
        <w:rPr>
          <w:rFonts w:eastAsia="Calibri"/>
        </w:rPr>
      </w:pPr>
    </w:p>
    <w:p w14:paraId="6789A02E" w14:textId="7C00BF10" w:rsidR="007E6BC3" w:rsidRPr="00661BBC" w:rsidRDefault="007E6BC3" w:rsidP="001440F7">
      <w:pPr>
        <w:jc w:val="both"/>
        <w:rPr>
          <w:b/>
        </w:rPr>
      </w:pPr>
      <w:r w:rsidRPr="00661BBC">
        <w:rPr>
          <w:b/>
        </w:rPr>
        <w:t xml:space="preserve">V. </w:t>
      </w:r>
      <w:r w:rsidRPr="00661BBC">
        <w:rPr>
          <w:b/>
        </w:rPr>
        <w:tab/>
        <w:t xml:space="preserve">RAZLIKE IZMEĐU RJEŠENJA KOJA SE PREDLAŽU KONAČNIM PRIJEDLOGOM ZAKONA U ODNOSU NA RJEŠENJA IZ PRIJEDLOGA ZAKONA </w:t>
      </w:r>
      <w:r w:rsidR="003A380D" w:rsidRPr="00661BBC">
        <w:rPr>
          <w:b/>
        </w:rPr>
        <w:t>TE</w:t>
      </w:r>
      <w:r w:rsidRPr="00661BBC">
        <w:rPr>
          <w:b/>
        </w:rPr>
        <w:t xml:space="preserve"> RAZLOZI ZBOG KOJIH SU TE RAZLIKE NASTALE</w:t>
      </w:r>
    </w:p>
    <w:p w14:paraId="05206749" w14:textId="77777777" w:rsidR="007E6BC3" w:rsidRPr="00661BBC" w:rsidRDefault="007E6BC3" w:rsidP="007E6BC3">
      <w:pPr>
        <w:rPr>
          <w:b/>
        </w:rPr>
      </w:pPr>
    </w:p>
    <w:p w14:paraId="25D2E8BE" w14:textId="3711F800" w:rsidR="007E6BC3" w:rsidRPr="00661BBC" w:rsidRDefault="007E6BC3" w:rsidP="007E6BC3">
      <w:pPr>
        <w:ind w:firstLine="708"/>
        <w:jc w:val="both"/>
      </w:pPr>
      <w:r w:rsidRPr="00661BBC">
        <w:t xml:space="preserve">Na </w:t>
      </w:r>
      <w:r w:rsidR="007407CD" w:rsidRPr="00661BBC">
        <w:t>9</w:t>
      </w:r>
      <w:r w:rsidRPr="00661BBC">
        <w:t>. sjednici održanoj 2</w:t>
      </w:r>
      <w:r w:rsidR="00324C19" w:rsidRPr="00661BBC">
        <w:t>9</w:t>
      </w:r>
      <w:r w:rsidR="007407CD" w:rsidRPr="00661BBC">
        <w:t>. siječnj</w:t>
      </w:r>
      <w:r w:rsidRPr="00661BBC">
        <w:t>a 202</w:t>
      </w:r>
      <w:r w:rsidR="007407CD" w:rsidRPr="00661BBC">
        <w:t>6</w:t>
      </w:r>
      <w:r w:rsidRPr="00661BBC">
        <w:t xml:space="preserve">. Hrvatski sabor donio je Zaključak kojim se prihvaća Prijedlog zakona o </w:t>
      </w:r>
      <w:r w:rsidR="009505B6" w:rsidRPr="00661BBC">
        <w:t>provedbi Uredbe (EU) 2024/1787 o smanjenju emisija metana u energetskom sektoru</w:t>
      </w:r>
      <w:r w:rsidRPr="00661BBC">
        <w:t xml:space="preserve">. Hrvatski sabor uputio je predlagatelju primjedbe, prijedloge i mišljenja radi pripreme Konačnog prijedloga zakona. </w:t>
      </w:r>
    </w:p>
    <w:p w14:paraId="1EB9016B" w14:textId="77777777" w:rsidR="002014B4" w:rsidRPr="00661BBC" w:rsidRDefault="002014B4" w:rsidP="007E6BC3">
      <w:pPr>
        <w:ind w:firstLine="708"/>
        <w:jc w:val="both"/>
      </w:pPr>
    </w:p>
    <w:p w14:paraId="2737874F" w14:textId="0C57D2B9" w:rsidR="007E6BC3" w:rsidRPr="00661BBC" w:rsidRDefault="007E6BC3" w:rsidP="002014B4">
      <w:pPr>
        <w:ind w:firstLine="708"/>
        <w:jc w:val="both"/>
      </w:pPr>
      <w:r w:rsidRPr="00661BBC">
        <w:t xml:space="preserve">Raspravu o navedenom Prijedlogu zakona provela su dva saborska Odbora. Odbor za zakonodavstvo i Odbor za </w:t>
      </w:r>
      <w:r w:rsidR="00720921" w:rsidRPr="00661BBC">
        <w:t>gospodarstvo</w:t>
      </w:r>
      <w:r w:rsidRPr="00661BBC">
        <w:t xml:space="preserve"> su jednoglasno donijeli zaključke o prihvaćanju Prijedloga zakona.</w:t>
      </w:r>
    </w:p>
    <w:p w14:paraId="2D1235C3" w14:textId="77777777" w:rsidR="002014B4" w:rsidRPr="00661BBC" w:rsidRDefault="002014B4" w:rsidP="002014B4">
      <w:pPr>
        <w:ind w:firstLine="708"/>
        <w:jc w:val="both"/>
      </w:pPr>
    </w:p>
    <w:p w14:paraId="44433A5A" w14:textId="65DA687B" w:rsidR="00D57043" w:rsidRDefault="00CA251C" w:rsidP="00D57043">
      <w:pPr>
        <w:ind w:firstLine="708"/>
        <w:jc w:val="both"/>
      </w:pPr>
      <w:r>
        <w:t xml:space="preserve">Od strane predlagatelja </w:t>
      </w:r>
      <w:r w:rsidR="00546499">
        <w:t xml:space="preserve">su </w:t>
      </w:r>
      <w:r w:rsidR="004B09AB">
        <w:t>dopunjen</w:t>
      </w:r>
      <w:r w:rsidR="00546499">
        <w:t xml:space="preserve">e i izmijenjene pojedine odredbe </w:t>
      </w:r>
      <w:r w:rsidR="00556213">
        <w:t>koje nisu bile predmet rasprave na sjednici Hrvatskoga sabora u prvom čitanju, u cilju postizanja veće jasnoće u primjeni.</w:t>
      </w:r>
      <w:r w:rsidR="00754D62">
        <w:t xml:space="preserve"> Tako je u članku 4. stavku 1. </w:t>
      </w:r>
      <w:r w:rsidR="00A83D5A">
        <w:t xml:space="preserve">zbog </w:t>
      </w:r>
      <w:r w:rsidR="00621D29">
        <w:t xml:space="preserve">razgraničenja fosilnog od prirodnog plina </w:t>
      </w:r>
      <w:r w:rsidR="00754D62">
        <w:t>dodan pojam „prirodni plin“</w:t>
      </w:r>
      <w:r w:rsidR="00927233">
        <w:t xml:space="preserve">. </w:t>
      </w:r>
      <w:r w:rsidR="00457249">
        <w:t>R</w:t>
      </w:r>
      <w:r w:rsidR="00374247">
        <w:t xml:space="preserve">adi određenosti pravne norme, </w:t>
      </w:r>
      <w:r w:rsidR="004B0192">
        <w:t xml:space="preserve">u članku 6. dodan je stavak 3. kojim je </w:t>
      </w:r>
      <w:r w:rsidR="00374247">
        <w:t xml:space="preserve">propisan akt kojim </w:t>
      </w:r>
      <w:r w:rsidR="004B0192">
        <w:t xml:space="preserve">ministar nadležan za energetiku </w:t>
      </w:r>
      <w:r w:rsidR="00374247">
        <w:t>donosi plan ublažavanja</w:t>
      </w:r>
      <w:r w:rsidR="004B0192">
        <w:t xml:space="preserve">. </w:t>
      </w:r>
      <w:r w:rsidR="00A84EA5">
        <w:t xml:space="preserve">U članku </w:t>
      </w:r>
      <w:r w:rsidR="00F27139">
        <w:t xml:space="preserve">7. stavku 2. je </w:t>
      </w:r>
      <w:r w:rsidR="004C3BE1">
        <w:t>izmijenjen</w:t>
      </w:r>
      <w:r w:rsidR="00C07DF3">
        <w:t xml:space="preserve"> </w:t>
      </w:r>
      <w:r w:rsidR="005A0B0E">
        <w:t xml:space="preserve">naziv inspekcije </w:t>
      </w:r>
      <w:r w:rsidR="00A75E91">
        <w:t>koja obavlja inspekcijski nadzor</w:t>
      </w:r>
      <w:r w:rsidR="00E027FF">
        <w:t xml:space="preserve"> u dijelu </w:t>
      </w:r>
      <w:r w:rsidR="00471E21">
        <w:t>koji se odnosi na</w:t>
      </w:r>
      <w:r w:rsidR="009B5B2D">
        <w:t xml:space="preserve"> ukapljeni prirodni plin</w:t>
      </w:r>
      <w:r w:rsidR="006E37BD">
        <w:t xml:space="preserve"> budući da je predmetni nadzor u nadležnosti dviju službi</w:t>
      </w:r>
      <w:r w:rsidR="0061321A">
        <w:t xml:space="preserve"> (inspekcij</w:t>
      </w:r>
      <w:r w:rsidR="0078739F">
        <w:t>e</w:t>
      </w:r>
      <w:r w:rsidR="0061321A">
        <w:t xml:space="preserve"> zaštite od požara i inspekcij</w:t>
      </w:r>
      <w:r w:rsidR="0078739F">
        <w:t>e</w:t>
      </w:r>
      <w:r w:rsidR="0061321A">
        <w:t xml:space="preserve"> civilne zaštite)</w:t>
      </w:r>
      <w:r w:rsidR="00A75E91">
        <w:t xml:space="preserve">. </w:t>
      </w:r>
      <w:r w:rsidR="001F30CF">
        <w:t>Nadalje, u</w:t>
      </w:r>
      <w:r w:rsidR="001377A7">
        <w:t xml:space="preserve"> članku 10. stavku 2. je </w:t>
      </w:r>
      <w:r w:rsidR="001E3024">
        <w:t>navedena opća odr</w:t>
      </w:r>
      <w:r w:rsidR="00A34B69">
        <w:t xml:space="preserve">ednica tijela nadležnog </w:t>
      </w:r>
      <w:r w:rsidR="00EF3896">
        <w:t xml:space="preserve">za </w:t>
      </w:r>
      <w:r w:rsidR="00A34B69">
        <w:t>akreditaciju bez navođenja točnog imena istog</w:t>
      </w:r>
      <w:r w:rsidR="001B4191">
        <w:t>,</w:t>
      </w:r>
      <w:r w:rsidR="00A34B69">
        <w:t xml:space="preserve"> </w:t>
      </w:r>
      <w:r w:rsidR="00675414">
        <w:t>na način da je</w:t>
      </w:r>
      <w:r w:rsidR="00A34B69">
        <w:t xml:space="preserve"> </w:t>
      </w:r>
      <w:r w:rsidR="0095174A">
        <w:t>propisano</w:t>
      </w:r>
      <w:r w:rsidR="00FA6865">
        <w:t xml:space="preserve"> </w:t>
      </w:r>
      <w:r w:rsidR="008C0FAA">
        <w:t xml:space="preserve">da </w:t>
      </w:r>
      <w:r w:rsidR="0050474B">
        <w:t xml:space="preserve">verifikatore koji su pravne osobe akreditira </w:t>
      </w:r>
      <w:r w:rsidR="00B6535A">
        <w:t xml:space="preserve">nacionalno akreditacijsko tijelo u skladu s Uredbom (EZ) br. 765/2008. </w:t>
      </w:r>
      <w:r w:rsidR="000B7721">
        <w:t>Slijedom navedenog,</w:t>
      </w:r>
      <w:r w:rsidR="00F45D51">
        <w:t xml:space="preserve"> </w:t>
      </w:r>
      <w:r w:rsidR="009623E3">
        <w:t xml:space="preserve">pojam </w:t>
      </w:r>
      <w:r w:rsidR="009623E3" w:rsidRPr="00696937">
        <w:rPr>
          <w:i/>
          <w:iCs/>
        </w:rPr>
        <w:t>Hrvatska akreditacijska agencija</w:t>
      </w:r>
      <w:r w:rsidR="009623E3">
        <w:t xml:space="preserve"> je brisan </w:t>
      </w:r>
      <w:r w:rsidR="000B7721">
        <w:t xml:space="preserve">iz članka 4. koji se odnosi na pojmove. </w:t>
      </w:r>
      <w:r w:rsidR="00457249">
        <w:t xml:space="preserve">Također, </w:t>
      </w:r>
      <w:r w:rsidR="006401A7">
        <w:t xml:space="preserve">radi </w:t>
      </w:r>
      <w:r w:rsidR="00986C0C">
        <w:t>jasnoće</w:t>
      </w:r>
      <w:r w:rsidR="00014C34">
        <w:t xml:space="preserve"> </w:t>
      </w:r>
      <w:r w:rsidR="00541901">
        <w:t>u odjeljku 4.</w:t>
      </w:r>
      <w:r w:rsidR="00EE18DB">
        <w:t>,</w:t>
      </w:r>
      <w:r w:rsidR="00541901">
        <w:t xml:space="preserve"> </w:t>
      </w:r>
      <w:r w:rsidR="00EE18DB">
        <w:t xml:space="preserve">koji se odnosi na članke 18. i 19., </w:t>
      </w:r>
      <w:r w:rsidR="00541901">
        <w:t xml:space="preserve">je naznačeno da se radi o upravnim sankcijama imajući u vidu da </w:t>
      </w:r>
      <w:r w:rsidR="00970D56">
        <w:t>se dnevni penali izriču u upravnom postupku.</w:t>
      </w:r>
    </w:p>
    <w:p w14:paraId="05919FDC" w14:textId="77777777" w:rsidR="00D57043" w:rsidRDefault="00D57043" w:rsidP="00D57043">
      <w:pPr>
        <w:ind w:firstLine="708"/>
        <w:jc w:val="both"/>
      </w:pPr>
    </w:p>
    <w:p w14:paraId="5BFE4BB8" w14:textId="77777777" w:rsidR="007D4422" w:rsidRDefault="007D4422" w:rsidP="00D57043">
      <w:pPr>
        <w:ind w:firstLine="708"/>
        <w:jc w:val="both"/>
      </w:pPr>
    </w:p>
    <w:p w14:paraId="680F1279" w14:textId="77777777" w:rsidR="007D4422" w:rsidRPr="00661BBC" w:rsidRDefault="007D4422" w:rsidP="00D57043">
      <w:pPr>
        <w:ind w:firstLine="708"/>
        <w:jc w:val="both"/>
      </w:pPr>
    </w:p>
    <w:p w14:paraId="40EA1923" w14:textId="77777777" w:rsidR="007E6BC3" w:rsidRPr="00661BBC" w:rsidRDefault="007E6BC3" w:rsidP="0053445C">
      <w:pPr>
        <w:ind w:firstLine="708"/>
        <w:jc w:val="both"/>
      </w:pPr>
    </w:p>
    <w:p w14:paraId="1BEB57EF" w14:textId="3FD301ED" w:rsidR="007E6BC3" w:rsidRPr="00661BBC" w:rsidRDefault="007E6BC3" w:rsidP="003A380D">
      <w:pPr>
        <w:jc w:val="both"/>
        <w:rPr>
          <w:b/>
        </w:rPr>
      </w:pPr>
      <w:r w:rsidRPr="00661BBC">
        <w:rPr>
          <w:b/>
        </w:rPr>
        <w:t>V</w:t>
      </w:r>
      <w:r w:rsidR="00B86EC4" w:rsidRPr="00661BBC">
        <w:rPr>
          <w:b/>
        </w:rPr>
        <w:t>I</w:t>
      </w:r>
      <w:r w:rsidRPr="00661BBC">
        <w:rPr>
          <w:b/>
        </w:rPr>
        <w:t xml:space="preserve">. </w:t>
      </w:r>
      <w:r w:rsidRPr="00661BBC">
        <w:rPr>
          <w:b/>
        </w:rPr>
        <w:tab/>
        <w:t>PRIJEDLOZI, PRIMJEDBE I MIŠLJENJA DANI NA PRIJEDLOG ZAKONA KOJE PREDLAGATELJ NIJE PRIHVATIO, S OBRAZLOŽENJEM</w:t>
      </w:r>
    </w:p>
    <w:p w14:paraId="11C146B2" w14:textId="77777777" w:rsidR="007E6BC3" w:rsidRPr="00661BBC" w:rsidRDefault="007E6BC3" w:rsidP="007E6BC3">
      <w:pPr>
        <w:rPr>
          <w:b/>
        </w:rPr>
      </w:pPr>
    </w:p>
    <w:p w14:paraId="76688EE8" w14:textId="35D3653E" w:rsidR="005D7E40" w:rsidRDefault="007E6BC3" w:rsidP="004A33E4">
      <w:pPr>
        <w:ind w:firstLine="708"/>
        <w:jc w:val="both"/>
        <w:rPr>
          <w:rFonts w:eastAsia="Calibri"/>
        </w:rPr>
      </w:pPr>
      <w:r w:rsidRPr="00661BBC">
        <w:lastRenderedPageBreak/>
        <w:t>Na tekst Prijedloga zakona nije bilo suštinskih primjedbi niti prijedloga koje predlagatelj nije prihvatio, odnosno sve upućene primjedbe s rasprave u Hrvatskome saboru pomno su razmotrene te je zaključeno kako su sve primjedbe izvan opsega predmeta ovoga Konačnog prijedloga zakona.</w:t>
      </w:r>
    </w:p>
    <w:p w14:paraId="243F4C66" w14:textId="77777777" w:rsidR="005D7E40" w:rsidRDefault="005D7E40" w:rsidP="005D7E40">
      <w:pPr>
        <w:jc w:val="center"/>
        <w:rPr>
          <w:b/>
          <w:bCs/>
        </w:rPr>
      </w:pPr>
    </w:p>
    <w:p w14:paraId="7AFF0523" w14:textId="407566BB" w:rsidR="00A249E8" w:rsidRDefault="00A249E8" w:rsidP="004B0192">
      <w:pPr>
        <w:jc w:val="both"/>
      </w:pPr>
    </w:p>
    <w:sectPr w:rsidR="00A249E8" w:rsidSect="000504D7">
      <w:footerReference w:type="even" r:id="rId13"/>
      <w:footerReference w:type="default" r:id="rId14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8B245" w14:textId="77777777" w:rsidR="004860B4" w:rsidRDefault="004860B4">
      <w:r>
        <w:separator/>
      </w:r>
    </w:p>
  </w:endnote>
  <w:endnote w:type="continuationSeparator" w:id="0">
    <w:p w14:paraId="30BA2DA1" w14:textId="77777777" w:rsidR="004860B4" w:rsidRDefault="004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DD96" w14:textId="60E5F2FC" w:rsidR="00083F5C" w:rsidRDefault="00083F5C" w:rsidP="00083F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B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7E7B9E" w14:textId="77777777" w:rsidR="00083F5C" w:rsidRDefault="00083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B2D1" w14:textId="77777777" w:rsidR="00083F5C" w:rsidRDefault="00083F5C">
    <w:pPr>
      <w:pStyle w:val="Footer"/>
      <w:jc w:val="center"/>
    </w:pPr>
  </w:p>
  <w:p w14:paraId="407ABB04" w14:textId="77777777" w:rsidR="00083F5C" w:rsidRDefault="00083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41E08" w14:textId="77777777" w:rsidR="004860B4" w:rsidRDefault="004860B4">
      <w:r>
        <w:separator/>
      </w:r>
    </w:p>
  </w:footnote>
  <w:footnote w:type="continuationSeparator" w:id="0">
    <w:p w14:paraId="7265C4C1" w14:textId="77777777" w:rsidR="004860B4" w:rsidRDefault="0048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A86"/>
    <w:multiLevelType w:val="hybridMultilevel"/>
    <w:tmpl w:val="3D7C52E4"/>
    <w:lvl w:ilvl="0" w:tplc="DD2C8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6DC"/>
    <w:multiLevelType w:val="hybridMultilevel"/>
    <w:tmpl w:val="958822CE"/>
    <w:lvl w:ilvl="0" w:tplc="DA404B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B4186A"/>
    <w:multiLevelType w:val="hybridMultilevel"/>
    <w:tmpl w:val="5C4889EC"/>
    <w:lvl w:ilvl="0" w:tplc="3D14AD4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750D28"/>
    <w:multiLevelType w:val="hybridMultilevel"/>
    <w:tmpl w:val="2A1CD74E"/>
    <w:lvl w:ilvl="0" w:tplc="56A432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07B7"/>
    <w:multiLevelType w:val="hybridMultilevel"/>
    <w:tmpl w:val="23E0B2AC"/>
    <w:lvl w:ilvl="0" w:tplc="FEF6B95C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3F2679"/>
    <w:multiLevelType w:val="hybridMultilevel"/>
    <w:tmpl w:val="770C7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08A7"/>
    <w:multiLevelType w:val="hybridMultilevel"/>
    <w:tmpl w:val="4B4AE094"/>
    <w:lvl w:ilvl="0" w:tplc="49501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A4537"/>
    <w:multiLevelType w:val="hybridMultilevel"/>
    <w:tmpl w:val="F8F69DDC"/>
    <w:lvl w:ilvl="0" w:tplc="B0007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5E6"/>
    <w:multiLevelType w:val="hybridMultilevel"/>
    <w:tmpl w:val="4530A626"/>
    <w:lvl w:ilvl="0" w:tplc="2AD21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55217"/>
    <w:multiLevelType w:val="hybridMultilevel"/>
    <w:tmpl w:val="039A7C14"/>
    <w:lvl w:ilvl="0" w:tplc="78640848">
      <w:start w:val="1"/>
      <w:numFmt w:val="decimal"/>
      <w:lvlText w:val="(%1)"/>
      <w:lvlJc w:val="left"/>
      <w:pPr>
        <w:ind w:left="277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3491" w:hanging="360"/>
      </w:pPr>
    </w:lvl>
    <w:lvl w:ilvl="2" w:tplc="041A001B" w:tentative="1">
      <w:start w:val="1"/>
      <w:numFmt w:val="lowerRoman"/>
      <w:lvlText w:val="%3."/>
      <w:lvlJc w:val="right"/>
      <w:pPr>
        <w:ind w:left="4211" w:hanging="180"/>
      </w:pPr>
    </w:lvl>
    <w:lvl w:ilvl="3" w:tplc="041A000F" w:tentative="1">
      <w:start w:val="1"/>
      <w:numFmt w:val="decimal"/>
      <w:lvlText w:val="%4."/>
      <w:lvlJc w:val="left"/>
      <w:pPr>
        <w:ind w:left="4931" w:hanging="360"/>
      </w:pPr>
    </w:lvl>
    <w:lvl w:ilvl="4" w:tplc="041A0019" w:tentative="1">
      <w:start w:val="1"/>
      <w:numFmt w:val="lowerLetter"/>
      <w:lvlText w:val="%5."/>
      <w:lvlJc w:val="left"/>
      <w:pPr>
        <w:ind w:left="5651" w:hanging="360"/>
      </w:pPr>
    </w:lvl>
    <w:lvl w:ilvl="5" w:tplc="041A001B" w:tentative="1">
      <w:start w:val="1"/>
      <w:numFmt w:val="lowerRoman"/>
      <w:lvlText w:val="%6."/>
      <w:lvlJc w:val="right"/>
      <w:pPr>
        <w:ind w:left="6371" w:hanging="180"/>
      </w:pPr>
    </w:lvl>
    <w:lvl w:ilvl="6" w:tplc="041A000F" w:tentative="1">
      <w:start w:val="1"/>
      <w:numFmt w:val="decimal"/>
      <w:lvlText w:val="%7."/>
      <w:lvlJc w:val="left"/>
      <w:pPr>
        <w:ind w:left="7091" w:hanging="360"/>
      </w:pPr>
    </w:lvl>
    <w:lvl w:ilvl="7" w:tplc="041A0019" w:tentative="1">
      <w:start w:val="1"/>
      <w:numFmt w:val="lowerLetter"/>
      <w:lvlText w:val="%8."/>
      <w:lvlJc w:val="left"/>
      <w:pPr>
        <w:ind w:left="7811" w:hanging="360"/>
      </w:pPr>
    </w:lvl>
    <w:lvl w:ilvl="8" w:tplc="041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7A4C7A07"/>
    <w:multiLevelType w:val="hybridMultilevel"/>
    <w:tmpl w:val="59A464FC"/>
    <w:lvl w:ilvl="0" w:tplc="82CC6A2E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0029A4"/>
    <w:rsid w:val="00007508"/>
    <w:rsid w:val="00011627"/>
    <w:rsid w:val="00014C34"/>
    <w:rsid w:val="0001736E"/>
    <w:rsid w:val="0002251E"/>
    <w:rsid w:val="000228CE"/>
    <w:rsid w:val="0003388A"/>
    <w:rsid w:val="00036502"/>
    <w:rsid w:val="00043788"/>
    <w:rsid w:val="00044B2F"/>
    <w:rsid w:val="000504D7"/>
    <w:rsid w:val="000522E4"/>
    <w:rsid w:val="00052A2D"/>
    <w:rsid w:val="00053E76"/>
    <w:rsid w:val="000636A6"/>
    <w:rsid w:val="0008205D"/>
    <w:rsid w:val="00083F5C"/>
    <w:rsid w:val="00084A89"/>
    <w:rsid w:val="00084B93"/>
    <w:rsid w:val="000873DC"/>
    <w:rsid w:val="00087ECF"/>
    <w:rsid w:val="000B515D"/>
    <w:rsid w:val="000B7721"/>
    <w:rsid w:val="000C37B5"/>
    <w:rsid w:val="000C4783"/>
    <w:rsid w:val="000D3F94"/>
    <w:rsid w:val="000D7DCB"/>
    <w:rsid w:val="000E11E8"/>
    <w:rsid w:val="000F4754"/>
    <w:rsid w:val="001024AC"/>
    <w:rsid w:val="00104D48"/>
    <w:rsid w:val="0010577C"/>
    <w:rsid w:val="00112DA3"/>
    <w:rsid w:val="00125F1D"/>
    <w:rsid w:val="00127D0A"/>
    <w:rsid w:val="001377A7"/>
    <w:rsid w:val="001440F7"/>
    <w:rsid w:val="001442DB"/>
    <w:rsid w:val="0015430D"/>
    <w:rsid w:val="00155A55"/>
    <w:rsid w:val="0016070A"/>
    <w:rsid w:val="00160E40"/>
    <w:rsid w:val="00161C53"/>
    <w:rsid w:val="00161D5E"/>
    <w:rsid w:val="00165595"/>
    <w:rsid w:val="00165A71"/>
    <w:rsid w:val="001736F4"/>
    <w:rsid w:val="00182E4A"/>
    <w:rsid w:val="001A2372"/>
    <w:rsid w:val="001B4191"/>
    <w:rsid w:val="001C4E4B"/>
    <w:rsid w:val="001D00B6"/>
    <w:rsid w:val="001D3CBD"/>
    <w:rsid w:val="001D7670"/>
    <w:rsid w:val="001E0C4B"/>
    <w:rsid w:val="001E3024"/>
    <w:rsid w:val="001E3F9A"/>
    <w:rsid w:val="001E7B3F"/>
    <w:rsid w:val="001F30CF"/>
    <w:rsid w:val="002014B4"/>
    <w:rsid w:val="00204E19"/>
    <w:rsid w:val="00205556"/>
    <w:rsid w:val="002124AF"/>
    <w:rsid w:val="00217964"/>
    <w:rsid w:val="00232782"/>
    <w:rsid w:val="00236E94"/>
    <w:rsid w:val="0024151D"/>
    <w:rsid w:val="0024626E"/>
    <w:rsid w:val="002479FF"/>
    <w:rsid w:val="00253976"/>
    <w:rsid w:val="00261286"/>
    <w:rsid w:val="00274B05"/>
    <w:rsid w:val="002762B5"/>
    <w:rsid w:val="00292B32"/>
    <w:rsid w:val="0029423B"/>
    <w:rsid w:val="0029473D"/>
    <w:rsid w:val="002A535A"/>
    <w:rsid w:val="002A57D1"/>
    <w:rsid w:val="002B41E5"/>
    <w:rsid w:val="002C0A87"/>
    <w:rsid w:val="002C3E04"/>
    <w:rsid w:val="002D08D7"/>
    <w:rsid w:val="002D2048"/>
    <w:rsid w:val="002D3655"/>
    <w:rsid w:val="002D6480"/>
    <w:rsid w:val="002E27AE"/>
    <w:rsid w:val="002E6309"/>
    <w:rsid w:val="00307E89"/>
    <w:rsid w:val="00310AE1"/>
    <w:rsid w:val="00314F96"/>
    <w:rsid w:val="003239C5"/>
    <w:rsid w:val="00324C19"/>
    <w:rsid w:val="003300BF"/>
    <w:rsid w:val="00334DE9"/>
    <w:rsid w:val="00335D74"/>
    <w:rsid w:val="00343B47"/>
    <w:rsid w:val="00364B5C"/>
    <w:rsid w:val="00367084"/>
    <w:rsid w:val="003677E7"/>
    <w:rsid w:val="00374247"/>
    <w:rsid w:val="003763B5"/>
    <w:rsid w:val="00397215"/>
    <w:rsid w:val="00397403"/>
    <w:rsid w:val="003A01D5"/>
    <w:rsid w:val="003A380D"/>
    <w:rsid w:val="003A4432"/>
    <w:rsid w:val="003A7BB2"/>
    <w:rsid w:val="003B1143"/>
    <w:rsid w:val="003B25A6"/>
    <w:rsid w:val="003C2288"/>
    <w:rsid w:val="003E1FBA"/>
    <w:rsid w:val="003F0426"/>
    <w:rsid w:val="003F66B8"/>
    <w:rsid w:val="00401A98"/>
    <w:rsid w:val="00403B89"/>
    <w:rsid w:val="004065DD"/>
    <w:rsid w:val="00407D7B"/>
    <w:rsid w:val="00414AEC"/>
    <w:rsid w:val="0043565D"/>
    <w:rsid w:val="004400EE"/>
    <w:rsid w:val="0044231E"/>
    <w:rsid w:val="00450062"/>
    <w:rsid w:val="00452776"/>
    <w:rsid w:val="00453418"/>
    <w:rsid w:val="0045640E"/>
    <w:rsid w:val="00457249"/>
    <w:rsid w:val="00461304"/>
    <w:rsid w:val="00461A1E"/>
    <w:rsid w:val="0046431C"/>
    <w:rsid w:val="00471E21"/>
    <w:rsid w:val="00474BC1"/>
    <w:rsid w:val="00484820"/>
    <w:rsid w:val="004860B4"/>
    <w:rsid w:val="004A33E4"/>
    <w:rsid w:val="004B0192"/>
    <w:rsid w:val="004B09AB"/>
    <w:rsid w:val="004B59A7"/>
    <w:rsid w:val="004C098F"/>
    <w:rsid w:val="004C3BE1"/>
    <w:rsid w:val="004C4F09"/>
    <w:rsid w:val="004C6969"/>
    <w:rsid w:val="004D6068"/>
    <w:rsid w:val="004D6218"/>
    <w:rsid w:val="004E0010"/>
    <w:rsid w:val="004E6FF8"/>
    <w:rsid w:val="004E7793"/>
    <w:rsid w:val="004F3C53"/>
    <w:rsid w:val="004F6FBE"/>
    <w:rsid w:val="0050474B"/>
    <w:rsid w:val="00513DDB"/>
    <w:rsid w:val="00516043"/>
    <w:rsid w:val="0051658B"/>
    <w:rsid w:val="00533DC9"/>
    <w:rsid w:val="0053445C"/>
    <w:rsid w:val="00541901"/>
    <w:rsid w:val="00546499"/>
    <w:rsid w:val="0055609A"/>
    <w:rsid w:val="00556213"/>
    <w:rsid w:val="005613CD"/>
    <w:rsid w:val="005676E8"/>
    <w:rsid w:val="005854E6"/>
    <w:rsid w:val="00591E7C"/>
    <w:rsid w:val="00595BCE"/>
    <w:rsid w:val="00597477"/>
    <w:rsid w:val="00597FA1"/>
    <w:rsid w:val="005A0B0E"/>
    <w:rsid w:val="005A0B0F"/>
    <w:rsid w:val="005A5F68"/>
    <w:rsid w:val="005A7EFB"/>
    <w:rsid w:val="005B49CE"/>
    <w:rsid w:val="005C709C"/>
    <w:rsid w:val="005D1133"/>
    <w:rsid w:val="005D7E40"/>
    <w:rsid w:val="005E1941"/>
    <w:rsid w:val="00600487"/>
    <w:rsid w:val="0061321A"/>
    <w:rsid w:val="006156CC"/>
    <w:rsid w:val="00621D29"/>
    <w:rsid w:val="00630BBD"/>
    <w:rsid w:val="006331A9"/>
    <w:rsid w:val="00635E9D"/>
    <w:rsid w:val="006401A7"/>
    <w:rsid w:val="00641E66"/>
    <w:rsid w:val="00660E58"/>
    <w:rsid w:val="00661BBC"/>
    <w:rsid w:val="00661FD1"/>
    <w:rsid w:val="00662BED"/>
    <w:rsid w:val="00670C0D"/>
    <w:rsid w:val="006726F2"/>
    <w:rsid w:val="00673F33"/>
    <w:rsid w:val="00675414"/>
    <w:rsid w:val="006927DE"/>
    <w:rsid w:val="00696937"/>
    <w:rsid w:val="006977F2"/>
    <w:rsid w:val="006A0734"/>
    <w:rsid w:val="006A2806"/>
    <w:rsid w:val="006A3C1B"/>
    <w:rsid w:val="006C59F6"/>
    <w:rsid w:val="006D181B"/>
    <w:rsid w:val="006D1F57"/>
    <w:rsid w:val="006D7233"/>
    <w:rsid w:val="006D74C5"/>
    <w:rsid w:val="006D7B74"/>
    <w:rsid w:val="006E37BD"/>
    <w:rsid w:val="006E5C5C"/>
    <w:rsid w:val="006F55E1"/>
    <w:rsid w:val="006F774B"/>
    <w:rsid w:val="007044AE"/>
    <w:rsid w:val="00713B77"/>
    <w:rsid w:val="00717AE0"/>
    <w:rsid w:val="00720921"/>
    <w:rsid w:val="00722129"/>
    <w:rsid w:val="007239F7"/>
    <w:rsid w:val="0072695A"/>
    <w:rsid w:val="00730A61"/>
    <w:rsid w:val="007327EB"/>
    <w:rsid w:val="007336FB"/>
    <w:rsid w:val="007407CD"/>
    <w:rsid w:val="00754D62"/>
    <w:rsid w:val="00761754"/>
    <w:rsid w:val="0076593E"/>
    <w:rsid w:val="007661AC"/>
    <w:rsid w:val="007714C7"/>
    <w:rsid w:val="00771E33"/>
    <w:rsid w:val="0077310D"/>
    <w:rsid w:val="0078739F"/>
    <w:rsid w:val="00787F21"/>
    <w:rsid w:val="007972E8"/>
    <w:rsid w:val="007A7E7E"/>
    <w:rsid w:val="007B3779"/>
    <w:rsid w:val="007B5A39"/>
    <w:rsid w:val="007B5BAA"/>
    <w:rsid w:val="007C170B"/>
    <w:rsid w:val="007C1925"/>
    <w:rsid w:val="007D0859"/>
    <w:rsid w:val="007D4422"/>
    <w:rsid w:val="007E48FF"/>
    <w:rsid w:val="007E6BC3"/>
    <w:rsid w:val="008044C1"/>
    <w:rsid w:val="008067C2"/>
    <w:rsid w:val="0081596A"/>
    <w:rsid w:val="00816E31"/>
    <w:rsid w:val="00817272"/>
    <w:rsid w:val="00821FE7"/>
    <w:rsid w:val="008410C4"/>
    <w:rsid w:val="00846722"/>
    <w:rsid w:val="00847FAF"/>
    <w:rsid w:val="008544CE"/>
    <w:rsid w:val="008549E0"/>
    <w:rsid w:val="00855C80"/>
    <w:rsid w:val="008670B6"/>
    <w:rsid w:val="00870AFF"/>
    <w:rsid w:val="00872152"/>
    <w:rsid w:val="008724E8"/>
    <w:rsid w:val="00876D7E"/>
    <w:rsid w:val="00885C58"/>
    <w:rsid w:val="0089253C"/>
    <w:rsid w:val="008B76D7"/>
    <w:rsid w:val="008C0FAA"/>
    <w:rsid w:val="008C1BC2"/>
    <w:rsid w:val="008C2AA1"/>
    <w:rsid w:val="008C2E7B"/>
    <w:rsid w:val="008C7723"/>
    <w:rsid w:val="008E0F49"/>
    <w:rsid w:val="008E274C"/>
    <w:rsid w:val="008E508B"/>
    <w:rsid w:val="008F2C05"/>
    <w:rsid w:val="009020B5"/>
    <w:rsid w:val="00903C06"/>
    <w:rsid w:val="009063E8"/>
    <w:rsid w:val="00916AE8"/>
    <w:rsid w:val="00927233"/>
    <w:rsid w:val="00936A8C"/>
    <w:rsid w:val="0094386B"/>
    <w:rsid w:val="009505B6"/>
    <w:rsid w:val="00950FBB"/>
    <w:rsid w:val="0095174A"/>
    <w:rsid w:val="00953491"/>
    <w:rsid w:val="00953FD4"/>
    <w:rsid w:val="00960F12"/>
    <w:rsid w:val="00961C72"/>
    <w:rsid w:val="009623E3"/>
    <w:rsid w:val="00970D56"/>
    <w:rsid w:val="00977FEA"/>
    <w:rsid w:val="00986C0C"/>
    <w:rsid w:val="009A5143"/>
    <w:rsid w:val="009B31FF"/>
    <w:rsid w:val="009B328C"/>
    <w:rsid w:val="009B355C"/>
    <w:rsid w:val="009B5B2D"/>
    <w:rsid w:val="009C1B6F"/>
    <w:rsid w:val="009C4AFA"/>
    <w:rsid w:val="009C518C"/>
    <w:rsid w:val="009D2174"/>
    <w:rsid w:val="009D501F"/>
    <w:rsid w:val="009D55B6"/>
    <w:rsid w:val="009E147D"/>
    <w:rsid w:val="009E29BE"/>
    <w:rsid w:val="009E55FF"/>
    <w:rsid w:val="009F11DB"/>
    <w:rsid w:val="009F230F"/>
    <w:rsid w:val="009F4F32"/>
    <w:rsid w:val="00A023E1"/>
    <w:rsid w:val="00A034F3"/>
    <w:rsid w:val="00A15CB2"/>
    <w:rsid w:val="00A20C55"/>
    <w:rsid w:val="00A249E8"/>
    <w:rsid w:val="00A31263"/>
    <w:rsid w:val="00A31390"/>
    <w:rsid w:val="00A34B69"/>
    <w:rsid w:val="00A37127"/>
    <w:rsid w:val="00A56AB3"/>
    <w:rsid w:val="00A56EEC"/>
    <w:rsid w:val="00A60DF3"/>
    <w:rsid w:val="00A7181E"/>
    <w:rsid w:val="00A736FF"/>
    <w:rsid w:val="00A74BEE"/>
    <w:rsid w:val="00A75E91"/>
    <w:rsid w:val="00A83D5A"/>
    <w:rsid w:val="00A848EC"/>
    <w:rsid w:val="00A84EA5"/>
    <w:rsid w:val="00A870E3"/>
    <w:rsid w:val="00AA0231"/>
    <w:rsid w:val="00AA3A28"/>
    <w:rsid w:val="00AB145C"/>
    <w:rsid w:val="00AC4F43"/>
    <w:rsid w:val="00AD4704"/>
    <w:rsid w:val="00AE1B4E"/>
    <w:rsid w:val="00AE2609"/>
    <w:rsid w:val="00AE2B3D"/>
    <w:rsid w:val="00AE4B96"/>
    <w:rsid w:val="00AF4508"/>
    <w:rsid w:val="00B03B1C"/>
    <w:rsid w:val="00B1127D"/>
    <w:rsid w:val="00B13E57"/>
    <w:rsid w:val="00B21CB9"/>
    <w:rsid w:val="00B22F14"/>
    <w:rsid w:val="00B32054"/>
    <w:rsid w:val="00B3271E"/>
    <w:rsid w:val="00B41406"/>
    <w:rsid w:val="00B64DCD"/>
    <w:rsid w:val="00B650E3"/>
    <w:rsid w:val="00B6535A"/>
    <w:rsid w:val="00B700E9"/>
    <w:rsid w:val="00B74904"/>
    <w:rsid w:val="00B800A2"/>
    <w:rsid w:val="00B86EC4"/>
    <w:rsid w:val="00B941BE"/>
    <w:rsid w:val="00B94286"/>
    <w:rsid w:val="00BA0A53"/>
    <w:rsid w:val="00BA1B8F"/>
    <w:rsid w:val="00BC11D2"/>
    <w:rsid w:val="00BC1449"/>
    <w:rsid w:val="00BC5B7C"/>
    <w:rsid w:val="00BD7AD3"/>
    <w:rsid w:val="00BF00C0"/>
    <w:rsid w:val="00BF290B"/>
    <w:rsid w:val="00BF2972"/>
    <w:rsid w:val="00BF6C64"/>
    <w:rsid w:val="00C07DF3"/>
    <w:rsid w:val="00C2050D"/>
    <w:rsid w:val="00C20671"/>
    <w:rsid w:val="00C25C0A"/>
    <w:rsid w:val="00C348D8"/>
    <w:rsid w:val="00C43DBD"/>
    <w:rsid w:val="00C5134D"/>
    <w:rsid w:val="00C56CB9"/>
    <w:rsid w:val="00C57CBB"/>
    <w:rsid w:val="00C66ADD"/>
    <w:rsid w:val="00C707CA"/>
    <w:rsid w:val="00C80789"/>
    <w:rsid w:val="00C80D10"/>
    <w:rsid w:val="00C813F4"/>
    <w:rsid w:val="00C83AAD"/>
    <w:rsid w:val="00C8454F"/>
    <w:rsid w:val="00C859A1"/>
    <w:rsid w:val="00C8735F"/>
    <w:rsid w:val="00C90A9B"/>
    <w:rsid w:val="00C934B3"/>
    <w:rsid w:val="00C93E75"/>
    <w:rsid w:val="00C97526"/>
    <w:rsid w:val="00CA251C"/>
    <w:rsid w:val="00CB7802"/>
    <w:rsid w:val="00CE64A5"/>
    <w:rsid w:val="00D02349"/>
    <w:rsid w:val="00D10845"/>
    <w:rsid w:val="00D11A22"/>
    <w:rsid w:val="00D26585"/>
    <w:rsid w:val="00D33FA2"/>
    <w:rsid w:val="00D35703"/>
    <w:rsid w:val="00D42757"/>
    <w:rsid w:val="00D51733"/>
    <w:rsid w:val="00D57043"/>
    <w:rsid w:val="00D60E79"/>
    <w:rsid w:val="00D61C7B"/>
    <w:rsid w:val="00D61EE8"/>
    <w:rsid w:val="00D61F49"/>
    <w:rsid w:val="00D7518D"/>
    <w:rsid w:val="00D81BD1"/>
    <w:rsid w:val="00D85A5A"/>
    <w:rsid w:val="00DA168E"/>
    <w:rsid w:val="00DA508F"/>
    <w:rsid w:val="00DB0949"/>
    <w:rsid w:val="00DB32CB"/>
    <w:rsid w:val="00DC2F94"/>
    <w:rsid w:val="00DD2E57"/>
    <w:rsid w:val="00DF1768"/>
    <w:rsid w:val="00DF79F3"/>
    <w:rsid w:val="00E02647"/>
    <w:rsid w:val="00E027FF"/>
    <w:rsid w:val="00E12F1A"/>
    <w:rsid w:val="00E15A89"/>
    <w:rsid w:val="00E3026D"/>
    <w:rsid w:val="00E37025"/>
    <w:rsid w:val="00E5214B"/>
    <w:rsid w:val="00E61FA7"/>
    <w:rsid w:val="00E64529"/>
    <w:rsid w:val="00E67AC2"/>
    <w:rsid w:val="00E740D0"/>
    <w:rsid w:val="00E76EDB"/>
    <w:rsid w:val="00E86E63"/>
    <w:rsid w:val="00E870A7"/>
    <w:rsid w:val="00E9208A"/>
    <w:rsid w:val="00ED1EC9"/>
    <w:rsid w:val="00EE18DB"/>
    <w:rsid w:val="00EE3DF2"/>
    <w:rsid w:val="00EE3E5E"/>
    <w:rsid w:val="00EE4D76"/>
    <w:rsid w:val="00EE66E5"/>
    <w:rsid w:val="00EE6D0C"/>
    <w:rsid w:val="00EF3896"/>
    <w:rsid w:val="00F02EFF"/>
    <w:rsid w:val="00F221F7"/>
    <w:rsid w:val="00F27139"/>
    <w:rsid w:val="00F457D7"/>
    <w:rsid w:val="00F45D51"/>
    <w:rsid w:val="00F822D9"/>
    <w:rsid w:val="00F83439"/>
    <w:rsid w:val="00F96921"/>
    <w:rsid w:val="00FA3F2C"/>
    <w:rsid w:val="00FA5B39"/>
    <w:rsid w:val="00FA6865"/>
    <w:rsid w:val="00FB0E3E"/>
    <w:rsid w:val="00FB2401"/>
    <w:rsid w:val="00FB6268"/>
    <w:rsid w:val="00FB66A6"/>
    <w:rsid w:val="00FC56E6"/>
    <w:rsid w:val="00FD608E"/>
    <w:rsid w:val="00FD6FDD"/>
    <w:rsid w:val="00FE7482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458A0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6B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6C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736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6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6E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6E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6E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6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6E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6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6E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oSpacing">
    <w:name w:val="No Spacing"/>
    <w:uiPriority w:val="1"/>
    <w:qFormat/>
    <w:rsid w:val="000173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173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01736E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1736E"/>
    <w:pPr>
      <w:shd w:val="clear" w:color="auto" w:fill="FFFFFF"/>
      <w:spacing w:line="0" w:lineRule="atLeast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36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36E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17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36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3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6E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1736E"/>
    <w:rPr>
      <w:b/>
      <w:bCs/>
      <w:smallCaps/>
      <w:color w:val="2E74B5" w:themeColor="accent1" w:themeShade="BF"/>
      <w:spacing w:val="5"/>
    </w:rPr>
  </w:style>
  <w:style w:type="paragraph" w:customStyle="1" w:styleId="box474668">
    <w:name w:val="box_474668"/>
    <w:basedOn w:val="Normal"/>
    <w:rsid w:val="0001736E"/>
    <w:pPr>
      <w:spacing w:before="100" w:beforeAutospacing="1" w:after="100" w:afterAutospacing="1"/>
      <w:jc w:val="both"/>
    </w:pPr>
    <w:rPr>
      <w:lang w:eastAsia="en-GB"/>
    </w:rPr>
  </w:style>
  <w:style w:type="paragraph" w:styleId="Revision">
    <w:name w:val="Revision"/>
    <w:hidden/>
    <w:uiPriority w:val="99"/>
    <w:semiHidden/>
    <w:rsid w:val="0001736E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01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36E"/>
    <w:pPr>
      <w:spacing w:after="160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36E"/>
    <w:rPr>
      <w:rFonts w:eastAsia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1736E"/>
    <w:pPr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1736E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Mention1">
    <w:name w:val="Mention1"/>
    <w:basedOn w:val="DefaultParagraphFont"/>
    <w:uiPriority w:val="99"/>
    <w:unhideWhenUsed/>
    <w:rsid w:val="0001736E"/>
    <w:rPr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173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36E"/>
    <w:rPr>
      <w:color w:val="605E5C"/>
      <w:shd w:val="clear" w:color="auto" w:fill="E1DFDD"/>
    </w:rPr>
  </w:style>
  <w:style w:type="paragraph" w:customStyle="1" w:styleId="box472414">
    <w:name w:val="box_472414"/>
    <w:basedOn w:val="Normal"/>
    <w:rsid w:val="0001736E"/>
    <w:pPr>
      <w:spacing w:before="100" w:beforeAutospacing="1" w:after="100" w:afterAutospacing="1"/>
    </w:pPr>
  </w:style>
  <w:style w:type="character" w:customStyle="1" w:styleId="kurziv">
    <w:name w:val="kurziv"/>
    <w:basedOn w:val="DefaultParagraphFont"/>
    <w:rsid w:val="0001736E"/>
  </w:style>
  <w:style w:type="character" w:customStyle="1" w:styleId="defaultparagraphfont-000009">
    <w:name w:val="defaultparagraphfont-000009"/>
    <w:basedOn w:val="DefaultParagraphFont"/>
    <w:rsid w:val="0001736E"/>
  </w:style>
  <w:style w:type="paragraph" w:customStyle="1" w:styleId="normal-000015">
    <w:name w:val="normal-000015"/>
    <w:basedOn w:val="Normal"/>
    <w:rsid w:val="0001736E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character" w:customStyle="1" w:styleId="cf01">
    <w:name w:val="cf01"/>
    <w:basedOn w:val="DefaultParagraphFont"/>
    <w:rsid w:val="0001736E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nhideWhenUsed/>
    <w:rsid w:val="0001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AZJMDCZ6QSYZ-1849078857-52963</_dlc_DocId>
    <_dlc_DocIdUrl xmlns="a494813a-d0d8-4dad-94cb-0d196f36ba15">
      <Url>https://ekoordinacije.vlada.hr/koordinacija-gospodarstvo/_layouts/15/DocIdRedir.aspx?ID=AZJMDCZ6QSYZ-1849078857-52963</Url>
      <Description>AZJMDCZ6QSYZ-1849078857-52963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52C5-6937-4B41-88C2-067A2593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88F4D-5189-4502-9DD7-82A5511E415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6441D-C442-45FE-A9C1-A8CB213096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BF8DF6-FE96-4D26-BF1E-7D067E71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4171</Words>
  <Characters>24155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28270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Larisa Petrić</cp:lastModifiedBy>
  <cp:revision>4</cp:revision>
  <cp:lastPrinted>2025-12-01T08:40:00Z</cp:lastPrinted>
  <dcterms:created xsi:type="dcterms:W3CDTF">2026-03-02T10:54:00Z</dcterms:created>
  <dcterms:modified xsi:type="dcterms:W3CDTF">2026-03-10T09:47:00Z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ba8cd66b-46df-4c53-ad67-fed6f423bd76</vt:lpwstr>
  </property>
</Properties>
</file>