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2020D" w14:textId="2A585E0F" w:rsidR="0021410C" w:rsidRPr="0021410C" w:rsidRDefault="008F768C" w:rsidP="00604070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776CF6">
        <w:rPr>
          <w:rFonts w:ascii="Times New Roman" w:hAnsi="Times New Roman" w:cs="Times New Roman"/>
          <w:iCs/>
          <w:lang w:val="pl-PL"/>
        </w:rPr>
        <w:t xml:space="preserve">        </w:t>
      </w:r>
    </w:p>
    <w:p w14:paraId="1CA35D8F" w14:textId="77777777" w:rsidR="0021410C" w:rsidRDefault="0021410C" w:rsidP="0021410C">
      <w:pPr>
        <w:jc w:val="center"/>
        <w:rPr>
          <w:rFonts w:ascii="Times New Roman" w:hAnsi="Times New Roman" w:cs="Times New Roman"/>
          <w:i/>
        </w:rPr>
      </w:pPr>
    </w:p>
    <w:p w14:paraId="389FB519" w14:textId="21358105" w:rsidR="0021410C" w:rsidRPr="0021410C" w:rsidRDefault="0021410C" w:rsidP="0021410C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AD3394">
        <w:rPr>
          <w:rFonts w:ascii="Times New Roman" w:hAnsi="Times New Roman" w:cs="Times New Roman"/>
          <w:i/>
        </w:rPr>
        <w:t xml:space="preserve"> </w:t>
      </w:r>
      <w:r w:rsidRPr="0021410C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7FF25010" wp14:editId="0DF67D5C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begin"/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end"/>
      </w:r>
    </w:p>
    <w:p w14:paraId="61F34AA2" w14:textId="77777777" w:rsidR="0021410C" w:rsidRPr="0021410C" w:rsidRDefault="0021410C" w:rsidP="0021410C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VLADA REPUBLIKE HRVATSKE</w:t>
      </w:r>
    </w:p>
    <w:p w14:paraId="4D831ECA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A41017A" w14:textId="707368D6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Zagreb, </w:t>
      </w:r>
      <w:r w:rsidR="008764C5">
        <w:rPr>
          <w:rFonts w:ascii="Times New Roman" w:eastAsia="Calibri" w:hAnsi="Times New Roman" w:cs="Times New Roman"/>
          <w:color w:val="auto"/>
          <w:lang w:eastAsia="en-US"/>
        </w:rPr>
        <w:t>23</w:t>
      </w:r>
      <w:r w:rsidR="006D7460">
        <w:rPr>
          <w:rFonts w:ascii="Times New Roman" w:eastAsia="Calibri" w:hAnsi="Times New Roman" w:cs="Times New Roman"/>
          <w:color w:val="auto"/>
          <w:lang w:eastAsia="en-US"/>
        </w:rPr>
        <w:t>. ožujka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202</w:t>
      </w:r>
      <w:r w:rsidR="008764C5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14:paraId="6AE273D8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0C830D19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1A9A33A7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28BC50A8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1410C" w:rsidRPr="0021410C" w14:paraId="4CF3434C" w14:textId="77777777" w:rsidTr="00600D75">
        <w:tc>
          <w:tcPr>
            <w:tcW w:w="1951" w:type="dxa"/>
          </w:tcPr>
          <w:p w14:paraId="5B6EFF57" w14:textId="77777777" w:rsidR="0021410C" w:rsidRPr="0021410C" w:rsidRDefault="0021410C" w:rsidP="0021410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1410C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21410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4C46A34B" w14:textId="4C792666" w:rsidR="0021410C" w:rsidRPr="0021410C" w:rsidRDefault="0021410C" w:rsidP="0021410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Ministarstvo </w:t>
            </w:r>
            <w:r w:rsidR="008764C5">
              <w:rPr>
                <w:rFonts w:ascii="Times New Roman" w:hAnsi="Times New Roman" w:cs="Times New Roman"/>
                <w:color w:val="auto"/>
              </w:rPr>
              <w:t xml:space="preserve">zaštite okoliša i zelene tranzicije </w:t>
            </w:r>
          </w:p>
        </w:tc>
      </w:tr>
    </w:tbl>
    <w:p w14:paraId="2B69864A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1410C" w:rsidRPr="0021410C" w14:paraId="7AA8C385" w14:textId="77777777" w:rsidTr="00600D75">
        <w:tc>
          <w:tcPr>
            <w:tcW w:w="1951" w:type="dxa"/>
          </w:tcPr>
          <w:p w14:paraId="0A5189E5" w14:textId="77777777" w:rsidR="0021410C" w:rsidRPr="0021410C" w:rsidRDefault="0021410C" w:rsidP="0021410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21410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7523D4D4" w14:textId="39C10FCD" w:rsidR="0021410C" w:rsidRPr="0021410C" w:rsidRDefault="0021410C" w:rsidP="0021410C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Prijedlog zaključka u vezi s </w:t>
            </w:r>
            <w:r w:rsidR="008764C5">
              <w:rPr>
                <w:rFonts w:ascii="Times New Roman" w:hAnsi="Times New Roman" w:cs="Times New Roman"/>
                <w:color w:val="auto"/>
              </w:rPr>
              <w:t xml:space="preserve">mjerom potpore </w:t>
            </w:r>
            <w:r w:rsidR="00C562D2">
              <w:rPr>
                <w:rFonts w:ascii="Times New Roman" w:hAnsi="Times New Roman" w:cs="Times New Roman"/>
                <w:color w:val="auto"/>
              </w:rPr>
              <w:t>proizvodnje toplinske energije iz geotermalnih izvora za potrebe javnog sektora</w:t>
            </w:r>
            <w:r w:rsidR="008764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36FC0">
              <w:rPr>
                <w:rFonts w:ascii="Times New Roman" w:hAnsi="Times New Roman" w:cs="Times New Roman"/>
                <w:color w:val="auto"/>
              </w:rPr>
              <w:t xml:space="preserve">u jedinicama lokalne </w:t>
            </w:r>
            <w:r w:rsidR="00B33C71">
              <w:rPr>
                <w:rFonts w:ascii="Times New Roman" w:hAnsi="Times New Roman" w:cs="Times New Roman"/>
                <w:color w:val="auto"/>
              </w:rPr>
              <w:t>i područne (regionalne) samouprave</w:t>
            </w:r>
          </w:p>
        </w:tc>
      </w:tr>
    </w:tbl>
    <w:p w14:paraId="3761C4EC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p w14:paraId="3CCC5219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576640D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9E8E778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704A887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8C23D40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EB4A3E8" w14:textId="77777777" w:rsidR="0021410C" w:rsidRPr="0021410C" w:rsidRDefault="0021410C" w:rsidP="0021410C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300C516" w14:textId="77777777" w:rsidR="0021410C" w:rsidRPr="0021410C" w:rsidRDefault="0021410C" w:rsidP="0021410C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0F95B39D" w14:textId="77777777" w:rsidR="0021410C" w:rsidRPr="0021410C" w:rsidRDefault="0021410C" w:rsidP="0021410C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7D18409C" w14:textId="77777777" w:rsidR="0021410C" w:rsidRPr="0021410C" w:rsidRDefault="0021410C" w:rsidP="0021410C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267391D1" w14:textId="77777777" w:rsidR="0021410C" w:rsidRPr="0021410C" w:rsidRDefault="0021410C" w:rsidP="0021410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  <w:r w:rsidRPr="0021410C"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3AADBD31" w14:textId="77777777" w:rsidR="0021410C" w:rsidRPr="0021410C" w:rsidRDefault="0021410C" w:rsidP="0021410C">
      <w:pPr>
        <w:ind w:left="720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63FD878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4A603B00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68C44CCF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PRIJEDLOG</w:t>
      </w:r>
    </w:p>
    <w:p w14:paraId="4DC38AEC" w14:textId="77777777" w:rsidR="0021410C" w:rsidRPr="0021410C" w:rsidRDefault="0021410C" w:rsidP="0021410C">
      <w:pPr>
        <w:rPr>
          <w:rFonts w:ascii="Times New Roman" w:eastAsia="Calibri" w:hAnsi="Times New Roman" w:cs="Times New Roman"/>
          <w:color w:val="auto"/>
          <w:lang w:eastAsia="en-US"/>
        </w:rPr>
      </w:pPr>
    </w:p>
    <w:p w14:paraId="61B564E3" w14:textId="1C8FCB47" w:rsidR="0021410C" w:rsidRPr="00F56BAA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56BAA">
        <w:rPr>
          <w:rFonts w:ascii="Times New Roman" w:eastAsia="Calibri" w:hAnsi="Times New Roman" w:cs="Times New Roman"/>
          <w:color w:val="auto"/>
          <w:lang w:eastAsia="en-US"/>
        </w:rPr>
        <w:t>Na temelju članka 31. stavka 3. Zakona o Vladi Republike Hrvatske („Narodne novine“, br. 150/11, 119/14, 93/16, 116/18</w:t>
      </w:r>
      <w:r w:rsidR="00756242" w:rsidRPr="00F56BAA"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 80/22</w:t>
      </w:r>
      <w:r w:rsidR="005F712C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 i 78/24</w:t>
      </w:r>
      <w:r w:rsidRPr="00F56BAA">
        <w:rPr>
          <w:rFonts w:ascii="Times New Roman" w:eastAsia="Calibri" w:hAnsi="Times New Roman" w:cs="Times New Roman"/>
          <w:color w:val="auto"/>
          <w:lang w:eastAsia="en-US"/>
        </w:rPr>
        <w:t>)</w:t>
      </w:r>
      <w:r w:rsidR="000445CE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A56C77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0445CE">
        <w:rPr>
          <w:rFonts w:ascii="Times New Roman" w:eastAsia="Calibri" w:hAnsi="Times New Roman" w:cs="Times New Roman"/>
          <w:color w:val="auto"/>
          <w:lang w:eastAsia="en-US"/>
        </w:rPr>
        <w:t xml:space="preserve">a u vezi s člankom 112. stavkom 4. </w:t>
      </w:r>
      <w:r w:rsidR="00A56C77" w:rsidRPr="00F56BAA">
        <w:rPr>
          <w:rFonts w:ascii="Times New Roman" w:eastAsia="Calibri" w:hAnsi="Times New Roman" w:cs="Times New Roman"/>
          <w:color w:val="auto"/>
          <w:lang w:eastAsia="en-US"/>
        </w:rPr>
        <w:t>Zakona o klimatskim promjenama i zaštiti ozonskog sloja („Narodne novine“, br. 67/25)</w:t>
      </w:r>
      <w:r w:rsidRPr="00F56BAA">
        <w:rPr>
          <w:rFonts w:ascii="Times New Roman" w:eastAsia="Calibri" w:hAnsi="Times New Roman" w:cs="Times New Roman"/>
          <w:color w:val="auto"/>
          <w:lang w:eastAsia="en-US"/>
        </w:rPr>
        <w:t>, Vlada Republike Hrvatske je na sjednici održanoj ___________ 202</w:t>
      </w:r>
      <w:r w:rsidR="006342E8" w:rsidRPr="00F56BAA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F56BAA">
        <w:rPr>
          <w:rFonts w:ascii="Times New Roman" w:eastAsia="Calibri" w:hAnsi="Times New Roman" w:cs="Times New Roman"/>
          <w:color w:val="auto"/>
          <w:lang w:eastAsia="en-US"/>
        </w:rPr>
        <w:t>. donijela</w:t>
      </w:r>
    </w:p>
    <w:p w14:paraId="06EC3A8D" w14:textId="77777777" w:rsidR="0021410C" w:rsidRPr="00F56BAA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F8EDDC9" w14:textId="77777777" w:rsidR="0021410C" w:rsidRPr="00F56BAA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6DF2218" w14:textId="77777777" w:rsidR="0021410C" w:rsidRPr="00F56BAA" w:rsidRDefault="0021410C" w:rsidP="0021410C">
      <w:pPr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bookmarkStart w:id="1" w:name="_Hlk97630566"/>
      <w:r w:rsidRPr="00F56BAA">
        <w:rPr>
          <w:rFonts w:ascii="Times New Roman" w:eastAsia="Calibri" w:hAnsi="Times New Roman" w:cs="Times New Roman"/>
          <w:b/>
          <w:bCs/>
          <w:color w:val="auto"/>
          <w:lang w:eastAsia="en-US"/>
        </w:rPr>
        <w:t>ZAKLJUČAK</w:t>
      </w:r>
    </w:p>
    <w:p w14:paraId="092B9D6E" w14:textId="77777777" w:rsidR="0021410C" w:rsidRPr="00F56BAA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9434CF7" w14:textId="77777777" w:rsidR="0021410C" w:rsidRPr="00F56BAA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5EC8EEC" w14:textId="500CB669" w:rsidR="0021410C" w:rsidRPr="00F56BAA" w:rsidRDefault="00E450E4" w:rsidP="0021410C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2" w:name="_Hlk97630119"/>
      <w:r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Zadužuju </w:t>
      </w:r>
      <w:r w:rsidR="0021410C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se Ministarstvo </w:t>
      </w:r>
      <w:r w:rsidR="008764C5" w:rsidRPr="00F56BAA">
        <w:rPr>
          <w:rFonts w:ascii="Times New Roman" w:eastAsia="Calibri" w:hAnsi="Times New Roman" w:cs="Times New Roman"/>
          <w:color w:val="auto"/>
          <w:lang w:eastAsia="en-US"/>
        </w:rPr>
        <w:t>zaštite okoliša i zelene tranzicije</w:t>
      </w:r>
      <w:r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 i Ministarstvo </w:t>
      </w:r>
      <w:r w:rsidR="00590AF5" w:rsidRPr="00F56BAA">
        <w:rPr>
          <w:rFonts w:ascii="Times New Roman" w:eastAsia="Calibri" w:hAnsi="Times New Roman" w:cs="Times New Roman"/>
          <w:color w:val="auto"/>
          <w:lang w:eastAsia="en-US"/>
        </w:rPr>
        <w:t>gospodarstva</w:t>
      </w:r>
      <w:bookmarkStart w:id="3" w:name="_Hlk129176823"/>
      <w:r w:rsidR="00027521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21410C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za provođenje </w:t>
      </w:r>
      <w:bookmarkEnd w:id="3"/>
      <w:r w:rsidR="0021410C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mjere potpore za </w:t>
      </w:r>
      <w:r w:rsidR="00C562D2" w:rsidRPr="00F56BAA">
        <w:rPr>
          <w:rFonts w:ascii="Times New Roman" w:eastAsia="Calibri" w:hAnsi="Times New Roman" w:cs="Times New Roman"/>
          <w:color w:val="auto"/>
          <w:lang w:eastAsia="en-US"/>
        </w:rPr>
        <w:t>proizvodnju toplinske energije iz geotermalnih izvora</w:t>
      </w:r>
      <w:r w:rsidR="008F0397" w:rsidRPr="00F56BAA">
        <w:rPr>
          <w:rFonts w:ascii="Times New Roman" w:hAnsi="Times New Roman" w:cs="Times New Roman"/>
          <w:color w:val="auto"/>
        </w:rPr>
        <w:t xml:space="preserve"> za potrebe javnog sektora</w:t>
      </w:r>
      <w:r w:rsidR="00F11FEB" w:rsidRPr="00F11FEB">
        <w:rPr>
          <w:rFonts w:ascii="Times New Roman" w:hAnsi="Times New Roman" w:cs="Times New Roman"/>
          <w:color w:val="auto"/>
        </w:rPr>
        <w:t xml:space="preserve"> </w:t>
      </w:r>
      <w:r w:rsidR="00F11FEB">
        <w:rPr>
          <w:rFonts w:ascii="Times New Roman" w:hAnsi="Times New Roman" w:cs="Times New Roman"/>
          <w:color w:val="auto"/>
        </w:rPr>
        <w:t>u jedinicama lokalne i područne (regionalne) samouprave</w:t>
      </w:r>
      <w:r w:rsidR="00C562D2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14:paraId="706FA8A1" w14:textId="4AC654B7" w:rsidR="00826123" w:rsidRPr="00F56BAA" w:rsidRDefault="00001080" w:rsidP="00826123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Mjera potpore </w:t>
      </w:r>
      <w:r w:rsidR="00826123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iz točke 1. ovog Zaključka provodi se u skladu s pravilima za državne potpore uz prethodnu potvrdu Europske investicijske banke i </w:t>
      </w:r>
      <w:r>
        <w:rPr>
          <w:rFonts w:ascii="Times New Roman" w:eastAsia="Calibri" w:hAnsi="Times New Roman" w:cs="Times New Roman"/>
          <w:color w:val="auto"/>
          <w:lang w:eastAsia="en-US"/>
        </w:rPr>
        <w:t>o</w:t>
      </w:r>
      <w:r w:rsidR="00826123" w:rsidRPr="00F56BAA">
        <w:rPr>
          <w:rFonts w:ascii="Times New Roman" w:eastAsia="Calibri" w:hAnsi="Times New Roman" w:cs="Times New Roman"/>
          <w:color w:val="auto"/>
          <w:lang w:eastAsia="en-US"/>
        </w:rPr>
        <w:t>dluku o isplati Europske komisije.</w:t>
      </w:r>
    </w:p>
    <w:bookmarkEnd w:id="1"/>
    <w:bookmarkEnd w:id="2"/>
    <w:p w14:paraId="3338E08F" w14:textId="77777777" w:rsidR="006C383D" w:rsidRPr="00F56BAA" w:rsidRDefault="0021410C" w:rsidP="0021410C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115DA">
        <w:rPr>
          <w:rFonts w:ascii="Times New Roman" w:eastAsia="Calibri" w:hAnsi="Times New Roman" w:cs="Times New Roman"/>
          <w:color w:val="auto"/>
          <w:lang w:eastAsia="en-US"/>
        </w:rPr>
        <w:t>Mjera</w:t>
      </w:r>
      <w:r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 potpore iz točke 1. ovoga Zaključka provodi</w:t>
      </w:r>
      <w:r w:rsidR="008764C5" w:rsidRPr="00F56BAA">
        <w:rPr>
          <w:rFonts w:ascii="Times New Roman" w:eastAsia="Calibri" w:hAnsi="Times New Roman" w:cs="Times New Roman"/>
          <w:color w:val="auto"/>
          <w:lang w:eastAsia="en-US"/>
        </w:rPr>
        <w:t>t</w:t>
      </w:r>
      <w:r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764C5" w:rsidRPr="00F56BAA">
        <w:rPr>
          <w:rFonts w:ascii="Times New Roman" w:eastAsia="Calibri" w:hAnsi="Times New Roman" w:cs="Times New Roman"/>
          <w:color w:val="auto"/>
          <w:lang w:eastAsia="en-US"/>
        </w:rPr>
        <w:t>će se</w:t>
      </w:r>
      <w:r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562D2" w:rsidRPr="00F56BAA">
        <w:rPr>
          <w:rFonts w:ascii="Times New Roman" w:eastAsia="Calibri" w:hAnsi="Times New Roman" w:cs="Times New Roman"/>
          <w:color w:val="auto"/>
          <w:lang w:eastAsia="en-US"/>
        </w:rPr>
        <w:t>iz sredstava Modernizacijskog fonda</w:t>
      </w:r>
      <w:r w:rsidR="006C383D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764C5" w:rsidRPr="00F56BAA">
        <w:rPr>
          <w:rFonts w:ascii="Times New Roman" w:eastAsia="Calibri" w:hAnsi="Times New Roman" w:cs="Times New Roman"/>
          <w:color w:val="auto"/>
          <w:lang w:eastAsia="en-US"/>
        </w:rPr>
        <w:t>u iznosu do</w:t>
      </w:r>
      <w:r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562D2" w:rsidRPr="00F56BAA">
        <w:rPr>
          <w:rFonts w:ascii="Times New Roman" w:eastAsia="Calibri" w:hAnsi="Times New Roman" w:cs="Times New Roman"/>
          <w:color w:val="auto"/>
          <w:lang w:eastAsia="en-US"/>
        </w:rPr>
        <w:t>26</w:t>
      </w:r>
      <w:r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.000.000 eura. </w:t>
      </w:r>
    </w:p>
    <w:p w14:paraId="02491ECA" w14:textId="77777777" w:rsidR="00B70FFE" w:rsidRPr="00B97612" w:rsidRDefault="00B70FFE" w:rsidP="00B70FFE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Sredstva za financiranje mjere potpore iz točke 1.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ovoga Zaključka osigurat će se preraspodjelom unutar Financijskog plana Fonda za zaštitu okoliša i energetsku učinkovitost za 2026. godinu i prilikom planiranja financijskog plana Fonda za zaštitu okoliša i energetsku učinkovitost za naredna razdoblja</w:t>
      </w:r>
      <w:r w:rsidRPr="00B97612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3492AD59" w14:textId="77777777" w:rsidR="0021410C" w:rsidRPr="00F56BAA" w:rsidRDefault="0021410C" w:rsidP="0021410C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56BAA">
        <w:rPr>
          <w:rFonts w:ascii="Times New Roman" w:eastAsia="Calibri" w:hAnsi="Times New Roman" w:cs="Times New Roman"/>
          <w:color w:val="auto"/>
          <w:lang w:eastAsia="en-US"/>
        </w:rPr>
        <w:t>Ovaj Zaključak objavit će se u „Narodnim novinama“.</w:t>
      </w:r>
    </w:p>
    <w:p w14:paraId="7A10F563" w14:textId="77777777" w:rsidR="0021410C" w:rsidRPr="00F56BAA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7A2D0CC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C310970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043D3BF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Klasa:</w:t>
      </w:r>
    </w:p>
    <w:p w14:paraId="051F19DC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21410C">
        <w:rPr>
          <w:rFonts w:ascii="Times New Roman" w:eastAsia="Calibri" w:hAnsi="Times New Roman" w:cs="Times New Roman"/>
          <w:color w:val="auto"/>
          <w:lang w:eastAsia="en-US"/>
        </w:rPr>
        <w:t>Urbroj</w:t>
      </w:r>
      <w:proofErr w:type="spellEnd"/>
      <w:r w:rsidRPr="0021410C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14:paraId="152FCDBD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Zagreb, ____________</w:t>
      </w:r>
    </w:p>
    <w:p w14:paraId="65F483B4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06D8B7F" w14:textId="77777777" w:rsidR="0021410C" w:rsidRPr="0021410C" w:rsidRDefault="0021410C" w:rsidP="0021410C">
      <w:pPr>
        <w:ind w:left="5664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58D71B0" w14:textId="77777777" w:rsidR="0021410C" w:rsidRPr="0021410C" w:rsidRDefault="0021410C" w:rsidP="0021410C">
      <w:pPr>
        <w:ind w:left="5664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  Predsjednik</w:t>
      </w:r>
    </w:p>
    <w:p w14:paraId="0E4F2BCE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E504087" w14:textId="5474DFAB" w:rsidR="006C383D" w:rsidRDefault="0021410C" w:rsidP="0021410C">
      <w:pPr>
        <w:ind w:left="4956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   </w:t>
      </w:r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mr. </w:t>
      </w:r>
      <w:proofErr w:type="spellStart"/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>sc</w:t>
      </w:r>
      <w:proofErr w:type="spellEnd"/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>. Andrej Plenković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>, v.r.</w:t>
      </w:r>
    </w:p>
    <w:p w14:paraId="31BD386A" w14:textId="6EEED510" w:rsidR="0021410C" w:rsidRPr="0021410C" w:rsidRDefault="006C383D" w:rsidP="0021410C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br w:type="page"/>
      </w:r>
      <w:r w:rsidR="0021410C" w:rsidRPr="0021410C"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>OBRAZLOŽENJE</w:t>
      </w:r>
    </w:p>
    <w:p w14:paraId="432A085C" w14:textId="77777777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D37C2AC" w14:textId="77777777" w:rsidR="007319F8" w:rsidRDefault="007319F8" w:rsidP="007319F8">
      <w:pPr>
        <w:spacing w:after="2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E0C99">
        <w:rPr>
          <w:rFonts w:ascii="Times New Roman" w:eastAsia="Calibri" w:hAnsi="Times New Roman" w:cs="Times New Roman"/>
          <w:color w:val="auto"/>
          <w:lang w:eastAsia="en-US"/>
        </w:rPr>
        <w:t>Otežana opskrba i rast cijena energenata imaju izravan i snažan utjecaj na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E0C99">
        <w:rPr>
          <w:rFonts w:ascii="Times New Roman" w:eastAsia="Calibri" w:hAnsi="Times New Roman" w:cs="Times New Roman"/>
          <w:color w:val="auto"/>
          <w:lang w:eastAsia="en-US"/>
        </w:rPr>
        <w:t>sektor grijanja i hlađenja</w:t>
      </w:r>
      <w:r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6F342290" w14:textId="77777777" w:rsidR="007319F8" w:rsidRDefault="007319F8" w:rsidP="007319F8">
      <w:pPr>
        <w:spacing w:after="2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Program ulaganja u korištenje geotermalne energije za potrebe lokalnih i regionalnih jedinica lokalne samouprave razvijen je s ciljem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dekarbonizacije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i povećanja kapaciteta obnovljivih izvora energije u sektoru grijanja i hlađenja, posebno za potrebe grijanja i hlađenja zgrada u javnom vlasništvu, kao i postizanja ciljeva njihove samodostatnosti.</w:t>
      </w:r>
    </w:p>
    <w:p w14:paraId="3E1EE599" w14:textId="77777777" w:rsidR="007319F8" w:rsidRDefault="007319F8" w:rsidP="007319F8">
      <w:pPr>
        <w:spacing w:after="2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Ovaj program ulaganja je nastavak aktivnosti istraživanja geotermalnog potencijala koje su jedinice lokalne i regionalne samouprave provodile temeljem izdanih dozvola za istraživanje i korištenje geotermalnog potencijala. Nakon provedenih istražnih radnji, potreban je nastavak aktivnosti koji će omogućiti gradnju potrebne infrastrukture (cjevovodi i toplinske stanice za distribuciju toplinske energije do krajnjeg korisnika). Toplinska energija koristit će se za potrebe javnih zgrada i ustanova kao što su, vrtići, osnovne i srednje škole, administrativne zgrade, sportske dvorane, društveni centri, dobrovoljna vatrogasna društva, centri za starije osobe i osobe s poteškoćama, industrijske i poslovne zone, javni zone za sport i rekreaciju.</w:t>
      </w:r>
    </w:p>
    <w:p w14:paraId="425AFF04" w14:textId="0C038AA8" w:rsidR="007319F8" w:rsidRPr="00F56BAA" w:rsidRDefault="007319F8" w:rsidP="007319F8">
      <w:pPr>
        <w:spacing w:after="2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Programom je predviđeno osiguravanje implementacije zatvorenog sustava za korištenje obnovljive energije iz geotermalnih izvora, bušenjem dodatnog bunar u koji će se vraćati ohlađena geotermalna voda nakon korištenja u sustavima grijanja, čime se osigurava da je sva energija proizvedena iz obnovljivih izvora i u skladu s </w:t>
      </w:r>
      <w:r w:rsidR="00530069">
        <w:rPr>
          <w:rFonts w:ascii="Times New Roman" w:eastAsia="Calibri" w:hAnsi="Times New Roman" w:cs="Times New Roman"/>
          <w:color w:val="auto"/>
          <w:lang w:eastAsia="en-US"/>
        </w:rPr>
        <w:t xml:space="preserve">načelom </w:t>
      </w:r>
      <w:r w:rsidR="00E6449F">
        <w:rPr>
          <w:rFonts w:ascii="Times New Roman" w:eastAsia="Calibri" w:hAnsi="Times New Roman" w:cs="Times New Roman"/>
          <w:color w:val="auto"/>
          <w:lang w:eastAsia="en-US"/>
        </w:rPr>
        <w:t>„</w:t>
      </w:r>
      <w:r w:rsidR="00530069">
        <w:rPr>
          <w:rFonts w:ascii="Times New Roman" w:eastAsia="Calibri" w:hAnsi="Times New Roman" w:cs="Times New Roman"/>
          <w:color w:val="auto"/>
          <w:lang w:eastAsia="en-US"/>
        </w:rPr>
        <w:t xml:space="preserve">ne </w:t>
      </w:r>
      <w:r w:rsidR="00922A2F">
        <w:rPr>
          <w:rFonts w:ascii="Times New Roman" w:eastAsia="Calibri" w:hAnsi="Times New Roman" w:cs="Times New Roman"/>
          <w:color w:val="auto"/>
          <w:lang w:eastAsia="en-US"/>
        </w:rPr>
        <w:t xml:space="preserve">čini značajnu </w:t>
      </w:r>
      <w:r w:rsidR="00530069">
        <w:rPr>
          <w:rFonts w:ascii="Times New Roman" w:eastAsia="Calibri" w:hAnsi="Times New Roman" w:cs="Times New Roman"/>
          <w:color w:val="auto"/>
          <w:lang w:eastAsia="en-US"/>
        </w:rPr>
        <w:t>štetu</w:t>
      </w:r>
      <w:r w:rsidR="00AB6DCE">
        <w:rPr>
          <w:rFonts w:ascii="Times New Roman" w:eastAsia="Calibri" w:hAnsi="Times New Roman" w:cs="Times New Roman"/>
          <w:color w:val="auto"/>
          <w:lang w:eastAsia="en-US"/>
        </w:rPr>
        <w:t xml:space="preserve"> (DNSH</w:t>
      </w:r>
      <w:r w:rsidR="00BE2D2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BE2D25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- Do No </w:t>
      </w:r>
      <w:proofErr w:type="spellStart"/>
      <w:r w:rsidR="00BE2D25" w:rsidRPr="00F56BAA">
        <w:rPr>
          <w:rFonts w:ascii="Times New Roman" w:eastAsia="Calibri" w:hAnsi="Times New Roman" w:cs="Times New Roman"/>
          <w:color w:val="auto"/>
          <w:lang w:eastAsia="en-US"/>
        </w:rPr>
        <w:t>Significant</w:t>
      </w:r>
      <w:proofErr w:type="spellEnd"/>
      <w:r w:rsidR="00BE2D25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 w:rsidR="00BE2D25" w:rsidRPr="00F56BAA">
        <w:rPr>
          <w:rFonts w:ascii="Times New Roman" w:eastAsia="Calibri" w:hAnsi="Times New Roman" w:cs="Times New Roman"/>
          <w:color w:val="auto"/>
          <w:lang w:eastAsia="en-US"/>
        </w:rPr>
        <w:t>Harm</w:t>
      </w:r>
      <w:proofErr w:type="spellEnd"/>
      <w:r w:rsidR="00AB6DCE" w:rsidRPr="00F56BAA">
        <w:rPr>
          <w:rFonts w:ascii="Times New Roman" w:eastAsia="Calibri" w:hAnsi="Times New Roman" w:cs="Times New Roman"/>
          <w:color w:val="auto"/>
          <w:lang w:eastAsia="en-US"/>
        </w:rPr>
        <w:t>)</w:t>
      </w:r>
      <w:r w:rsidR="00530069" w:rsidRPr="00F56BAA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14:paraId="37F60D87" w14:textId="77777777" w:rsidR="007319F8" w:rsidRDefault="007319F8" w:rsidP="007319F8">
      <w:pPr>
        <w:spacing w:after="2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Cilj programa je smanjenje upotrebe fosilnih goriva i povećanje proizvodnje toplinske energije iz geotermalnih (obnovljivih) izvora energije, jačanje energetske neovisnosti, doprinos smanjenju emisija stakleničkih plinova, doprinos nacionalnim ciljevima povećanja udjela obnovljivih izvora energije te doprinos održivom razvoju i konkurentnosti gospodarstva Republike Hrvatske.</w:t>
      </w:r>
    </w:p>
    <w:p w14:paraId="7571BC0C" w14:textId="77777777" w:rsidR="007319F8" w:rsidRDefault="007319F8" w:rsidP="007319F8">
      <w:pPr>
        <w:jc w:val="both"/>
        <w:rPr>
          <w:rFonts w:ascii="Times New Roman" w:eastAsia="Aptos" w:hAnsi="Times New Roman" w:cs="Times New Roman"/>
          <w:color w:val="auto"/>
        </w:rPr>
      </w:pPr>
      <w:r w:rsidRPr="000E64F6">
        <w:rPr>
          <w:rFonts w:ascii="Times New Roman" w:eastAsia="Aptos" w:hAnsi="Times New Roman" w:cs="Times New Roman"/>
          <w:color w:val="auto"/>
        </w:rPr>
        <w:t xml:space="preserve">Potpora je u skladu i s nacionalnim strategijama i politikama Republike Hrvatske koje se odnose na područje energetskog i </w:t>
      </w:r>
      <w:proofErr w:type="spellStart"/>
      <w:r w:rsidRPr="000E64F6">
        <w:rPr>
          <w:rFonts w:ascii="Times New Roman" w:eastAsia="Aptos" w:hAnsi="Times New Roman" w:cs="Times New Roman"/>
          <w:color w:val="auto"/>
        </w:rPr>
        <w:t>niskougljičnog</w:t>
      </w:r>
      <w:proofErr w:type="spellEnd"/>
      <w:r w:rsidRPr="000E64F6">
        <w:rPr>
          <w:rFonts w:ascii="Times New Roman" w:eastAsia="Aptos" w:hAnsi="Times New Roman" w:cs="Times New Roman"/>
          <w:color w:val="auto"/>
        </w:rPr>
        <w:t xml:space="preserve"> razvoja, a njome se namjerava povećati energetska nezavisnost i povećati produktivnost smanjivanjem proizvodnih troškova.</w:t>
      </w:r>
    </w:p>
    <w:p w14:paraId="2748078E" w14:textId="77777777" w:rsidR="007319F8" w:rsidRDefault="007319F8" w:rsidP="007319F8">
      <w:pPr>
        <w:jc w:val="both"/>
        <w:rPr>
          <w:rFonts w:ascii="Times New Roman" w:eastAsia="Aptos" w:hAnsi="Times New Roman" w:cs="Times New Roman"/>
          <w:color w:val="auto"/>
        </w:rPr>
      </w:pPr>
    </w:p>
    <w:p w14:paraId="11569B58" w14:textId="77777777" w:rsidR="007319F8" w:rsidRPr="00C74FD3" w:rsidRDefault="007319F8" w:rsidP="007319F8">
      <w:pPr>
        <w:jc w:val="both"/>
        <w:rPr>
          <w:rFonts w:ascii="Times New Roman" w:eastAsia="Aptos" w:hAnsi="Times New Roman" w:cs="Times New Roman"/>
          <w:color w:val="auto"/>
        </w:rPr>
      </w:pPr>
      <w:r w:rsidRPr="00C74FD3">
        <w:rPr>
          <w:rFonts w:ascii="Times New Roman" w:eastAsia="Aptos" w:hAnsi="Times New Roman" w:cs="Times New Roman"/>
          <w:color w:val="auto"/>
        </w:rPr>
        <w:t>Program potpore provodi se u skladu s pravilima za državne potpore uz prethodnu potvrdu Europske investicijske banke i Odluku o isplati Europske komisije.</w:t>
      </w:r>
    </w:p>
    <w:p w14:paraId="429240C2" w14:textId="77777777" w:rsidR="007319F8" w:rsidRDefault="007319F8" w:rsidP="007319F8">
      <w:pPr>
        <w:jc w:val="both"/>
        <w:rPr>
          <w:rFonts w:ascii="Times New Roman" w:eastAsia="Aptos" w:hAnsi="Times New Roman" w:cs="Times New Roman"/>
          <w:color w:val="auto"/>
        </w:rPr>
      </w:pPr>
    </w:p>
    <w:p w14:paraId="7FCB1862" w14:textId="77777777" w:rsidR="007319F8" w:rsidRDefault="007319F8" w:rsidP="007319F8">
      <w:pPr>
        <w:jc w:val="both"/>
        <w:rPr>
          <w:rFonts w:ascii="Times New Roman" w:eastAsia="Aptos" w:hAnsi="Times New Roman" w:cs="Times New Roman"/>
          <w:color w:val="auto"/>
        </w:rPr>
      </w:pPr>
      <w:r w:rsidRPr="00C74FD3">
        <w:rPr>
          <w:rFonts w:ascii="Times New Roman" w:eastAsia="Aptos" w:hAnsi="Times New Roman" w:cs="Times New Roman"/>
          <w:color w:val="auto"/>
        </w:rPr>
        <w:t>Program potpore provodit će se sredst</w:t>
      </w:r>
      <w:r>
        <w:rPr>
          <w:rFonts w:ascii="Times New Roman" w:eastAsia="Aptos" w:hAnsi="Times New Roman" w:cs="Times New Roman"/>
          <w:color w:val="auto"/>
        </w:rPr>
        <w:t>vima</w:t>
      </w:r>
      <w:r w:rsidRPr="00C74FD3">
        <w:rPr>
          <w:rFonts w:ascii="Times New Roman" w:eastAsia="Aptos" w:hAnsi="Times New Roman" w:cs="Times New Roman"/>
          <w:color w:val="auto"/>
        </w:rPr>
        <w:t xml:space="preserve"> Modernizacijskog fonda u iznosu do 26.000.000 eura. </w:t>
      </w:r>
    </w:p>
    <w:p w14:paraId="2D735380" w14:textId="77777777" w:rsidR="007319F8" w:rsidRDefault="007319F8" w:rsidP="007319F8">
      <w:pPr>
        <w:jc w:val="both"/>
        <w:rPr>
          <w:rFonts w:ascii="Times New Roman" w:eastAsia="Aptos" w:hAnsi="Times New Roman" w:cs="Times New Roman"/>
          <w:color w:val="auto"/>
        </w:rPr>
      </w:pPr>
    </w:p>
    <w:p w14:paraId="555C60DE" w14:textId="77777777" w:rsidR="00B70FFE" w:rsidRPr="00B97612" w:rsidRDefault="00B70FFE" w:rsidP="00B70FFE">
      <w:pPr>
        <w:spacing w:after="12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Sredstva za financiranje mjere potpore iz točke 1.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ovoga Zaključka osigurat će se preraspodjelom unutar Financijskog plana Fonda za zaštitu okoliša i energetsku učinkovitost za 2026. godinu i prilikom planiranja financijskog plana Fonda za zaštitu okoliša i energetsku učinkovitost za naredna razdoblja</w:t>
      </w:r>
      <w:r w:rsidRPr="00B97612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753C0B3E" w14:textId="77777777" w:rsidR="007319F8" w:rsidRDefault="007319F8" w:rsidP="007319F8">
      <w:pPr>
        <w:jc w:val="both"/>
        <w:rPr>
          <w:rFonts w:ascii="Times New Roman" w:eastAsia="Aptos" w:hAnsi="Times New Roman" w:cs="Times New Roman"/>
          <w:color w:val="auto"/>
        </w:rPr>
      </w:pPr>
    </w:p>
    <w:p w14:paraId="361C055E" w14:textId="77777777" w:rsidR="007319F8" w:rsidRPr="0021410C" w:rsidRDefault="007319F8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sectPr w:rsidR="007319F8" w:rsidRPr="0021410C" w:rsidSect="00F63743">
      <w:footerReference w:type="default" r:id="rId12"/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DF0AD" w14:textId="77777777" w:rsidR="009814CC" w:rsidRDefault="009814CC">
      <w:r>
        <w:separator/>
      </w:r>
    </w:p>
  </w:endnote>
  <w:endnote w:type="continuationSeparator" w:id="0">
    <w:p w14:paraId="751E645C" w14:textId="77777777" w:rsidR="009814CC" w:rsidRDefault="0098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FC87" w14:textId="77777777" w:rsidR="006F0BFD" w:rsidRDefault="006F0BFD">
    <w:pPr>
      <w:pStyle w:val="Footer"/>
      <w:jc w:val="right"/>
    </w:pPr>
  </w:p>
  <w:p w14:paraId="196B932C" w14:textId="77777777" w:rsidR="006F0BFD" w:rsidRDefault="006F0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ED2DE" w14:textId="77777777" w:rsidR="009814CC" w:rsidRDefault="009814CC">
      <w:r>
        <w:separator/>
      </w:r>
    </w:p>
  </w:footnote>
  <w:footnote w:type="continuationSeparator" w:id="0">
    <w:p w14:paraId="7A6D14E0" w14:textId="77777777" w:rsidR="009814CC" w:rsidRDefault="0098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6D8"/>
    <w:multiLevelType w:val="hybridMultilevel"/>
    <w:tmpl w:val="19E85ECE"/>
    <w:lvl w:ilvl="0" w:tplc="DDDE1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1CAA"/>
    <w:multiLevelType w:val="hybridMultilevel"/>
    <w:tmpl w:val="CBD2B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1E72"/>
    <w:multiLevelType w:val="hybridMultilevel"/>
    <w:tmpl w:val="BF12C4F8"/>
    <w:lvl w:ilvl="0" w:tplc="25BE58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43"/>
    <w:rsid w:val="00001080"/>
    <w:rsid w:val="00027521"/>
    <w:rsid w:val="000445CE"/>
    <w:rsid w:val="000C1E4D"/>
    <w:rsid w:val="000E4D39"/>
    <w:rsid w:val="0021410C"/>
    <w:rsid w:val="00295D28"/>
    <w:rsid w:val="00324F8F"/>
    <w:rsid w:val="00326749"/>
    <w:rsid w:val="0038526E"/>
    <w:rsid w:val="00436FC0"/>
    <w:rsid w:val="00512E2C"/>
    <w:rsid w:val="00530069"/>
    <w:rsid w:val="00556E6E"/>
    <w:rsid w:val="00573D0F"/>
    <w:rsid w:val="00590AF5"/>
    <w:rsid w:val="005F068C"/>
    <w:rsid w:val="005F70E3"/>
    <w:rsid w:val="005F712C"/>
    <w:rsid w:val="00604070"/>
    <w:rsid w:val="00606B39"/>
    <w:rsid w:val="006342E8"/>
    <w:rsid w:val="00643677"/>
    <w:rsid w:val="00643C09"/>
    <w:rsid w:val="00687B9E"/>
    <w:rsid w:val="006B3ED3"/>
    <w:rsid w:val="006C383D"/>
    <w:rsid w:val="006D604B"/>
    <w:rsid w:val="006D7460"/>
    <w:rsid w:val="006F0BFD"/>
    <w:rsid w:val="007319F8"/>
    <w:rsid w:val="007417B9"/>
    <w:rsid w:val="00746941"/>
    <w:rsid w:val="00756242"/>
    <w:rsid w:val="007A2E43"/>
    <w:rsid w:val="00826123"/>
    <w:rsid w:val="008764C5"/>
    <w:rsid w:val="008A1965"/>
    <w:rsid w:val="008F0397"/>
    <w:rsid w:val="008F4028"/>
    <w:rsid w:val="008F768C"/>
    <w:rsid w:val="00922A2F"/>
    <w:rsid w:val="009814CC"/>
    <w:rsid w:val="009A5544"/>
    <w:rsid w:val="009B7537"/>
    <w:rsid w:val="009E35A9"/>
    <w:rsid w:val="00A05FD0"/>
    <w:rsid w:val="00A450E6"/>
    <w:rsid w:val="00A56C77"/>
    <w:rsid w:val="00A6308B"/>
    <w:rsid w:val="00AA2385"/>
    <w:rsid w:val="00AB6DCE"/>
    <w:rsid w:val="00AE7980"/>
    <w:rsid w:val="00AF5847"/>
    <w:rsid w:val="00B33C71"/>
    <w:rsid w:val="00B53D43"/>
    <w:rsid w:val="00B70FFE"/>
    <w:rsid w:val="00B813DB"/>
    <w:rsid w:val="00B870E8"/>
    <w:rsid w:val="00BE2D25"/>
    <w:rsid w:val="00C04709"/>
    <w:rsid w:val="00C262FD"/>
    <w:rsid w:val="00C37DC1"/>
    <w:rsid w:val="00C562D2"/>
    <w:rsid w:val="00C75492"/>
    <w:rsid w:val="00C86CCB"/>
    <w:rsid w:val="00CE1467"/>
    <w:rsid w:val="00E30B9E"/>
    <w:rsid w:val="00E3512B"/>
    <w:rsid w:val="00E450E4"/>
    <w:rsid w:val="00E453F1"/>
    <w:rsid w:val="00E6449F"/>
    <w:rsid w:val="00E7008E"/>
    <w:rsid w:val="00E758A5"/>
    <w:rsid w:val="00E8712F"/>
    <w:rsid w:val="00F115DA"/>
    <w:rsid w:val="00F11FEB"/>
    <w:rsid w:val="00F56BAA"/>
    <w:rsid w:val="00F779A4"/>
    <w:rsid w:val="00FA41B2"/>
    <w:rsid w:val="00FB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DD872"/>
  <w15:docId w15:val="{7567C15B-CD47-4AA2-8BA7-DF109C5D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1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410C"/>
    <w:pPr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410C"/>
    <w:rPr>
      <w:rFonts w:ascii="Calibri" w:eastAsia="Calibri" w:hAnsi="Calibri"/>
      <w:sz w:val="22"/>
      <w:szCs w:val="22"/>
      <w:lang w:eastAsia="en-US"/>
    </w:rPr>
  </w:style>
  <w:style w:type="table" w:customStyle="1" w:styleId="Reetkatablice1">
    <w:name w:val="Rešetka tablice1"/>
    <w:basedOn w:val="TableNormal"/>
    <w:next w:val="TableGrid"/>
    <w:rsid w:val="0021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50E4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AZJMDCZ6QSYZ-1849078857-25426</_dlc_DocId>
    <_dlc_DocIdUrl xmlns="a494813a-d0d8-4dad-94cb-0d196f36ba15">
      <Url>https://ekoordinacije.vlada.hr/koordinacija-gospodarstvo/_layouts/15/DocIdRedir.aspx?ID=AZJMDCZ6QSYZ-1849078857-25426</Url>
      <Description>AZJMDCZ6QSYZ-1849078857-25426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E07B8-B3DF-49EB-B5EB-598A768BA4D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D229A0F0-ECE4-429D-97BC-96B068DFD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86618-8223-4F6C-B838-61EE6D37A1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3E2CF8-0E8E-4619-9D30-070FB2A3E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Larisa Petrić</cp:lastModifiedBy>
  <cp:revision>2</cp:revision>
  <cp:lastPrinted>2026-03-22T08:41:00Z</cp:lastPrinted>
  <dcterms:created xsi:type="dcterms:W3CDTF">2026-03-23T11:17:00Z</dcterms:created>
  <dcterms:modified xsi:type="dcterms:W3CDTF">2026-03-23T11:17:00Z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c3a95481-a0af-4e6d-88b0-34d78885ea9a</vt:lpwstr>
  </property>
</Properties>
</file>