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2CA9" w14:textId="77777777" w:rsidR="00664884" w:rsidRDefault="00664884" w:rsidP="00604070">
      <w:pPr>
        <w:jc w:val="both"/>
        <w:rPr>
          <w:rFonts w:ascii="Times New Roman" w:hAnsi="Times New Roman" w:cs="Times New Roman"/>
          <w:iCs/>
          <w:color w:val="auto"/>
          <w:lang w:val="pl-PL"/>
        </w:rPr>
      </w:pPr>
      <w:bookmarkStart w:id="0" w:name="_GoBack"/>
      <w:bookmarkEnd w:id="0"/>
    </w:p>
    <w:p w14:paraId="4BA2020D" w14:textId="745C8D95" w:rsidR="0021410C" w:rsidRPr="00961AC1" w:rsidRDefault="0021410C" w:rsidP="00604070">
      <w:pPr>
        <w:jc w:val="both"/>
        <w:rPr>
          <w:rFonts w:ascii="Times New Roman" w:hAnsi="Times New Roman" w:cs="Times New Roman"/>
          <w:i/>
          <w:color w:val="auto"/>
        </w:rPr>
      </w:pPr>
    </w:p>
    <w:p w14:paraId="1CA35D8F" w14:textId="77777777" w:rsidR="0021410C" w:rsidRPr="00961AC1" w:rsidRDefault="0021410C" w:rsidP="0021410C">
      <w:pPr>
        <w:jc w:val="center"/>
        <w:rPr>
          <w:rFonts w:ascii="Times New Roman" w:hAnsi="Times New Roman" w:cs="Times New Roman"/>
          <w:i/>
          <w:color w:val="auto"/>
        </w:rPr>
      </w:pPr>
    </w:p>
    <w:p w14:paraId="389FB519" w14:textId="21358105" w:rsidR="0021410C" w:rsidRPr="00961AC1" w:rsidRDefault="0021410C" w:rsidP="0021410C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961AC1">
        <w:rPr>
          <w:rFonts w:ascii="Times New Roman" w:hAnsi="Times New Roman" w:cs="Times New Roman"/>
          <w:i/>
          <w:color w:val="auto"/>
        </w:rPr>
        <w:t xml:space="preserve"> </w:t>
      </w:r>
      <w:r w:rsidRPr="00961AC1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FF25010" wp14:editId="0DF67D5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A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961A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961AC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61F34AA2" w14:textId="77777777" w:rsidR="0021410C" w:rsidRPr="00961AC1" w:rsidRDefault="0021410C" w:rsidP="0021410C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D831ECA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1017A" w14:textId="707368D6" w:rsidR="0021410C" w:rsidRPr="00961AC1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8764C5" w:rsidRPr="00961AC1">
        <w:rPr>
          <w:rFonts w:ascii="Times New Roman" w:eastAsia="Calibri" w:hAnsi="Times New Roman" w:cs="Times New Roman"/>
          <w:color w:val="auto"/>
          <w:lang w:eastAsia="en-US"/>
        </w:rPr>
        <w:t>23</w:t>
      </w:r>
      <w:r w:rsidR="006D7460" w:rsidRPr="00961AC1">
        <w:rPr>
          <w:rFonts w:ascii="Times New Roman" w:eastAsia="Calibri" w:hAnsi="Times New Roman" w:cs="Times New Roman"/>
          <w:color w:val="auto"/>
          <w:lang w:eastAsia="en-US"/>
        </w:rPr>
        <w:t>. ožujka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8764C5" w:rsidRPr="00961AC1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6AE273D8" w14:textId="77777777" w:rsidR="0021410C" w:rsidRPr="00961AC1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C830D19" w14:textId="77777777" w:rsidR="0021410C" w:rsidRPr="00961AC1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A9A33A7" w14:textId="77777777" w:rsidR="0021410C" w:rsidRPr="00961AC1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8BC50A8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61AC1" w:rsidRPr="00961AC1" w14:paraId="4CF3434C" w14:textId="77777777" w:rsidTr="00600D75">
        <w:tc>
          <w:tcPr>
            <w:tcW w:w="1951" w:type="dxa"/>
          </w:tcPr>
          <w:p w14:paraId="5B6EFF57" w14:textId="77777777" w:rsidR="0021410C" w:rsidRPr="00961AC1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1AC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61AC1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961AC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46A34B" w14:textId="4C792666" w:rsidR="0021410C" w:rsidRPr="00961AC1" w:rsidRDefault="0021410C" w:rsidP="0021410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961AC1">
              <w:rPr>
                <w:rFonts w:ascii="Times New Roman" w:hAnsi="Times New Roman" w:cs="Times New Roman"/>
                <w:color w:val="auto"/>
              </w:rPr>
              <w:t xml:space="preserve">Ministarstvo </w:t>
            </w:r>
            <w:r w:rsidR="008764C5" w:rsidRPr="00961AC1">
              <w:rPr>
                <w:rFonts w:ascii="Times New Roman" w:hAnsi="Times New Roman" w:cs="Times New Roman"/>
                <w:color w:val="auto"/>
              </w:rPr>
              <w:t xml:space="preserve">zaštite okoliša i zelene tranzicije </w:t>
            </w:r>
          </w:p>
        </w:tc>
      </w:tr>
    </w:tbl>
    <w:p w14:paraId="2B69864A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61AC1" w:rsidRPr="00961AC1" w14:paraId="7AA8C385" w14:textId="77777777" w:rsidTr="00600D75">
        <w:tc>
          <w:tcPr>
            <w:tcW w:w="1951" w:type="dxa"/>
          </w:tcPr>
          <w:p w14:paraId="0A5189E5" w14:textId="77777777" w:rsidR="0021410C" w:rsidRPr="00961AC1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961AC1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961AC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7523D4D4" w14:textId="1062C178" w:rsidR="0021410C" w:rsidRPr="00961AC1" w:rsidRDefault="0021410C" w:rsidP="0021410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961AC1">
              <w:rPr>
                <w:rFonts w:ascii="Times New Roman" w:hAnsi="Times New Roman" w:cs="Times New Roman"/>
                <w:color w:val="auto"/>
              </w:rPr>
              <w:t xml:space="preserve">Prijedlog zaključka u vezi s </w:t>
            </w:r>
            <w:r w:rsidR="000352A1" w:rsidRPr="00961AC1">
              <w:rPr>
                <w:rFonts w:ascii="Times New Roman" w:hAnsi="Times New Roman" w:cs="Times New Roman"/>
                <w:color w:val="auto"/>
              </w:rPr>
              <w:t xml:space="preserve">programom potpore </w:t>
            </w:r>
            <w:r w:rsidR="00B26BF3" w:rsidRPr="00961AC1">
              <w:rPr>
                <w:rFonts w:ascii="Times New Roman" w:hAnsi="Times New Roman" w:cs="Times New Roman"/>
                <w:color w:val="auto"/>
              </w:rPr>
              <w:t xml:space="preserve">za </w:t>
            </w:r>
            <w:r w:rsidR="000352A1" w:rsidRPr="00961AC1">
              <w:rPr>
                <w:rFonts w:ascii="Times New Roman" w:hAnsi="Times New Roman" w:cs="Times New Roman"/>
                <w:color w:val="auto"/>
              </w:rPr>
              <w:t>proizvodnj</w:t>
            </w:r>
            <w:r w:rsidR="00B26BF3" w:rsidRPr="00961AC1">
              <w:rPr>
                <w:rFonts w:ascii="Times New Roman" w:hAnsi="Times New Roman" w:cs="Times New Roman"/>
                <w:color w:val="auto"/>
              </w:rPr>
              <w:t xml:space="preserve">u </w:t>
            </w:r>
            <w:r w:rsidR="000352A1" w:rsidRPr="00961AC1">
              <w:rPr>
                <w:rFonts w:ascii="Times New Roman" w:hAnsi="Times New Roman" w:cs="Times New Roman"/>
                <w:color w:val="auto"/>
              </w:rPr>
              <w:t>energije iz obnovljivih izvora u sektoru primarne poljoprivrede</w:t>
            </w:r>
            <w:r w:rsidR="008764C5" w:rsidRPr="00961AC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F2C32" w:rsidRPr="00961AC1">
              <w:rPr>
                <w:rFonts w:ascii="Times New Roman" w:hAnsi="Times New Roman" w:cs="Times New Roman"/>
                <w:color w:val="auto"/>
              </w:rPr>
              <w:t>i prerade poljoprivrednih proizvoda</w:t>
            </w:r>
            <w:r w:rsidRPr="00961AC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3761C4EC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3CCC5219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576640D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9E8E778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704A887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8C23D40" w14:textId="77777777" w:rsidR="0021410C" w:rsidRPr="00961AC1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B4A3E8" w14:textId="77777777" w:rsidR="0021410C" w:rsidRPr="00961AC1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F95B39D" w14:textId="77777777" w:rsidR="0021410C" w:rsidRPr="00961AC1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D18409C" w14:textId="77777777" w:rsidR="0021410C" w:rsidRPr="00961AC1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67391D1" w14:textId="77777777" w:rsidR="0021410C" w:rsidRPr="00961AC1" w:rsidRDefault="0021410C" w:rsidP="0021410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auto"/>
          <w:spacing w:val="20"/>
          <w:sz w:val="20"/>
          <w:szCs w:val="22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AADBD31" w14:textId="77777777" w:rsidR="0021410C" w:rsidRPr="00961AC1" w:rsidRDefault="0021410C" w:rsidP="0021410C">
      <w:pPr>
        <w:ind w:left="72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63FD878" w14:textId="77777777" w:rsidR="0021410C" w:rsidRPr="00961AC1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4A603B00" w14:textId="77777777" w:rsidR="0021410C" w:rsidRPr="00961AC1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68C44CCF" w14:textId="77777777" w:rsidR="0021410C" w:rsidRPr="00961AC1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PRIJEDLOG</w:t>
      </w:r>
    </w:p>
    <w:p w14:paraId="4DC38AEC" w14:textId="77777777" w:rsidR="0021410C" w:rsidRPr="00961AC1" w:rsidRDefault="0021410C" w:rsidP="0021410C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61B564E3" w14:textId="27EFC6AE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Na temelju članka 31. stavka 3. Zakona o Vladi Republike Hrvatske („Narodne novine“, br. 150/11, 119/14, 93/16, 116/18</w:t>
      </w:r>
      <w:r w:rsidR="00C43824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80/22</w:t>
      </w:r>
      <w:r w:rsidR="00C43824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i 78/24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)</w:t>
      </w:r>
      <w:r w:rsidR="004D3337">
        <w:rPr>
          <w:rFonts w:ascii="Times New Roman" w:eastAsia="Calibri" w:hAnsi="Times New Roman" w:cs="Times New Roman"/>
          <w:color w:val="auto"/>
          <w:lang w:eastAsia="en-US"/>
        </w:rPr>
        <w:t xml:space="preserve">, a u vezi s </w:t>
      </w:r>
      <w:r w:rsidR="00A07C05" w:rsidRPr="00961AC1">
        <w:rPr>
          <w:rFonts w:ascii="Times New Roman" w:eastAsia="Calibri" w:hAnsi="Times New Roman" w:cs="Times New Roman"/>
          <w:color w:val="auto"/>
          <w:lang w:eastAsia="en-US"/>
        </w:rPr>
        <w:t>člank</w:t>
      </w:r>
      <w:r w:rsidR="004D3337">
        <w:rPr>
          <w:rFonts w:ascii="Times New Roman" w:eastAsia="Calibri" w:hAnsi="Times New Roman" w:cs="Times New Roman"/>
          <w:color w:val="auto"/>
          <w:lang w:eastAsia="en-US"/>
        </w:rPr>
        <w:t>om</w:t>
      </w:r>
      <w:r w:rsidR="00A07C05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1</w:t>
      </w:r>
      <w:r w:rsidR="00142D55" w:rsidRPr="00961AC1">
        <w:rPr>
          <w:rFonts w:ascii="Times New Roman" w:eastAsia="Calibri" w:hAnsi="Times New Roman" w:cs="Times New Roman"/>
          <w:color w:val="auto"/>
          <w:lang w:eastAsia="en-US"/>
        </w:rPr>
        <w:t>12</w:t>
      </w:r>
      <w:r w:rsidR="00A07C05" w:rsidRPr="00961AC1">
        <w:rPr>
          <w:rFonts w:ascii="Times New Roman" w:eastAsia="Calibri" w:hAnsi="Times New Roman" w:cs="Times New Roman"/>
          <w:color w:val="auto"/>
          <w:lang w:eastAsia="en-US"/>
        </w:rPr>
        <w:t>. stavk</w:t>
      </w:r>
      <w:r w:rsidR="004D3337">
        <w:rPr>
          <w:rFonts w:ascii="Times New Roman" w:eastAsia="Calibri" w:hAnsi="Times New Roman" w:cs="Times New Roman"/>
          <w:color w:val="auto"/>
          <w:lang w:eastAsia="en-US"/>
        </w:rPr>
        <w:t>om</w:t>
      </w:r>
      <w:r w:rsidR="00A07C05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4. Zakona o klimatskim promjenama i zaštiti ozonskog sloja (Narodne novine, broj 67/25)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, Vlada Republike Hrvatske je na sjednici održanoj ___________ </w:t>
      </w:r>
      <w:r w:rsidR="00C43824" w:rsidRPr="00961AC1">
        <w:rPr>
          <w:rFonts w:ascii="Times New Roman" w:eastAsia="Calibri" w:hAnsi="Times New Roman" w:cs="Times New Roman"/>
          <w:color w:val="auto"/>
          <w:lang w:eastAsia="en-US"/>
        </w:rPr>
        <w:t>2026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. donijela</w:t>
      </w:r>
    </w:p>
    <w:p w14:paraId="06EC3A8D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F8EDDC9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DF2218" w14:textId="77777777" w:rsidR="0021410C" w:rsidRPr="00961AC1" w:rsidRDefault="0021410C" w:rsidP="0021410C">
      <w:pPr>
        <w:jc w:val="center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bookmarkStart w:id="1" w:name="_Hlk97630566"/>
      <w:r w:rsidRPr="00961AC1">
        <w:rPr>
          <w:rFonts w:ascii="Times New Roman" w:eastAsia="Calibri" w:hAnsi="Times New Roman" w:cs="Times New Roman"/>
          <w:b/>
          <w:bCs/>
          <w:color w:val="auto"/>
          <w:lang w:eastAsia="en-US"/>
        </w:rPr>
        <w:t>ZAKLJUČAK</w:t>
      </w:r>
    </w:p>
    <w:p w14:paraId="092B9D6E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9434CF7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5EC8EEC" w14:textId="29D8329B" w:rsidR="0021410C" w:rsidRPr="00961AC1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2" w:name="_Hlk97630119"/>
      <w:r w:rsidRPr="00961AC1">
        <w:rPr>
          <w:rFonts w:ascii="Times New Roman" w:eastAsia="Calibri" w:hAnsi="Times New Roman" w:cs="Times New Roman"/>
          <w:color w:val="auto"/>
          <w:lang w:eastAsia="en-US"/>
        </w:rPr>
        <w:t>Zadužuj</w:t>
      </w:r>
      <w:r w:rsidR="00B26BF3" w:rsidRPr="00961AC1"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se Ministarstvo </w:t>
      </w:r>
      <w:r w:rsidR="008764C5" w:rsidRPr="00961AC1">
        <w:rPr>
          <w:rFonts w:ascii="Times New Roman" w:eastAsia="Calibri" w:hAnsi="Times New Roman" w:cs="Times New Roman"/>
          <w:color w:val="auto"/>
          <w:lang w:eastAsia="en-US"/>
        </w:rPr>
        <w:t>zaštite okoliša i zelene tranzicije</w:t>
      </w:r>
      <w:r w:rsidR="00B26BF3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i Ministarstvo poljoprivrede, šumarstva i ribarstva</w:t>
      </w:r>
      <w:bookmarkStart w:id="3" w:name="_Hlk129176823"/>
      <w:r w:rsidR="00C43824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za provođenje </w:t>
      </w:r>
      <w:bookmarkEnd w:id="3"/>
      <w:r w:rsidR="00B26BF3" w:rsidRPr="00961AC1">
        <w:rPr>
          <w:rFonts w:ascii="Times New Roman" w:eastAsia="Calibri" w:hAnsi="Times New Roman" w:cs="Times New Roman"/>
          <w:color w:val="auto"/>
          <w:lang w:eastAsia="en-US"/>
        </w:rPr>
        <w:t>programa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potpore za </w:t>
      </w:r>
      <w:r w:rsidR="00B26BF3" w:rsidRPr="00961AC1">
        <w:rPr>
          <w:rFonts w:ascii="Times New Roman" w:eastAsia="Calibri" w:hAnsi="Times New Roman" w:cs="Times New Roman"/>
          <w:color w:val="auto"/>
          <w:lang w:eastAsia="en-US"/>
        </w:rPr>
        <w:t>proizvodnju energije iz obnovljivih izvora u sektoru primarne poljoprivredne proizvodnje</w:t>
      </w:r>
      <w:r w:rsidR="00FF2C32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i prerade poljoprivrednih proizvoda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.</w:t>
      </w:r>
    </w:p>
    <w:bookmarkEnd w:id="1"/>
    <w:bookmarkEnd w:id="2"/>
    <w:p w14:paraId="34155AB8" w14:textId="30BD6DC8" w:rsidR="00B26BF3" w:rsidRPr="004D3337" w:rsidRDefault="00B26BF3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D3337">
        <w:rPr>
          <w:rFonts w:ascii="Times New Roman" w:eastAsia="Calibri" w:hAnsi="Times New Roman" w:cs="Times New Roman"/>
          <w:color w:val="auto"/>
          <w:lang w:eastAsia="en-US"/>
        </w:rPr>
        <w:t>Program potpore iz točke 1. ovog Zaključka provodi se u skladu s pravilima za državne potpore</w:t>
      </w:r>
      <w:r w:rsidR="001469D2" w:rsidRPr="004D3337">
        <w:rPr>
          <w:rFonts w:ascii="Times New Roman" w:eastAsia="Calibri" w:hAnsi="Times New Roman" w:cs="Times New Roman"/>
          <w:color w:val="auto"/>
          <w:lang w:eastAsia="en-US"/>
        </w:rPr>
        <w:t xml:space="preserve"> uz prethodnu potvrdu Europske investicijske banke i Odluku o isplati Europske komisije.</w:t>
      </w:r>
    </w:p>
    <w:p w14:paraId="7B69DA2F" w14:textId="77777777" w:rsidR="00C43824" w:rsidRPr="00961AC1" w:rsidRDefault="00B26BF3" w:rsidP="00A07C0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4D3337">
        <w:rPr>
          <w:rFonts w:ascii="Times New Roman" w:eastAsia="Calibri" w:hAnsi="Times New Roman" w:cs="Times New Roman"/>
          <w:color w:val="auto"/>
          <w:lang w:eastAsia="en-US"/>
        </w:rPr>
        <w:t>Program</w:t>
      </w:r>
      <w:r w:rsidR="0021410C" w:rsidRPr="004D3337">
        <w:rPr>
          <w:rFonts w:ascii="Times New Roman" w:eastAsia="Calibri" w:hAnsi="Times New Roman" w:cs="Times New Roman"/>
          <w:color w:val="auto"/>
          <w:lang w:eastAsia="en-US"/>
        </w:rPr>
        <w:t xml:space="preserve"> potpore</w:t>
      </w:r>
      <w:r w:rsidR="0021410C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iz točke 1. ovoga Zaključka provodi</w:t>
      </w:r>
      <w:r w:rsidR="008764C5" w:rsidRPr="00961AC1">
        <w:rPr>
          <w:rFonts w:ascii="Times New Roman" w:eastAsia="Calibri" w:hAnsi="Times New Roman" w:cs="Times New Roman"/>
          <w:color w:val="auto"/>
          <w:lang w:eastAsia="en-US"/>
        </w:rPr>
        <w:t>t</w:t>
      </w:r>
      <w:r w:rsidR="0021410C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8764C5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će 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se iz sredstava Modernizacijskog fonda</w:t>
      </w:r>
      <w:r w:rsidR="008764C5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u iznosu do</w:t>
      </w:r>
      <w:r w:rsidR="0021410C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3</w:t>
      </w:r>
      <w:r w:rsidR="0021410C"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0.000.000 eura. </w:t>
      </w:r>
    </w:p>
    <w:p w14:paraId="2ED397DC" w14:textId="77777777" w:rsidR="00E4373D" w:rsidRDefault="00E4373D" w:rsidP="00E4373D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Sredstva za financiranje mjere potpore iz točke 1. ovoga Zaključka osigurat će se preraspodjelom unutar Financijskog plana Fonda za zaštitu okoliša i energetsku učinkovitost za 2026. godinu i prilikom planiranja financijskog plana Fonda za zaštitu okoliša i energetsku učinkovitost za naredna razdoblja.</w:t>
      </w:r>
    </w:p>
    <w:p w14:paraId="3492AD59" w14:textId="77777777" w:rsidR="0021410C" w:rsidRPr="00961AC1" w:rsidRDefault="0021410C" w:rsidP="0021410C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Ovaj Zaključak objavit će se u „Narodnim novinama“.</w:t>
      </w:r>
    </w:p>
    <w:p w14:paraId="7A10F563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7A2D0CC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C310970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043D3BF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Klasa:</w:t>
      </w:r>
    </w:p>
    <w:p w14:paraId="051F19DC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961AC1">
        <w:rPr>
          <w:rFonts w:ascii="Times New Roman" w:eastAsia="Calibri" w:hAnsi="Times New Roman" w:cs="Times New Roman"/>
          <w:color w:val="auto"/>
          <w:lang w:eastAsia="en-US"/>
        </w:rPr>
        <w:t>Urbroj</w:t>
      </w:r>
      <w:proofErr w:type="spellEnd"/>
      <w:r w:rsidRPr="00961AC1">
        <w:rPr>
          <w:rFonts w:ascii="Times New Roman" w:eastAsia="Calibri" w:hAnsi="Times New Roman" w:cs="Times New Roman"/>
          <w:color w:val="auto"/>
          <w:lang w:eastAsia="en-US"/>
        </w:rPr>
        <w:t>:</w:t>
      </w:r>
    </w:p>
    <w:p w14:paraId="152FCDBD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Zagreb, ____________</w:t>
      </w:r>
    </w:p>
    <w:p w14:paraId="65F483B4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06D8B7F" w14:textId="77777777" w:rsidR="0021410C" w:rsidRPr="00961AC1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58D71B0" w14:textId="77777777" w:rsidR="0021410C" w:rsidRPr="00961AC1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  Predsjednik</w:t>
      </w:r>
    </w:p>
    <w:p w14:paraId="0E4F2BCE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504087" w14:textId="77777777" w:rsidR="0021410C" w:rsidRPr="00961AC1" w:rsidRDefault="0021410C" w:rsidP="0021410C">
      <w:pPr>
        <w:ind w:left="4956"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961AC1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mr. </w:t>
      </w:r>
      <w:proofErr w:type="spellStart"/>
      <w:r w:rsidRPr="00961AC1">
        <w:rPr>
          <w:rFonts w:ascii="Times New Roman" w:eastAsia="Calibri" w:hAnsi="Times New Roman" w:cs="Times New Roman"/>
          <w:b/>
          <w:bCs/>
          <w:color w:val="auto"/>
          <w:lang w:eastAsia="en-US"/>
        </w:rPr>
        <w:t>sc</w:t>
      </w:r>
      <w:proofErr w:type="spellEnd"/>
      <w:r w:rsidRPr="00961AC1">
        <w:rPr>
          <w:rFonts w:ascii="Times New Roman" w:eastAsia="Calibri" w:hAnsi="Times New Roman" w:cs="Times New Roman"/>
          <w:b/>
          <w:bCs/>
          <w:color w:val="auto"/>
          <w:lang w:eastAsia="en-US"/>
        </w:rPr>
        <w:t>. Andrej Plenković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>, v.r.</w:t>
      </w:r>
    </w:p>
    <w:p w14:paraId="37C8217B" w14:textId="32078DE9" w:rsidR="00C43824" w:rsidRPr="00961AC1" w:rsidRDefault="00C43824">
      <w:pPr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br w:type="page"/>
      </w:r>
    </w:p>
    <w:p w14:paraId="31BD386A" w14:textId="77777777" w:rsidR="0021410C" w:rsidRPr="00961AC1" w:rsidRDefault="0021410C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b/>
          <w:color w:val="auto"/>
          <w:lang w:eastAsia="en-US"/>
        </w:rPr>
        <w:lastRenderedPageBreak/>
        <w:t>OBRAZLOŽENJE</w:t>
      </w:r>
    </w:p>
    <w:p w14:paraId="54CB95E2" w14:textId="77777777" w:rsidR="00C43824" w:rsidRPr="00961AC1" w:rsidRDefault="00C43824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432A085C" w14:textId="77777777" w:rsidR="0021410C" w:rsidRPr="00961AC1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DDE0D12" w14:textId="77777777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Otežana opskrba i rast cijena energenata imaju izravan i snažan utjecaj na poljoprivredni sektor koji je izrazito ovisan o energiji u svim fazama proizvodnje te se suočava s povećanim troškovima rada mehanizacije, električne energije za skladištenje i navodnjavanja i porastom cijena mineralnih gnojiva čija je proizvodnja energetski intenzivna. </w:t>
      </w:r>
    </w:p>
    <w:p w14:paraId="6D24EA38" w14:textId="77777777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S obzirom na karakteristike potražnje i izloženost otvorenom tržištu, posljedično dolazi do smanjenja profitabilnosti, rizika od smanjenja proizvodnje i ugrožavanja sigurnosti opskrbe hranom.</w:t>
      </w:r>
    </w:p>
    <w:p w14:paraId="0E514C92" w14:textId="4D3E21FA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Cilj ovog programa ulaganja je povećati energetsku neovisnost subjekata u primarnoj poljoprivrednoj proizvodnji i preradi hrane i pića, povećati produktivnost poljoprivrednih gospodarstava i prerađivača smanjenjem troškova proizvodnje, što posljedično utječe na povećanje prihoda stanovnika ruralnih područja, gdje je poljoprivreda jedna od najčešćih gospodarskih djelatnosti. </w:t>
      </w:r>
    </w:p>
    <w:p w14:paraId="1BFDCDF7" w14:textId="77777777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U tom kontekstu, uspostava programa potpore ima za cilj očuvanje ekonomske održivosti poljoprivrednih gospodarstava i jačanje otpornosti na vanjske šokove putem sufinanciranja učinkovitije opreme, prelazak na obnovljive izvore energije i povećanje dohotka gospodarstava.</w:t>
      </w:r>
    </w:p>
    <w:p w14:paraId="72D34E40" w14:textId="77777777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Posebna pažnja u programu usmjerit će se na mala i srednja poljoprivredna gospodarstva, kao i na sektore s visokom energetskom intenzivnošću.</w:t>
      </w:r>
    </w:p>
    <w:p w14:paraId="2F6DDF11" w14:textId="77777777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Potpora je u skladu i s nacionalnim strategijama i politikama Republike Hrvatske koje se odnose na područje energetskog i </w:t>
      </w:r>
      <w:proofErr w:type="spellStart"/>
      <w:r w:rsidRPr="00961AC1">
        <w:rPr>
          <w:rFonts w:ascii="Times New Roman" w:eastAsia="Calibri" w:hAnsi="Times New Roman" w:cs="Times New Roman"/>
          <w:color w:val="auto"/>
          <w:lang w:eastAsia="en-US"/>
        </w:rPr>
        <w:t>niskougljičnog</w:t>
      </w:r>
      <w:proofErr w:type="spellEnd"/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razvoja, a njome se namjerava povećati energetska nezavisnost i povećati produktivnost smanjivanjem proizvodnih troškova.</w:t>
      </w:r>
    </w:p>
    <w:p w14:paraId="251365B8" w14:textId="2FBEAB19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Korištenje obnovljivih izvora energije ojačat će sigurnost opskrbe energijom, postupno smanjiti gubitke energije te pridonijeti smanjenju emisija stakleničkih plinova. Investicije u energiju iz obnovljivih izvora smanjit će ovisnost o fosilnim gorivima i povećati domaću proizvodnju električne energije, uz mogućnost pohrane viška energije u baterijskim sustavima. </w:t>
      </w:r>
    </w:p>
    <w:p w14:paraId="743215D0" w14:textId="1EA468CA" w:rsidR="00E83445" w:rsidRPr="00961AC1" w:rsidRDefault="00E83445" w:rsidP="00E83445">
      <w:pPr>
        <w:spacing w:after="24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Program će se financirati sredstvima Modernizacijskog fonda</w:t>
      </w:r>
      <w:r w:rsidR="00C43824" w:rsidRPr="00961AC1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1403512E" w14:textId="5277DC22" w:rsidR="00E83445" w:rsidRPr="00961AC1" w:rsidRDefault="00E83445" w:rsidP="00E8344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>Program potpore provodi se u skladu s pravilima za državne potpore uz prethodnu potvrdu Europske investicijske banke i Odluku o isplati Europske komisije.</w:t>
      </w:r>
    </w:p>
    <w:p w14:paraId="0405E4B6" w14:textId="77777777" w:rsidR="00E83445" w:rsidRPr="00961AC1" w:rsidRDefault="00E83445" w:rsidP="00E8344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6BEFECA" w14:textId="77777777" w:rsidR="00E83445" w:rsidRPr="00961AC1" w:rsidRDefault="00E83445" w:rsidP="00E8344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61AC1">
        <w:rPr>
          <w:rFonts w:ascii="Times New Roman" w:eastAsia="Calibri" w:hAnsi="Times New Roman" w:cs="Times New Roman"/>
          <w:color w:val="auto"/>
          <w:lang w:eastAsia="en-US"/>
        </w:rPr>
        <w:t xml:space="preserve">Program potpore provodit će se iz sredstava Modernizacijskog fonda u iznosu do 30.000.000 eura. </w:t>
      </w:r>
    </w:p>
    <w:p w14:paraId="1A759A53" w14:textId="77777777" w:rsidR="00E4373D" w:rsidRDefault="00E4373D" w:rsidP="00E4373D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6C70CE2" w14:textId="2AF880E5" w:rsidR="00E4373D" w:rsidRDefault="00E4373D" w:rsidP="00E4373D">
      <w:pPr>
        <w:spacing w:after="12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Sredstva za financiranje mjere potpore iz točke 1. ovoga Zaključka osigurat će se preraspodjelom unutar Financijskog plana Fonda za zaštitu okoliša i energetsku učinkovitost za 2026. godinu i prilikom planiranja financijskog plana Fonda za zaštitu okoliša i energetsku učinkovitost za naredna razdoblja.</w:t>
      </w:r>
    </w:p>
    <w:p w14:paraId="7C3916C0" w14:textId="77777777" w:rsidR="00E83445" w:rsidRPr="00961AC1" w:rsidRDefault="00E83445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921635E" w14:textId="77777777" w:rsidR="00E83445" w:rsidRPr="00961AC1" w:rsidRDefault="00E83445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sectPr w:rsidR="00E83445" w:rsidRPr="00961AC1" w:rsidSect="00F63743">
      <w:footerReference w:type="default" r:id="rId12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D25B" w14:textId="77777777" w:rsidR="004D11EF" w:rsidRDefault="004D11EF">
      <w:r>
        <w:separator/>
      </w:r>
    </w:p>
  </w:endnote>
  <w:endnote w:type="continuationSeparator" w:id="0">
    <w:p w14:paraId="2879AA4C" w14:textId="77777777" w:rsidR="004D11EF" w:rsidRDefault="004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FC87" w14:textId="77777777" w:rsidR="00253D22" w:rsidRDefault="00253D22">
    <w:pPr>
      <w:pStyle w:val="Footer"/>
      <w:jc w:val="right"/>
    </w:pPr>
  </w:p>
  <w:p w14:paraId="196B932C" w14:textId="77777777" w:rsidR="00253D22" w:rsidRDefault="00253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23231" w14:textId="77777777" w:rsidR="004D11EF" w:rsidRDefault="004D11EF">
      <w:r>
        <w:separator/>
      </w:r>
    </w:p>
  </w:footnote>
  <w:footnote w:type="continuationSeparator" w:id="0">
    <w:p w14:paraId="43A39673" w14:textId="77777777" w:rsidR="004D11EF" w:rsidRDefault="004D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6D8"/>
    <w:multiLevelType w:val="hybridMultilevel"/>
    <w:tmpl w:val="19E85ECE"/>
    <w:lvl w:ilvl="0" w:tplc="DDDE1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1E72"/>
    <w:multiLevelType w:val="hybridMultilevel"/>
    <w:tmpl w:val="BF12C4F8"/>
    <w:lvl w:ilvl="0" w:tplc="25BE5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3"/>
    <w:rsid w:val="000352A1"/>
    <w:rsid w:val="00045597"/>
    <w:rsid w:val="00084159"/>
    <w:rsid w:val="000D2F74"/>
    <w:rsid w:val="00133279"/>
    <w:rsid w:val="00140904"/>
    <w:rsid w:val="00142D55"/>
    <w:rsid w:val="001469D2"/>
    <w:rsid w:val="0018137D"/>
    <w:rsid w:val="001F2313"/>
    <w:rsid w:val="0021410C"/>
    <w:rsid w:val="00244696"/>
    <w:rsid w:val="00253D22"/>
    <w:rsid w:val="00271509"/>
    <w:rsid w:val="002A6C88"/>
    <w:rsid w:val="002D4415"/>
    <w:rsid w:val="002E7C64"/>
    <w:rsid w:val="002F6690"/>
    <w:rsid w:val="0031385D"/>
    <w:rsid w:val="00326749"/>
    <w:rsid w:val="003B3BAC"/>
    <w:rsid w:val="004467CE"/>
    <w:rsid w:val="00453498"/>
    <w:rsid w:val="004821F5"/>
    <w:rsid w:val="00490164"/>
    <w:rsid w:val="004D11EF"/>
    <w:rsid w:val="004D3337"/>
    <w:rsid w:val="004E57A6"/>
    <w:rsid w:val="0050269D"/>
    <w:rsid w:val="00556E6E"/>
    <w:rsid w:val="00573D0F"/>
    <w:rsid w:val="005E200B"/>
    <w:rsid w:val="005F70E3"/>
    <w:rsid w:val="00604070"/>
    <w:rsid w:val="00664884"/>
    <w:rsid w:val="006D7460"/>
    <w:rsid w:val="0077123F"/>
    <w:rsid w:val="007A16F1"/>
    <w:rsid w:val="007A4CF0"/>
    <w:rsid w:val="007D33E0"/>
    <w:rsid w:val="008454FC"/>
    <w:rsid w:val="00846A37"/>
    <w:rsid w:val="008764C5"/>
    <w:rsid w:val="008F768C"/>
    <w:rsid w:val="00951BE1"/>
    <w:rsid w:val="00961AC1"/>
    <w:rsid w:val="00A05FD0"/>
    <w:rsid w:val="00A07C05"/>
    <w:rsid w:val="00A40B01"/>
    <w:rsid w:val="00AA2385"/>
    <w:rsid w:val="00AF15F2"/>
    <w:rsid w:val="00B01BE3"/>
    <w:rsid w:val="00B26BF3"/>
    <w:rsid w:val="00B5301F"/>
    <w:rsid w:val="00B53D43"/>
    <w:rsid w:val="00B556B5"/>
    <w:rsid w:val="00B607EC"/>
    <w:rsid w:val="00B705AD"/>
    <w:rsid w:val="00BE6654"/>
    <w:rsid w:val="00C3085A"/>
    <w:rsid w:val="00C43824"/>
    <w:rsid w:val="00C772F5"/>
    <w:rsid w:val="00CC5FFD"/>
    <w:rsid w:val="00D14DD8"/>
    <w:rsid w:val="00DE32F1"/>
    <w:rsid w:val="00E4373D"/>
    <w:rsid w:val="00E61697"/>
    <w:rsid w:val="00E758A5"/>
    <w:rsid w:val="00E83445"/>
    <w:rsid w:val="00E8712F"/>
    <w:rsid w:val="00EC0582"/>
    <w:rsid w:val="00EC2A0E"/>
    <w:rsid w:val="00ED55F3"/>
    <w:rsid w:val="00EF07BF"/>
    <w:rsid w:val="00F14421"/>
    <w:rsid w:val="00F1591B"/>
    <w:rsid w:val="00F60DE5"/>
    <w:rsid w:val="00FB672E"/>
    <w:rsid w:val="00FB7067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D872"/>
  <w15:docId w15:val="{7567C15B-CD47-4AA2-8BA7-DF109C5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1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410C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410C"/>
    <w:rPr>
      <w:rFonts w:ascii="Calibri" w:eastAsia="Calibri" w:hAnsi="Calibri"/>
      <w:sz w:val="22"/>
      <w:szCs w:val="22"/>
      <w:lang w:eastAsia="en-US"/>
    </w:rPr>
  </w:style>
  <w:style w:type="table" w:customStyle="1" w:styleId="Reetkatablice1">
    <w:name w:val="Rešetka tablice1"/>
    <w:basedOn w:val="TableNormal"/>
    <w:next w:val="TableGrid"/>
    <w:rsid w:val="0021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7C05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AZJMDCZ6QSYZ-1849078857-25426</_dlc_DocId>
    <_dlc_DocIdUrl xmlns="a494813a-d0d8-4dad-94cb-0d196f36ba15">
      <Url>https://ekoordinacije.vlada.hr/koordinacija-gospodarstvo/_layouts/15/DocIdRedir.aspx?ID=AZJMDCZ6QSYZ-1849078857-25426</Url>
      <Description>AZJMDCZ6QSYZ-1849078857-25426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3E2CF8-0E8E-4619-9D30-070FB2A3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586618-8223-4F6C-B838-61EE6D37A1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Larisa Petrić</cp:lastModifiedBy>
  <cp:revision>2</cp:revision>
  <cp:lastPrinted>2026-03-22T09:41:00Z</cp:lastPrinted>
  <dcterms:created xsi:type="dcterms:W3CDTF">2026-03-23T11:17:00Z</dcterms:created>
  <dcterms:modified xsi:type="dcterms:W3CDTF">2026-03-23T11:17:00Z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c3a95481-a0af-4e6d-88b0-34d78885ea9a</vt:lpwstr>
  </property>
</Properties>
</file>