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3087"/>
        <w:gridCol w:w="5983"/>
      </w:tblGrid>
      <w:tr w:rsidR="00766504" w14:paraId="0FAD35A3" w14:textId="77777777" w:rsidTr="00CB6A1B">
        <w:trPr>
          <w:trHeight w:val="2117"/>
        </w:trPr>
        <w:tc>
          <w:tcPr>
            <w:tcW w:w="1702" w:type="pct"/>
            <w:shd w:val="clear" w:color="auto" w:fill="auto"/>
          </w:tcPr>
          <w:p w14:paraId="0FAD359C" w14:textId="178D01E8" w:rsidR="00BE68D7" w:rsidRPr="00992CDC" w:rsidRDefault="00182775" w:rsidP="00BE68D7">
            <w:pPr>
              <w:tabs>
                <w:tab w:val="center" w:pos="2160"/>
              </w:tabs>
              <w:spacing w:before="120" w:line="360" w:lineRule="auto"/>
              <w:jc w:val="center"/>
              <w:rPr>
                <w:b/>
                <w:bCs/>
              </w:rPr>
            </w:pPr>
          </w:p>
          <w:p w14:paraId="0FAD359F" w14:textId="6C951D37" w:rsidR="00BE68D7" w:rsidRPr="004362BB" w:rsidRDefault="00182775" w:rsidP="004362BB">
            <w:pPr>
              <w:jc w:val="center"/>
              <w:rPr>
                <w:b/>
                <w:bCs/>
                <w:iCs/>
                <w:sz w:val="20"/>
                <w:szCs w:val="20"/>
              </w:rPr>
            </w:pPr>
          </w:p>
        </w:tc>
        <w:tc>
          <w:tcPr>
            <w:tcW w:w="3298" w:type="pct"/>
            <w:shd w:val="clear" w:color="auto" w:fill="auto"/>
          </w:tcPr>
          <w:p w14:paraId="0FAD35A0" w14:textId="77777777" w:rsidR="00BE68D7" w:rsidRPr="00820D16" w:rsidRDefault="00080EDB" w:rsidP="00720EE2">
            <w:pPr>
              <w:jc w:val="right"/>
              <w:rPr>
                <w:rFonts w:ascii="CarolinaBar-B39-25F2" w:hAnsi="CarolinaBar-B39-25F2"/>
              </w:rPr>
            </w:pPr>
            <w:r>
              <w:rPr>
                <w:rFonts w:ascii="IDAutomationC93M" w:hAnsi="IDAutomationC93M"/>
              </w:rPr>
              <w:fldChar w:fldCharType="begin">
                <w:ffData>
                  <w:name w:val="JedinstvenaOznaka"/>
                  <w:enabled/>
                  <w:calcOnExit w:val="0"/>
                  <w:textInput/>
                </w:ffData>
              </w:fldChar>
            </w:r>
            <w:bookmarkStart w:id="0" w:name="JedinstvenaOznaka"/>
            <w:r>
              <w:rPr>
                <w:rFonts w:ascii="IDAutomationC93M" w:hAnsi="IDAutomationC93M"/>
              </w:rPr>
              <w:instrText xml:space="preserve"> FORMTEXT </w:instrText>
            </w:r>
            <w:r>
              <w:rPr>
                <w:rFonts w:ascii="IDAutomationC93M" w:hAnsi="IDAutomationC93M"/>
              </w:rPr>
            </w:r>
            <w:r>
              <w:rPr>
                <w:rFonts w:ascii="IDAutomationC93M" w:hAnsi="IDAutomationC93M"/>
              </w:rPr>
              <w:fldChar w:fldCharType="separate"/>
            </w:r>
            <w:r>
              <w:rPr>
                <w:rFonts w:ascii="IDAutomationC93M" w:hAnsi="IDAutomationC93M"/>
              </w:rPr>
              <w:t>(530#Q40201250357#Q14!P)</w:t>
            </w:r>
            <w:r>
              <w:rPr>
                <w:rFonts w:ascii="IDAutomationC93M" w:hAnsi="IDAutomationC93M"/>
              </w:rPr>
              <w:fldChar w:fldCharType="end"/>
            </w:r>
            <w:bookmarkEnd w:id="0"/>
          </w:p>
          <w:p w14:paraId="0FAD35A1" w14:textId="77777777" w:rsidR="00BE68D7" w:rsidRDefault="00182775" w:rsidP="00720EE2">
            <w:pPr>
              <w:jc w:val="right"/>
              <w:rPr>
                <w:b/>
              </w:rPr>
            </w:pPr>
          </w:p>
          <w:p w14:paraId="0FAD35A2" w14:textId="77777777" w:rsidR="00BE68D7" w:rsidRPr="00992CDC" w:rsidRDefault="00080EDB" w:rsidP="00720EE2">
            <w:pPr>
              <w:jc w:val="right"/>
              <w:rPr>
                <w:b/>
              </w:rPr>
            </w:pPr>
            <w:r w:rsidRPr="00820D16">
              <w:rPr>
                <w:szCs w:val="32"/>
              </w:rPr>
              <w:t>P/</w:t>
            </w:r>
            <w:r>
              <w:rPr>
                <w:szCs w:val="32"/>
              </w:rPr>
              <w:fldChar w:fldCharType="begin">
                <w:ffData>
                  <w:name w:val="Jop"/>
                  <w:enabled/>
                  <w:calcOnExit w:val="0"/>
                  <w:textInput/>
                </w:ffData>
              </w:fldChar>
            </w:r>
            <w:r>
              <w:rPr>
                <w:szCs w:val="32"/>
              </w:rPr>
              <w:instrText xml:space="preserve"> FORMTEXT </w:instrText>
            </w:r>
            <w:r>
              <w:rPr>
                <w:szCs w:val="32"/>
              </w:rPr>
            </w:r>
            <w:r>
              <w:rPr>
                <w:szCs w:val="32"/>
              </w:rPr>
              <w:fldChar w:fldCharType="separate"/>
            </w:r>
            <w:r>
              <w:rPr>
                <w:szCs w:val="32"/>
              </w:rPr>
              <w:t>9256622</w:t>
            </w:r>
            <w:r>
              <w:rPr>
                <w:szCs w:val="32"/>
              </w:rPr>
              <w:fldChar w:fldCharType="end"/>
            </w:r>
          </w:p>
        </w:tc>
      </w:tr>
    </w:tbl>
    <w:p w14:paraId="0FAD35A4" w14:textId="77777777" w:rsidR="00CB0358" w:rsidRPr="00C0438C" w:rsidRDefault="00182775" w:rsidP="00D136BE">
      <w:pPr>
        <w:rPr>
          <w:lang w:eastAsia="en-US"/>
        </w:rPr>
      </w:pPr>
    </w:p>
    <w:p w14:paraId="0FAD35CA" w14:textId="77777777" w:rsidR="00D803C6" w:rsidRDefault="00182775">
      <w:pPr>
        <w:rPr>
          <w:color w:val="000000"/>
          <w:sz w:val="22"/>
          <w:szCs w:val="22"/>
        </w:rPr>
      </w:pPr>
    </w:p>
    <w:p w14:paraId="0FAD35CB" w14:textId="2ED23981" w:rsidR="00D803C6" w:rsidRDefault="005F29DC" w:rsidP="0039208B">
      <w:pPr>
        <w:jc w:val="center"/>
        <w:rPr>
          <w:color w:val="000000"/>
          <w:sz w:val="22"/>
          <w:szCs w:val="22"/>
        </w:rPr>
      </w:pPr>
      <w:r>
        <w:rPr>
          <w:noProof/>
        </w:rPr>
        <w:drawing>
          <wp:inline distT="0" distB="0" distL="0" distR="0" wp14:anchorId="469E620B" wp14:editId="72407B97">
            <wp:extent cx="495300" cy="6858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14:paraId="0FAD35CC" w14:textId="77777777" w:rsidR="00D803C6" w:rsidRDefault="00182775">
      <w:pPr>
        <w:rPr>
          <w:color w:val="000000"/>
          <w:sz w:val="22"/>
          <w:szCs w:val="22"/>
        </w:rPr>
      </w:pPr>
    </w:p>
    <w:p w14:paraId="55B17583" w14:textId="77777777" w:rsidR="0039208B" w:rsidRDefault="0039208B" w:rsidP="0039208B">
      <w:pPr>
        <w:jc w:val="center"/>
      </w:pPr>
      <w:r>
        <w:t>VLADA REPUBLIKE HRVATSKE</w:t>
      </w:r>
    </w:p>
    <w:p w14:paraId="13F5FE15" w14:textId="77777777" w:rsidR="0039208B" w:rsidRDefault="0039208B" w:rsidP="0039208B">
      <w:pPr>
        <w:jc w:val="center"/>
      </w:pPr>
    </w:p>
    <w:p w14:paraId="5F2116C9" w14:textId="77777777" w:rsidR="0039208B" w:rsidRDefault="0039208B" w:rsidP="0039208B">
      <w:pPr>
        <w:jc w:val="center"/>
      </w:pPr>
    </w:p>
    <w:p w14:paraId="13740ED7" w14:textId="77777777" w:rsidR="0039208B" w:rsidRDefault="0039208B" w:rsidP="0039208B">
      <w:pPr>
        <w:jc w:val="center"/>
      </w:pPr>
    </w:p>
    <w:p w14:paraId="6669FE35" w14:textId="77777777" w:rsidR="0039208B" w:rsidRDefault="0039208B" w:rsidP="0039208B">
      <w:pPr>
        <w:jc w:val="center"/>
      </w:pPr>
    </w:p>
    <w:p w14:paraId="0B4A28A0" w14:textId="77777777" w:rsidR="0039208B" w:rsidRDefault="0039208B" w:rsidP="0039208B">
      <w:pPr>
        <w:jc w:val="center"/>
      </w:pPr>
    </w:p>
    <w:p w14:paraId="37052EC8" w14:textId="77777777" w:rsidR="0039208B" w:rsidRDefault="0039208B" w:rsidP="0039208B">
      <w:pPr>
        <w:jc w:val="center"/>
      </w:pPr>
    </w:p>
    <w:p w14:paraId="5CE09262" w14:textId="77777777" w:rsidR="0039208B" w:rsidRDefault="0039208B" w:rsidP="0039208B">
      <w:pPr>
        <w:jc w:val="center"/>
      </w:pPr>
    </w:p>
    <w:p w14:paraId="2E5CB0BD" w14:textId="149C8C09" w:rsidR="0039208B" w:rsidRDefault="0039208B" w:rsidP="0039208B">
      <w:pPr>
        <w:jc w:val="right"/>
      </w:pPr>
      <w:r>
        <w:t xml:space="preserve">Zagreb, </w:t>
      </w:r>
      <w:r w:rsidR="00FB598C">
        <w:t>2</w:t>
      </w:r>
      <w:r w:rsidR="007755DF">
        <w:t>3</w:t>
      </w:r>
      <w:r>
        <w:t xml:space="preserve">. </w:t>
      </w:r>
      <w:r w:rsidR="00FB598C">
        <w:t>ožujka</w:t>
      </w:r>
      <w:r>
        <w:t xml:space="preserve"> 202</w:t>
      </w:r>
      <w:r w:rsidR="00FB598C">
        <w:t>6</w:t>
      </w:r>
      <w:r>
        <w:t>.</w:t>
      </w:r>
    </w:p>
    <w:p w14:paraId="34F51528" w14:textId="77777777" w:rsidR="0039208B" w:rsidRDefault="0039208B" w:rsidP="0039208B">
      <w:pPr>
        <w:jc w:val="right"/>
      </w:pPr>
    </w:p>
    <w:p w14:paraId="393978D9" w14:textId="77777777" w:rsidR="0039208B" w:rsidRDefault="0039208B" w:rsidP="0039208B"/>
    <w:p w14:paraId="6CDDE416" w14:textId="77777777" w:rsidR="0039208B" w:rsidRDefault="0039208B" w:rsidP="0039208B"/>
    <w:p w14:paraId="1784163B" w14:textId="77777777" w:rsidR="0039208B" w:rsidRDefault="0039208B" w:rsidP="0039208B"/>
    <w:p w14:paraId="4155A130" w14:textId="77777777" w:rsidR="0039208B" w:rsidRDefault="0039208B" w:rsidP="0039208B"/>
    <w:p w14:paraId="0D157A6B" w14:textId="77777777" w:rsidR="0039208B" w:rsidRDefault="0039208B" w:rsidP="0039208B"/>
    <w:p w14:paraId="0C061565" w14:textId="77777777" w:rsidR="0039208B" w:rsidRDefault="0039208B" w:rsidP="0039208B"/>
    <w:tbl>
      <w:tblPr>
        <w:tblW w:w="0" w:type="auto"/>
        <w:tblLook w:val="04A0" w:firstRow="1" w:lastRow="0" w:firstColumn="1" w:lastColumn="0" w:noHBand="0" w:noVBand="1"/>
      </w:tblPr>
      <w:tblGrid>
        <w:gridCol w:w="1941"/>
        <w:gridCol w:w="7085"/>
      </w:tblGrid>
      <w:tr w:rsidR="0039208B" w14:paraId="02E17E67" w14:textId="77777777" w:rsidTr="007714E2">
        <w:tc>
          <w:tcPr>
            <w:tcW w:w="1941" w:type="dxa"/>
            <w:shd w:val="clear" w:color="auto" w:fill="auto"/>
            <w:hideMark/>
          </w:tcPr>
          <w:p w14:paraId="606F71D8" w14:textId="77777777" w:rsidR="0039208B" w:rsidRDefault="0039208B" w:rsidP="007714E2">
            <w:r w:rsidRPr="008B2986">
              <w:rPr>
                <w:b/>
              </w:rPr>
              <w:t>Predlagatelj:</w:t>
            </w:r>
          </w:p>
        </w:tc>
        <w:tc>
          <w:tcPr>
            <w:tcW w:w="7085" w:type="dxa"/>
            <w:shd w:val="clear" w:color="auto" w:fill="auto"/>
            <w:hideMark/>
          </w:tcPr>
          <w:p w14:paraId="2E6F677A" w14:textId="77777777" w:rsidR="0039208B" w:rsidRDefault="0039208B" w:rsidP="007714E2">
            <w:r>
              <w:t>Ministarstvo mora, prometa i infrastrukture</w:t>
            </w:r>
          </w:p>
        </w:tc>
      </w:tr>
    </w:tbl>
    <w:p w14:paraId="1FBAE90C" w14:textId="77777777" w:rsidR="0039208B" w:rsidRDefault="0039208B" w:rsidP="0039208B">
      <w:r>
        <w:t>__________________________________________________________________________</w:t>
      </w:r>
    </w:p>
    <w:tbl>
      <w:tblPr>
        <w:tblW w:w="0" w:type="auto"/>
        <w:tblLook w:val="04A0" w:firstRow="1" w:lastRow="0" w:firstColumn="1" w:lastColumn="0" w:noHBand="0" w:noVBand="1"/>
      </w:tblPr>
      <w:tblGrid>
        <w:gridCol w:w="1938"/>
        <w:gridCol w:w="7132"/>
      </w:tblGrid>
      <w:tr w:rsidR="0039208B" w14:paraId="3590C8C7" w14:textId="77777777" w:rsidTr="007714E2">
        <w:tc>
          <w:tcPr>
            <w:tcW w:w="1951" w:type="dxa"/>
            <w:shd w:val="clear" w:color="auto" w:fill="auto"/>
            <w:hideMark/>
          </w:tcPr>
          <w:p w14:paraId="608B2A9B" w14:textId="77777777" w:rsidR="0039208B" w:rsidRDefault="0039208B" w:rsidP="007714E2">
            <w:r w:rsidRPr="008B2986">
              <w:rPr>
                <w:b/>
              </w:rPr>
              <w:t>Predmet:</w:t>
            </w:r>
          </w:p>
        </w:tc>
        <w:tc>
          <w:tcPr>
            <w:tcW w:w="7229" w:type="dxa"/>
            <w:shd w:val="clear" w:color="auto" w:fill="auto"/>
            <w:hideMark/>
          </w:tcPr>
          <w:p w14:paraId="45DD5FDA" w14:textId="56B7B65F" w:rsidR="00182775" w:rsidRPr="00182775" w:rsidRDefault="0039208B" w:rsidP="00182775">
            <w:pPr>
              <w:rPr>
                <w:bCs/>
              </w:rPr>
            </w:pPr>
            <w:r>
              <w:t>Prijedlog Uredbe o nadoknadi dijela troška dizelskog goriva koje se koristi kao pogonsko gorivo u komercijalnom cestovnom prijevozu</w:t>
            </w:r>
            <w:r w:rsidR="00182775">
              <w:t xml:space="preserve"> </w:t>
            </w:r>
            <w:r w:rsidRPr="00182775">
              <w:t xml:space="preserve">putnika </w:t>
            </w:r>
            <w:r w:rsidRPr="00182775">
              <w:rPr>
                <w:rStyle w:val="apple-converted-space"/>
                <w:color w:val="000000"/>
                <w:shd w:val="clear" w:color="auto" w:fill="FFFFFF"/>
              </w:rPr>
              <w:t> </w:t>
            </w:r>
            <w:r w:rsidR="00182775" w:rsidRPr="00182775">
              <w:rPr>
                <w:bCs/>
              </w:rPr>
              <w:t xml:space="preserve">za razdoblje od 1. travnja 2026. do 31. ožujka 2027.  </w:t>
            </w:r>
          </w:p>
          <w:p w14:paraId="55EE6475" w14:textId="207E5F2A" w:rsidR="0039208B" w:rsidRDefault="0039208B" w:rsidP="000B0DCB"/>
        </w:tc>
      </w:tr>
    </w:tbl>
    <w:p w14:paraId="0E733FD4" w14:textId="77777777" w:rsidR="0039208B" w:rsidRDefault="0039208B" w:rsidP="0039208B">
      <w:r>
        <w:t>__________________________________________________________________________</w:t>
      </w:r>
    </w:p>
    <w:p w14:paraId="76647111" w14:textId="77777777" w:rsidR="0039208B" w:rsidRDefault="0039208B" w:rsidP="0039208B"/>
    <w:p w14:paraId="06529D34" w14:textId="77777777" w:rsidR="0039208B" w:rsidRDefault="0039208B" w:rsidP="0039208B"/>
    <w:p w14:paraId="2A658977" w14:textId="77777777" w:rsidR="0039208B" w:rsidRDefault="0039208B" w:rsidP="0039208B"/>
    <w:p w14:paraId="14576F34" w14:textId="77777777" w:rsidR="0039208B" w:rsidRDefault="0039208B" w:rsidP="0039208B"/>
    <w:p w14:paraId="7951D09D" w14:textId="77777777" w:rsidR="0039208B" w:rsidRDefault="0039208B" w:rsidP="0039208B"/>
    <w:p w14:paraId="52BD161D" w14:textId="77777777" w:rsidR="0039208B" w:rsidRDefault="0039208B" w:rsidP="0039208B"/>
    <w:p w14:paraId="3B0632C6" w14:textId="3779636E" w:rsidR="0039208B" w:rsidRDefault="0039208B" w:rsidP="0039208B"/>
    <w:p w14:paraId="46E8374C" w14:textId="6B1FF968" w:rsidR="0039208B" w:rsidRDefault="0039208B" w:rsidP="0039208B"/>
    <w:p w14:paraId="44B00A29" w14:textId="134A5055" w:rsidR="0039208B" w:rsidRDefault="0039208B" w:rsidP="0039208B"/>
    <w:p w14:paraId="24F89928" w14:textId="0AC2FF28" w:rsidR="0039208B" w:rsidRDefault="0039208B" w:rsidP="0039208B"/>
    <w:p w14:paraId="75C35E25" w14:textId="1FB70285" w:rsidR="0039208B" w:rsidRDefault="0039208B" w:rsidP="0039208B"/>
    <w:p w14:paraId="4AE86828" w14:textId="72C52380" w:rsidR="0039208B" w:rsidRDefault="0039208B" w:rsidP="0039208B"/>
    <w:p w14:paraId="0FEFC8A2" w14:textId="47AC1019" w:rsidR="0039208B" w:rsidRDefault="0039208B" w:rsidP="0039208B"/>
    <w:p w14:paraId="2EF25E35" w14:textId="241FE7BE" w:rsidR="0039208B" w:rsidRDefault="0039208B" w:rsidP="0039208B"/>
    <w:p w14:paraId="35FDF7E8" w14:textId="77777777" w:rsidR="00D37BD4" w:rsidRDefault="00D37BD4" w:rsidP="0039208B">
      <w:pPr>
        <w:jc w:val="right"/>
        <w:rPr>
          <w:b/>
          <w:i/>
        </w:rPr>
      </w:pPr>
    </w:p>
    <w:p w14:paraId="43FB8DD4" w14:textId="78C844A2" w:rsidR="0039208B" w:rsidRDefault="0039208B" w:rsidP="0039208B">
      <w:pPr>
        <w:jc w:val="right"/>
        <w:rPr>
          <w:b/>
          <w:i/>
        </w:rPr>
      </w:pPr>
      <w:r>
        <w:rPr>
          <w:b/>
          <w:i/>
        </w:rPr>
        <w:lastRenderedPageBreak/>
        <w:t>PRIJEDLOG</w:t>
      </w:r>
    </w:p>
    <w:p w14:paraId="3219DDAE" w14:textId="5D363E7E" w:rsidR="0039208B" w:rsidRDefault="0039208B" w:rsidP="0039208B"/>
    <w:p w14:paraId="001B415E" w14:textId="455845D9" w:rsidR="0039208B" w:rsidRDefault="0039208B" w:rsidP="00182775">
      <w:pPr>
        <w:suppressAutoHyphens/>
        <w:rPr>
          <w:b/>
          <w:bCs/>
          <w:color w:val="FF0000"/>
        </w:rPr>
      </w:pPr>
    </w:p>
    <w:p w14:paraId="667C78A9" w14:textId="3463624B" w:rsidR="007755DF" w:rsidRDefault="007755DF" w:rsidP="0039208B">
      <w:pPr>
        <w:suppressAutoHyphens/>
        <w:jc w:val="center"/>
        <w:rPr>
          <w:b/>
          <w:bCs/>
          <w:color w:val="FF0000"/>
        </w:rPr>
      </w:pPr>
    </w:p>
    <w:p w14:paraId="63BEA266" w14:textId="23690404" w:rsidR="007755DF" w:rsidRDefault="007755DF" w:rsidP="0039208B">
      <w:pPr>
        <w:suppressAutoHyphens/>
        <w:jc w:val="center"/>
        <w:rPr>
          <w:b/>
          <w:bCs/>
          <w:color w:val="FF0000"/>
        </w:rPr>
      </w:pPr>
    </w:p>
    <w:p w14:paraId="6622ED14" w14:textId="4D0A5CD7" w:rsidR="00182775" w:rsidRPr="00374112" w:rsidRDefault="00182775" w:rsidP="00182775">
      <w:pPr>
        <w:ind w:firstLine="1418"/>
        <w:jc w:val="both"/>
        <w:rPr>
          <w:rFonts w:eastAsia="Calibri"/>
        </w:rPr>
      </w:pPr>
      <w:r w:rsidRPr="00374112">
        <w:rPr>
          <w:rFonts w:eastAsia="Calibri"/>
        </w:rPr>
        <w:t xml:space="preserve">Na temelju članka 1., 8. i </w:t>
      </w:r>
      <w:r>
        <w:rPr>
          <w:rFonts w:eastAsia="Calibri"/>
        </w:rPr>
        <w:t xml:space="preserve">članka </w:t>
      </w:r>
      <w:r w:rsidRPr="00374112">
        <w:rPr>
          <w:rFonts w:eastAsia="Calibri"/>
        </w:rPr>
        <w:t>30. stavka 1. Zakona o Vladi Republike Hrvatske („Narodne novine“, br. 150/11</w:t>
      </w:r>
      <w:r>
        <w:rPr>
          <w:rFonts w:eastAsia="Calibri"/>
        </w:rPr>
        <w:t>.</w:t>
      </w:r>
      <w:r w:rsidRPr="00374112">
        <w:rPr>
          <w:rFonts w:eastAsia="Calibri"/>
        </w:rPr>
        <w:t>, 119/14</w:t>
      </w:r>
      <w:r>
        <w:rPr>
          <w:rFonts w:eastAsia="Calibri"/>
        </w:rPr>
        <w:t>.</w:t>
      </w:r>
      <w:r w:rsidRPr="00374112">
        <w:rPr>
          <w:rFonts w:eastAsia="Calibri"/>
        </w:rPr>
        <w:t>, 93/16</w:t>
      </w:r>
      <w:r>
        <w:rPr>
          <w:rFonts w:eastAsia="Calibri"/>
        </w:rPr>
        <w:t>.</w:t>
      </w:r>
      <w:r w:rsidRPr="00374112">
        <w:rPr>
          <w:rFonts w:eastAsia="Calibri"/>
        </w:rPr>
        <w:t>, 116/18</w:t>
      </w:r>
      <w:r>
        <w:rPr>
          <w:rFonts w:eastAsia="Calibri"/>
        </w:rPr>
        <w:t>.</w:t>
      </w:r>
      <w:r w:rsidRPr="00374112">
        <w:rPr>
          <w:rFonts w:eastAsia="Calibri"/>
        </w:rPr>
        <w:t>, 80/22</w:t>
      </w:r>
      <w:r>
        <w:rPr>
          <w:rFonts w:eastAsia="Calibri"/>
        </w:rPr>
        <w:t>.</w:t>
      </w:r>
      <w:r w:rsidRPr="00374112">
        <w:rPr>
          <w:rFonts w:eastAsia="Calibri"/>
        </w:rPr>
        <w:t xml:space="preserve"> i 78/24</w:t>
      </w:r>
      <w:r>
        <w:rPr>
          <w:rFonts w:eastAsia="Calibri"/>
        </w:rPr>
        <w:t>.</w:t>
      </w:r>
      <w:r w:rsidRPr="00374112">
        <w:rPr>
          <w:rFonts w:eastAsia="Calibri"/>
        </w:rPr>
        <w:t xml:space="preserve">), </w:t>
      </w:r>
      <w:r w:rsidRPr="00374112">
        <w:t xml:space="preserve">Vlada Republike Hrvatske je na sjednici održanoj </w:t>
      </w:r>
      <w:r>
        <w:t>__________</w:t>
      </w:r>
      <w:r w:rsidRPr="00374112">
        <w:t>2026. donijela</w:t>
      </w:r>
    </w:p>
    <w:p w14:paraId="64EE10E6" w14:textId="77777777" w:rsidR="00182775" w:rsidRPr="00374112" w:rsidRDefault="00182775" w:rsidP="00182775">
      <w:pPr>
        <w:jc w:val="both"/>
      </w:pPr>
    </w:p>
    <w:p w14:paraId="1C0B3254" w14:textId="77777777" w:rsidR="00182775" w:rsidRPr="00374112" w:rsidRDefault="00182775" w:rsidP="00182775">
      <w:pPr>
        <w:jc w:val="both"/>
      </w:pPr>
    </w:p>
    <w:p w14:paraId="74969422" w14:textId="77777777" w:rsidR="00182775" w:rsidRPr="00374112" w:rsidRDefault="00182775" w:rsidP="00182775">
      <w:pPr>
        <w:jc w:val="center"/>
        <w:rPr>
          <w:b/>
        </w:rPr>
      </w:pPr>
      <w:r w:rsidRPr="00374112">
        <w:rPr>
          <w:b/>
        </w:rPr>
        <w:t xml:space="preserve">U R E D B U </w:t>
      </w:r>
    </w:p>
    <w:p w14:paraId="4FBDD177" w14:textId="77777777" w:rsidR="00182775" w:rsidRPr="00374112" w:rsidRDefault="00182775" w:rsidP="00182775">
      <w:pPr>
        <w:jc w:val="center"/>
        <w:rPr>
          <w:b/>
          <w:bCs/>
        </w:rPr>
      </w:pPr>
    </w:p>
    <w:p w14:paraId="40199879" w14:textId="77777777" w:rsidR="00182775" w:rsidRPr="00AA2871" w:rsidRDefault="00182775" w:rsidP="00182775">
      <w:pPr>
        <w:jc w:val="center"/>
        <w:rPr>
          <w:b/>
          <w:bCs/>
        </w:rPr>
      </w:pPr>
      <w:r w:rsidRPr="00374112">
        <w:rPr>
          <w:b/>
          <w:bCs/>
        </w:rPr>
        <w:t xml:space="preserve">o nadoknadi dijela troška dizelskog goriva koje se koristi kao pogonsko gorivo u komercijalnom cestovnom prijevozu putnika </w:t>
      </w:r>
      <w:r w:rsidRPr="00AA2871">
        <w:rPr>
          <w:b/>
          <w:bCs/>
        </w:rPr>
        <w:t xml:space="preserve">za razdoblje od </w:t>
      </w:r>
    </w:p>
    <w:p w14:paraId="30FB366B" w14:textId="77777777" w:rsidR="00182775" w:rsidRPr="00374112" w:rsidRDefault="00182775" w:rsidP="00182775">
      <w:pPr>
        <w:jc w:val="center"/>
        <w:rPr>
          <w:b/>
          <w:bCs/>
        </w:rPr>
      </w:pPr>
      <w:r w:rsidRPr="00AA2871">
        <w:rPr>
          <w:b/>
          <w:bCs/>
        </w:rPr>
        <w:t xml:space="preserve">1. travnja 2026. do 31. ožujka 2027. </w:t>
      </w:r>
      <w:r w:rsidRPr="00374112">
        <w:rPr>
          <w:b/>
          <w:bCs/>
        </w:rPr>
        <w:t xml:space="preserve"> </w:t>
      </w:r>
    </w:p>
    <w:p w14:paraId="30638642" w14:textId="77777777" w:rsidR="00182775" w:rsidRPr="00374112" w:rsidRDefault="00182775" w:rsidP="00182775">
      <w:pPr>
        <w:jc w:val="both"/>
        <w:rPr>
          <w:b/>
          <w:bCs/>
        </w:rPr>
      </w:pPr>
    </w:p>
    <w:p w14:paraId="75224E37" w14:textId="77777777" w:rsidR="00182775" w:rsidRPr="00374112" w:rsidRDefault="00182775" w:rsidP="00182775">
      <w:pPr>
        <w:jc w:val="both"/>
      </w:pPr>
    </w:p>
    <w:p w14:paraId="401F95AF" w14:textId="77777777" w:rsidR="00182775" w:rsidRPr="00374112" w:rsidRDefault="00182775" w:rsidP="00182775">
      <w:pPr>
        <w:jc w:val="center"/>
        <w:rPr>
          <w:b/>
        </w:rPr>
      </w:pPr>
      <w:r w:rsidRPr="00374112">
        <w:rPr>
          <w:b/>
        </w:rPr>
        <w:t>Članak 1.</w:t>
      </w:r>
    </w:p>
    <w:p w14:paraId="16BE1E3D" w14:textId="77777777" w:rsidR="00182775" w:rsidRPr="00374112" w:rsidRDefault="00182775" w:rsidP="00182775">
      <w:pPr>
        <w:ind w:firstLine="720"/>
        <w:jc w:val="both"/>
      </w:pPr>
    </w:p>
    <w:p w14:paraId="169ABE77" w14:textId="77777777" w:rsidR="00182775" w:rsidRPr="00374112" w:rsidRDefault="00182775" w:rsidP="00182775">
      <w:pPr>
        <w:ind w:firstLine="720"/>
        <w:jc w:val="both"/>
      </w:pPr>
      <w:r w:rsidRPr="00374112">
        <w:tab/>
        <w:t xml:space="preserve">Ovom Uredbom utvrđuje se iznos i postupak nadoknade dijela troška dizelskog goriva koje se koristi kao pogonsko gorivo u komercijalnom cestovnom prijevozu putnika. </w:t>
      </w:r>
    </w:p>
    <w:p w14:paraId="49898677" w14:textId="77777777" w:rsidR="00182775" w:rsidRPr="00374112" w:rsidRDefault="00182775" w:rsidP="00182775">
      <w:pPr>
        <w:jc w:val="both"/>
      </w:pPr>
    </w:p>
    <w:p w14:paraId="3BF855A7" w14:textId="77777777" w:rsidR="00182775" w:rsidRPr="00374112" w:rsidRDefault="00182775" w:rsidP="00182775">
      <w:pPr>
        <w:jc w:val="center"/>
        <w:rPr>
          <w:b/>
        </w:rPr>
      </w:pPr>
      <w:r w:rsidRPr="00374112">
        <w:rPr>
          <w:b/>
        </w:rPr>
        <w:t>Članak 2.</w:t>
      </w:r>
    </w:p>
    <w:p w14:paraId="40FABA04" w14:textId="77777777" w:rsidR="00182775" w:rsidRPr="00374112" w:rsidRDefault="00182775" w:rsidP="00182775">
      <w:pPr>
        <w:ind w:firstLine="720"/>
      </w:pPr>
    </w:p>
    <w:p w14:paraId="6DBEF6D4" w14:textId="77777777" w:rsidR="00182775" w:rsidRPr="00374112" w:rsidRDefault="00182775" w:rsidP="00182775">
      <w:pPr>
        <w:ind w:firstLine="720"/>
        <w:jc w:val="both"/>
        <w:rPr>
          <w:rFonts w:eastAsia="Calibri"/>
        </w:rPr>
      </w:pPr>
      <w:r w:rsidRPr="00374112">
        <w:tab/>
        <w:t xml:space="preserve">Pravo na nadoknadu dijela troška dizelskog goriva koje se koristi kao pogonsko gorivo u komercijalnom cestovnom prijevozu putnika imaju osobe koje obavljaju komercijalni cestovni prijevoz putnika koje su </w:t>
      </w:r>
      <w:r w:rsidRPr="00374112">
        <w:rPr>
          <w:shd w:val="clear" w:color="auto" w:fill="FFFFFF"/>
        </w:rPr>
        <w:t>na temelju odredbi Pravilnika o ostvarivanju prava na povrat dijela plaćene trošarine za dizelsko gorivo u komercijalnom prijevozu robe i putnika (</w:t>
      </w:r>
      <w:r w:rsidRPr="00374112">
        <w:rPr>
          <w:rFonts w:eastAsia="Calibri"/>
        </w:rPr>
        <w:t>„Narodne novine“, br. 12/19</w:t>
      </w:r>
      <w:r>
        <w:rPr>
          <w:rFonts w:eastAsia="Calibri"/>
        </w:rPr>
        <w:t>.</w:t>
      </w:r>
      <w:r w:rsidRPr="00374112">
        <w:rPr>
          <w:rFonts w:eastAsia="Calibri"/>
        </w:rPr>
        <w:t xml:space="preserve">) </w:t>
      </w:r>
      <w:r w:rsidRPr="00374112">
        <w:t xml:space="preserve">rješenjem Ministarstva financija – Carinske uprave ostvarile pravo na povrat dijela </w:t>
      </w:r>
      <w:r w:rsidRPr="00374112">
        <w:rPr>
          <w:shd w:val="clear" w:color="auto" w:fill="FFFFFF"/>
        </w:rPr>
        <w:t>trošarine za razdoblje od 1. travnja 2026. do 31. ožujka 2027. (u daljnjem tekstu: korisnici prava)</w:t>
      </w:r>
      <w:r w:rsidRPr="00374112">
        <w:rPr>
          <w:rFonts w:eastAsia="Calibri"/>
        </w:rPr>
        <w:t xml:space="preserve">. </w:t>
      </w:r>
    </w:p>
    <w:p w14:paraId="521018E1" w14:textId="77777777" w:rsidR="00182775" w:rsidRPr="00374112" w:rsidRDefault="00182775" w:rsidP="00182775">
      <w:pPr>
        <w:jc w:val="both"/>
      </w:pPr>
    </w:p>
    <w:p w14:paraId="4E973EF0" w14:textId="77777777" w:rsidR="00182775" w:rsidRPr="00374112" w:rsidRDefault="00182775" w:rsidP="00182775">
      <w:pPr>
        <w:jc w:val="center"/>
        <w:rPr>
          <w:b/>
        </w:rPr>
      </w:pPr>
      <w:r w:rsidRPr="00374112">
        <w:rPr>
          <w:b/>
        </w:rPr>
        <w:t>Članak 3.</w:t>
      </w:r>
    </w:p>
    <w:p w14:paraId="1B5656CE" w14:textId="77777777" w:rsidR="00182775" w:rsidRPr="00374112" w:rsidRDefault="00182775" w:rsidP="00182775">
      <w:pPr>
        <w:ind w:firstLine="720"/>
        <w:jc w:val="both"/>
      </w:pPr>
    </w:p>
    <w:p w14:paraId="5A4CD99A" w14:textId="77777777" w:rsidR="00182775" w:rsidRPr="00374112" w:rsidRDefault="00182775" w:rsidP="00182775">
      <w:pPr>
        <w:ind w:firstLine="720"/>
        <w:jc w:val="both"/>
      </w:pPr>
      <w:r w:rsidRPr="00374112">
        <w:t xml:space="preserve">(1) </w:t>
      </w:r>
      <w:r>
        <w:tab/>
      </w:r>
      <w:r w:rsidRPr="00374112">
        <w:t>Nadoknada po litri dizelskog goriva koje se koristi kao pogonsko gorivo u komercijalnom prijevozu putnika iznosi 0,16 eura.</w:t>
      </w:r>
    </w:p>
    <w:p w14:paraId="5144CEB2" w14:textId="77777777" w:rsidR="00182775" w:rsidRPr="00374112" w:rsidRDefault="00182775" w:rsidP="00182775">
      <w:pPr>
        <w:jc w:val="both"/>
      </w:pPr>
    </w:p>
    <w:p w14:paraId="57BA7621" w14:textId="77777777" w:rsidR="00182775" w:rsidRPr="00374112" w:rsidRDefault="00182775" w:rsidP="00182775">
      <w:pPr>
        <w:ind w:firstLine="720"/>
        <w:jc w:val="both"/>
      </w:pPr>
      <w:r w:rsidRPr="00374112">
        <w:t xml:space="preserve">(2) </w:t>
      </w:r>
      <w:r>
        <w:tab/>
      </w:r>
      <w:r w:rsidRPr="00374112">
        <w:t xml:space="preserve">Korisnici prava na nadoknadu dijela troška dizelskog goriva koje se koristi kao pogonsko gorivo u komercijalnom cestovnom prijevozu putnika pravo na nadoknadu dokazuju rješenjem Ministarstva financija - Carinske uprave kojim se odobrava povrat plaćene trošarine, a podatak o broju litara za koje je tim rješenjem utvrđeno pravo povrata trošarine smatra se temeljem za obračun i isplatu nadoknade dijela troška dizelskog goriva temeljem ove Uredbe. </w:t>
      </w:r>
    </w:p>
    <w:p w14:paraId="2752A64F" w14:textId="77777777" w:rsidR="00182775" w:rsidRPr="00374112" w:rsidRDefault="00182775" w:rsidP="00182775">
      <w:pPr>
        <w:ind w:firstLine="720"/>
        <w:jc w:val="both"/>
      </w:pPr>
    </w:p>
    <w:p w14:paraId="28C2E1C4" w14:textId="77777777" w:rsidR="00182775" w:rsidRPr="00374112" w:rsidRDefault="00182775" w:rsidP="00182775">
      <w:pPr>
        <w:ind w:firstLine="720"/>
        <w:jc w:val="both"/>
      </w:pPr>
      <w:r w:rsidRPr="00374112">
        <w:t xml:space="preserve">(3) </w:t>
      </w:r>
      <w:r>
        <w:tab/>
      </w:r>
      <w:r w:rsidRPr="00374112">
        <w:t>Ako se rješenjem Ministarstva financija - Carinske uprave odobrava povrat plaćene trošarine za godišnje razdoblje za 2026. godinu, obračun i isplata nadoknade dijela troška dizelskog goriva temeljem ove Uredbe odobrit će se za 75</w:t>
      </w:r>
      <w:r>
        <w:t xml:space="preserve"> </w:t>
      </w:r>
      <w:r w:rsidRPr="00374112">
        <w:t xml:space="preserve">% od ukupne količine dizelskog goriva za koje je tim rješenjem utvrđeno pravo povrata trošarine. </w:t>
      </w:r>
    </w:p>
    <w:p w14:paraId="575BF777" w14:textId="77777777" w:rsidR="00182775" w:rsidRPr="00374112" w:rsidRDefault="00182775" w:rsidP="00182775">
      <w:pPr>
        <w:jc w:val="both"/>
        <w:rPr>
          <w:lang w:eastAsia="lt-LT"/>
        </w:rPr>
      </w:pPr>
    </w:p>
    <w:p w14:paraId="7E317335" w14:textId="77777777" w:rsidR="00182775" w:rsidRPr="00374112" w:rsidRDefault="00182775" w:rsidP="00182775">
      <w:pPr>
        <w:jc w:val="center"/>
        <w:rPr>
          <w:b/>
        </w:rPr>
      </w:pPr>
    </w:p>
    <w:p w14:paraId="4A1DB66F" w14:textId="206281CC" w:rsidR="00182775" w:rsidRDefault="00182775" w:rsidP="00182775">
      <w:pPr>
        <w:jc w:val="center"/>
        <w:rPr>
          <w:b/>
        </w:rPr>
      </w:pPr>
    </w:p>
    <w:p w14:paraId="7E1A2AAD" w14:textId="77777777" w:rsidR="00182775" w:rsidRPr="00374112" w:rsidRDefault="00182775" w:rsidP="00182775">
      <w:pPr>
        <w:jc w:val="center"/>
        <w:rPr>
          <w:b/>
        </w:rPr>
      </w:pPr>
    </w:p>
    <w:p w14:paraId="70EC95AA" w14:textId="77777777" w:rsidR="00182775" w:rsidRPr="00374112" w:rsidRDefault="00182775" w:rsidP="00182775">
      <w:pPr>
        <w:jc w:val="center"/>
        <w:rPr>
          <w:b/>
        </w:rPr>
      </w:pPr>
    </w:p>
    <w:p w14:paraId="3F3696B1" w14:textId="77777777" w:rsidR="00182775" w:rsidRPr="00374112" w:rsidRDefault="00182775" w:rsidP="00182775">
      <w:pPr>
        <w:jc w:val="center"/>
        <w:rPr>
          <w:b/>
        </w:rPr>
      </w:pPr>
      <w:r w:rsidRPr="00374112">
        <w:rPr>
          <w:b/>
        </w:rPr>
        <w:lastRenderedPageBreak/>
        <w:t>Članak 4.</w:t>
      </w:r>
    </w:p>
    <w:p w14:paraId="2C3FC890" w14:textId="77777777" w:rsidR="00182775" w:rsidRPr="00374112" w:rsidRDefault="00182775" w:rsidP="00182775">
      <w:pPr>
        <w:jc w:val="both"/>
      </w:pPr>
    </w:p>
    <w:p w14:paraId="25FE01FF" w14:textId="77777777" w:rsidR="00182775" w:rsidRPr="00374112" w:rsidRDefault="00182775" w:rsidP="00182775">
      <w:pPr>
        <w:ind w:firstLine="720"/>
        <w:jc w:val="both"/>
      </w:pPr>
      <w:r w:rsidRPr="00374112">
        <w:t xml:space="preserve">(1) </w:t>
      </w:r>
      <w:r>
        <w:tab/>
      </w:r>
      <w:r w:rsidRPr="00374112">
        <w:t xml:space="preserve">Korisnici prava pisani zahtjev za nadoknadu dijela troškova podnose Ministarstvu mora, prometa i infrastrukture tromjesečno, najkasnije do 31. listopada 2027. </w:t>
      </w:r>
    </w:p>
    <w:p w14:paraId="1C9F6AA2" w14:textId="77777777" w:rsidR="00182775" w:rsidRPr="00374112" w:rsidRDefault="00182775" w:rsidP="00182775">
      <w:pPr>
        <w:jc w:val="both"/>
      </w:pPr>
    </w:p>
    <w:p w14:paraId="2ACA77E8" w14:textId="77777777" w:rsidR="00182775" w:rsidRPr="00374112" w:rsidRDefault="00182775" w:rsidP="00182775">
      <w:pPr>
        <w:ind w:firstLine="720"/>
        <w:jc w:val="both"/>
      </w:pPr>
      <w:r w:rsidRPr="00374112">
        <w:t xml:space="preserve">(2) </w:t>
      </w:r>
      <w:r>
        <w:tab/>
      </w:r>
      <w:r w:rsidRPr="00374112">
        <w:t>Zahtjev treba sadržavati naziv i OIB podnositelja zahtjeva, podatak o razdoblju za koje se traži nadoknada, količinu litara goriva po mjesecima za koje se traži nadoknada, te podatke o transakcijskom bankovnom računu na koji je potrebno izvršiti uplatu nadoknade.</w:t>
      </w:r>
    </w:p>
    <w:p w14:paraId="3466DBD2" w14:textId="77777777" w:rsidR="00182775" w:rsidRPr="00374112" w:rsidRDefault="00182775" w:rsidP="00182775">
      <w:pPr>
        <w:ind w:firstLine="720"/>
        <w:jc w:val="both"/>
      </w:pPr>
    </w:p>
    <w:p w14:paraId="690BC747" w14:textId="77777777" w:rsidR="00182775" w:rsidRPr="00374112" w:rsidRDefault="00182775" w:rsidP="00182775">
      <w:pPr>
        <w:ind w:firstLine="720"/>
        <w:jc w:val="both"/>
      </w:pPr>
      <w:r w:rsidRPr="00374112">
        <w:t xml:space="preserve">(3) </w:t>
      </w:r>
      <w:r>
        <w:tab/>
      </w:r>
      <w:r w:rsidRPr="00374112">
        <w:t>Zahtjev u prilogu</w:t>
      </w:r>
      <w:r w:rsidRPr="00374112">
        <w:rPr>
          <w:b/>
        </w:rPr>
        <w:t xml:space="preserve"> </w:t>
      </w:r>
      <w:r w:rsidRPr="00374112">
        <w:t>mora sadržavati presliku rješenja Ministarstva financija - Carinske uprave kojim se odobrava povrat plaćene trošarine za razdoblje i količine goriva iz zahtjeva.</w:t>
      </w:r>
    </w:p>
    <w:p w14:paraId="03E8CD48" w14:textId="77777777" w:rsidR="00182775" w:rsidRPr="00374112" w:rsidRDefault="00182775" w:rsidP="00182775">
      <w:pPr>
        <w:ind w:firstLine="720"/>
        <w:jc w:val="both"/>
      </w:pPr>
    </w:p>
    <w:p w14:paraId="1517F882" w14:textId="77777777" w:rsidR="00182775" w:rsidRPr="00374112" w:rsidRDefault="00182775" w:rsidP="00182775">
      <w:pPr>
        <w:ind w:firstLine="720"/>
        <w:jc w:val="both"/>
      </w:pPr>
      <w:r w:rsidRPr="00374112">
        <w:t xml:space="preserve">(4) </w:t>
      </w:r>
      <w:r>
        <w:tab/>
      </w:r>
      <w:r w:rsidRPr="00374112">
        <w:t>Prijevoznici koji su sklopili ugovore o javnim uslugama u cestovnom prijevozu putnika, prilikom podnošenja zahtjeva za nadoknadu dijela troškova, moraju dostaviti Izjavu o nepost</w:t>
      </w:r>
      <w:r>
        <w:t>ojanju dvostrukog financiranja</w:t>
      </w:r>
      <w:r w:rsidRPr="00AA2871">
        <w:t xml:space="preserve"> koja se nalazi u Prilogu 1. ove Uredbe i njezin je sastavni dio. </w:t>
      </w:r>
      <w:r w:rsidRPr="00374112">
        <w:t xml:space="preserve"> </w:t>
      </w:r>
    </w:p>
    <w:p w14:paraId="53A5534A" w14:textId="77777777" w:rsidR="00182775" w:rsidRPr="00374112" w:rsidRDefault="00182775" w:rsidP="00182775">
      <w:pPr>
        <w:jc w:val="both"/>
      </w:pPr>
    </w:p>
    <w:p w14:paraId="08792357" w14:textId="77777777" w:rsidR="00182775" w:rsidRPr="00374112" w:rsidRDefault="00182775" w:rsidP="00182775">
      <w:pPr>
        <w:jc w:val="center"/>
        <w:rPr>
          <w:b/>
        </w:rPr>
      </w:pPr>
      <w:r w:rsidRPr="00374112">
        <w:rPr>
          <w:b/>
        </w:rPr>
        <w:t>Članak 5.</w:t>
      </w:r>
    </w:p>
    <w:p w14:paraId="2A4D71D6" w14:textId="77777777" w:rsidR="00182775" w:rsidRPr="00374112" w:rsidRDefault="00182775" w:rsidP="00182775">
      <w:pPr>
        <w:ind w:firstLine="720"/>
        <w:jc w:val="both"/>
        <w:rPr>
          <w:bCs/>
        </w:rPr>
      </w:pPr>
    </w:p>
    <w:p w14:paraId="7814DF2D" w14:textId="77777777" w:rsidR="00182775" w:rsidRPr="00374112" w:rsidRDefault="00182775" w:rsidP="00182775">
      <w:pPr>
        <w:ind w:firstLine="720"/>
        <w:jc w:val="both"/>
      </w:pPr>
      <w:r>
        <w:tab/>
      </w:r>
      <w:r w:rsidRPr="00374112">
        <w:t xml:space="preserve">Ministarstvo mora, prometa i infrastrukture će sredstva za provedbu ove mjere u 2026. godini </w:t>
      </w:r>
      <w:r w:rsidRPr="00374112">
        <w:rPr>
          <w:shd w:val="clear" w:color="auto" w:fill="FFFFFF"/>
        </w:rPr>
        <w:t xml:space="preserve">u iznosu od 4.000.000,00 eura </w:t>
      </w:r>
      <w:r w:rsidRPr="00374112">
        <w:t>osigurati preraspodjelom sredstava u Državnom proračunu Republike Hrvatske za 2026. godinu unutar svojih pozicija. Sredstva potrebna u 2027. godini u iznosu od 4</w:t>
      </w:r>
      <w:r>
        <w:t>.000.000,00 eura</w:t>
      </w:r>
      <w:r w:rsidRPr="00374112">
        <w:t xml:space="preserve"> planirat će se pri izradi državnog proračuna za 2027. godinu.</w:t>
      </w:r>
    </w:p>
    <w:p w14:paraId="53C2C9A4" w14:textId="77777777" w:rsidR="00182775" w:rsidRPr="00374112" w:rsidRDefault="00182775" w:rsidP="00182775">
      <w:pPr>
        <w:jc w:val="both"/>
        <w:rPr>
          <w:bCs/>
        </w:rPr>
      </w:pPr>
    </w:p>
    <w:p w14:paraId="72BE8200" w14:textId="77777777" w:rsidR="00182775" w:rsidRPr="00374112" w:rsidRDefault="00182775" w:rsidP="00182775">
      <w:pPr>
        <w:jc w:val="center"/>
        <w:rPr>
          <w:b/>
        </w:rPr>
      </w:pPr>
      <w:r w:rsidRPr="00374112">
        <w:rPr>
          <w:b/>
        </w:rPr>
        <w:t>Članak 6.</w:t>
      </w:r>
    </w:p>
    <w:p w14:paraId="118E29A5" w14:textId="77777777" w:rsidR="00182775" w:rsidRPr="00374112" w:rsidRDefault="00182775" w:rsidP="00182775">
      <w:pPr>
        <w:ind w:firstLine="720"/>
        <w:jc w:val="both"/>
        <w:rPr>
          <w:bCs/>
        </w:rPr>
      </w:pPr>
    </w:p>
    <w:p w14:paraId="15E06B4C" w14:textId="77777777" w:rsidR="00182775" w:rsidRPr="00374112" w:rsidRDefault="00182775" w:rsidP="00182775">
      <w:pPr>
        <w:ind w:firstLine="720"/>
        <w:jc w:val="both"/>
        <w:rPr>
          <w:bCs/>
        </w:rPr>
      </w:pPr>
      <w:r>
        <w:rPr>
          <w:bCs/>
        </w:rPr>
        <w:tab/>
      </w:r>
      <w:r w:rsidRPr="00374112">
        <w:rPr>
          <w:bCs/>
        </w:rPr>
        <w:t>Ova Uredba stupa na snagu prvog dana od dana objave u „Narodnim novinama“.</w:t>
      </w:r>
    </w:p>
    <w:p w14:paraId="5D80F99B" w14:textId="77777777" w:rsidR="00182775" w:rsidRPr="00374112" w:rsidRDefault="00182775" w:rsidP="00182775">
      <w:pPr>
        <w:ind w:firstLine="720"/>
        <w:jc w:val="both"/>
      </w:pPr>
    </w:p>
    <w:p w14:paraId="37F49596" w14:textId="77777777" w:rsidR="00182775" w:rsidRPr="00374112" w:rsidRDefault="00182775" w:rsidP="00182775">
      <w:pPr>
        <w:jc w:val="both"/>
        <w:rPr>
          <w:lang w:eastAsia="en-US"/>
        </w:rPr>
      </w:pPr>
    </w:p>
    <w:p w14:paraId="3D1B7302" w14:textId="77777777" w:rsidR="00182775" w:rsidRPr="00374112" w:rsidRDefault="00182775" w:rsidP="00182775">
      <w:pPr>
        <w:jc w:val="both"/>
        <w:rPr>
          <w:lang w:eastAsia="en-US"/>
        </w:rPr>
      </w:pPr>
    </w:p>
    <w:p w14:paraId="6117F38F" w14:textId="207134A5" w:rsidR="00182775" w:rsidRPr="00374112" w:rsidRDefault="00182775" w:rsidP="00182775">
      <w:pPr>
        <w:jc w:val="both"/>
        <w:rPr>
          <w:lang w:eastAsia="en-US"/>
        </w:rPr>
      </w:pPr>
      <w:r w:rsidRPr="00374112">
        <w:rPr>
          <w:lang w:eastAsia="en-US"/>
        </w:rPr>
        <w:t xml:space="preserve">KLASA: </w:t>
      </w:r>
      <w:r>
        <w:rPr>
          <w:lang w:eastAsia="en-US"/>
        </w:rPr>
        <w:tab/>
      </w:r>
    </w:p>
    <w:p w14:paraId="6EE79B00" w14:textId="31FD6354" w:rsidR="00182775" w:rsidRDefault="00182775" w:rsidP="00182775">
      <w:pPr>
        <w:jc w:val="both"/>
        <w:rPr>
          <w:lang w:eastAsia="en-US"/>
        </w:rPr>
      </w:pPr>
      <w:r w:rsidRPr="00374112">
        <w:rPr>
          <w:lang w:eastAsia="en-US"/>
        </w:rPr>
        <w:t xml:space="preserve">URBROJ: </w:t>
      </w:r>
      <w:r>
        <w:rPr>
          <w:lang w:eastAsia="en-US"/>
        </w:rPr>
        <w:tab/>
      </w:r>
    </w:p>
    <w:p w14:paraId="463237F9" w14:textId="77777777" w:rsidR="00182775" w:rsidRPr="00374112" w:rsidRDefault="00182775" w:rsidP="00182775">
      <w:pPr>
        <w:jc w:val="both"/>
        <w:rPr>
          <w:lang w:eastAsia="en-US"/>
        </w:rPr>
      </w:pPr>
    </w:p>
    <w:p w14:paraId="0F9A37BB" w14:textId="60D848A2" w:rsidR="00182775" w:rsidRDefault="00182775" w:rsidP="00182775">
      <w:pPr>
        <w:jc w:val="both"/>
        <w:rPr>
          <w:lang w:eastAsia="en-US"/>
        </w:rPr>
      </w:pPr>
      <w:r w:rsidRPr="00374112">
        <w:rPr>
          <w:lang w:eastAsia="en-US"/>
        </w:rPr>
        <w:t xml:space="preserve">Zagreb, </w:t>
      </w:r>
      <w:r>
        <w:rPr>
          <w:lang w:eastAsia="en-US"/>
        </w:rPr>
        <w:tab/>
      </w:r>
    </w:p>
    <w:p w14:paraId="2A58C678" w14:textId="77777777" w:rsidR="00182775" w:rsidRDefault="00182775" w:rsidP="00182775">
      <w:pPr>
        <w:jc w:val="both"/>
        <w:rPr>
          <w:lang w:eastAsia="en-US"/>
        </w:rPr>
      </w:pPr>
    </w:p>
    <w:p w14:paraId="2AC2B2A7" w14:textId="77777777" w:rsidR="00182775" w:rsidRDefault="00182775" w:rsidP="00182775">
      <w:pPr>
        <w:jc w:val="both"/>
        <w:rPr>
          <w:lang w:eastAsia="en-US"/>
        </w:rPr>
      </w:pPr>
    </w:p>
    <w:p w14:paraId="0A4C67F8" w14:textId="77777777" w:rsidR="00182775" w:rsidRDefault="00182775" w:rsidP="00182775">
      <w:pPr>
        <w:jc w:val="both"/>
        <w:rPr>
          <w:lang w:eastAsia="en-US"/>
        </w:rPr>
      </w:pPr>
    </w:p>
    <w:p w14:paraId="303D4A85" w14:textId="3282C888" w:rsidR="00182775" w:rsidRDefault="00182775" w:rsidP="00182775">
      <w:pPr>
        <w:jc w:val="both"/>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t xml:space="preserve">        </w:t>
      </w:r>
      <w:r>
        <w:rPr>
          <w:lang w:eastAsia="en-US"/>
        </w:rPr>
        <w:t xml:space="preserve">           </w:t>
      </w:r>
      <w:r>
        <w:rPr>
          <w:lang w:eastAsia="en-US"/>
        </w:rPr>
        <w:t xml:space="preserve"> PREDSJEDNIK</w:t>
      </w:r>
    </w:p>
    <w:p w14:paraId="3A609759" w14:textId="77777777" w:rsidR="00182775" w:rsidRDefault="00182775" w:rsidP="00182775">
      <w:pPr>
        <w:jc w:val="both"/>
        <w:rPr>
          <w:lang w:eastAsia="en-US"/>
        </w:rPr>
      </w:pPr>
    </w:p>
    <w:p w14:paraId="269B12AA" w14:textId="77777777" w:rsidR="00182775" w:rsidRDefault="00182775" w:rsidP="00182775">
      <w:pPr>
        <w:jc w:val="both"/>
        <w:rPr>
          <w:lang w:eastAsia="en-US"/>
        </w:rPr>
      </w:pPr>
    </w:p>
    <w:p w14:paraId="2627DBBA" w14:textId="5D9E640D" w:rsidR="00182775" w:rsidRDefault="00182775" w:rsidP="00182775">
      <w:pPr>
        <w:jc w:val="both"/>
        <w:rPr>
          <w:lang w:eastAsia="en-US"/>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 xml:space="preserve">               </w:t>
      </w:r>
      <w:r>
        <w:rPr>
          <w:lang w:eastAsia="en-US"/>
        </w:rPr>
        <w:t xml:space="preserve">   mr. </w:t>
      </w:r>
      <w:proofErr w:type="spellStart"/>
      <w:r>
        <w:rPr>
          <w:lang w:eastAsia="en-US"/>
        </w:rPr>
        <w:t>sc</w:t>
      </w:r>
      <w:proofErr w:type="spellEnd"/>
      <w:r>
        <w:rPr>
          <w:lang w:eastAsia="en-US"/>
        </w:rPr>
        <w:t>. Andrej Plenković</w:t>
      </w:r>
    </w:p>
    <w:p w14:paraId="62252B7C" w14:textId="77777777" w:rsidR="00182775" w:rsidRPr="00374112" w:rsidRDefault="00182775" w:rsidP="00182775">
      <w:pPr>
        <w:jc w:val="both"/>
        <w:rPr>
          <w:lang w:eastAsia="en-US"/>
        </w:rPr>
      </w:pPr>
    </w:p>
    <w:p w14:paraId="470227BC" w14:textId="77777777" w:rsidR="00182775" w:rsidRPr="00374112" w:rsidRDefault="00182775" w:rsidP="00182775">
      <w:pPr>
        <w:jc w:val="both"/>
        <w:rPr>
          <w:lang w:eastAsia="en-US"/>
        </w:rPr>
      </w:pPr>
    </w:p>
    <w:p w14:paraId="38BB4285" w14:textId="77777777" w:rsidR="00182775" w:rsidRPr="00374112" w:rsidRDefault="00182775" w:rsidP="00182775"/>
    <w:p w14:paraId="02F3BF63" w14:textId="77777777" w:rsidR="00182775" w:rsidRPr="00374112" w:rsidRDefault="00182775" w:rsidP="00182775"/>
    <w:p w14:paraId="5C01EEFD" w14:textId="77777777" w:rsidR="00182775" w:rsidRPr="00374112" w:rsidRDefault="00182775" w:rsidP="00182775"/>
    <w:p w14:paraId="513A3854" w14:textId="77777777" w:rsidR="00182775" w:rsidRPr="00374112" w:rsidRDefault="00182775" w:rsidP="00182775"/>
    <w:p w14:paraId="418FC5E2" w14:textId="77777777" w:rsidR="00182775" w:rsidRPr="00374112" w:rsidRDefault="00182775" w:rsidP="00182775"/>
    <w:p w14:paraId="43A74100" w14:textId="77777777" w:rsidR="00182775" w:rsidRPr="00374112" w:rsidRDefault="00182775" w:rsidP="00182775"/>
    <w:p w14:paraId="027564EF" w14:textId="77777777" w:rsidR="00182775" w:rsidRPr="00374112" w:rsidRDefault="00182775" w:rsidP="00182775">
      <w:pPr>
        <w:jc w:val="right"/>
      </w:pPr>
      <w:r w:rsidRPr="00374112">
        <w:t>PRILOG 1.</w:t>
      </w:r>
    </w:p>
    <w:p w14:paraId="6CADE6AF" w14:textId="77777777" w:rsidR="00182775" w:rsidRPr="00374112" w:rsidRDefault="00182775" w:rsidP="00182775">
      <w:pPr>
        <w:jc w:val="right"/>
      </w:pPr>
    </w:p>
    <w:p w14:paraId="6677BAD0" w14:textId="77777777" w:rsidR="00182775" w:rsidRPr="00374112" w:rsidRDefault="00182775" w:rsidP="00182775">
      <w:pPr>
        <w:jc w:val="right"/>
      </w:pPr>
    </w:p>
    <w:p w14:paraId="1A46BC6B" w14:textId="77777777" w:rsidR="00182775" w:rsidRPr="00374112" w:rsidRDefault="00182775" w:rsidP="00182775">
      <w:pPr>
        <w:jc w:val="right"/>
      </w:pPr>
    </w:p>
    <w:p w14:paraId="26B71C34" w14:textId="77777777" w:rsidR="00182775" w:rsidRPr="00374112" w:rsidRDefault="00182775" w:rsidP="00182775">
      <w:pPr>
        <w:jc w:val="center"/>
        <w:rPr>
          <w:b/>
          <w:bCs/>
        </w:rPr>
      </w:pPr>
      <w:r w:rsidRPr="00374112">
        <w:rPr>
          <w:b/>
          <w:bCs/>
        </w:rPr>
        <w:t>IZJAVA O NEPOSTOJANJU DVOSTRUKOG FINANCIRANJA</w:t>
      </w:r>
    </w:p>
    <w:p w14:paraId="59C1CDBB" w14:textId="77777777" w:rsidR="00182775" w:rsidRPr="00374112" w:rsidRDefault="00182775" w:rsidP="00182775">
      <w:pPr>
        <w:jc w:val="center"/>
        <w:rPr>
          <w:b/>
          <w:bCs/>
        </w:rPr>
      </w:pPr>
    </w:p>
    <w:p w14:paraId="7AFE6CC6" w14:textId="77777777" w:rsidR="00182775" w:rsidRPr="00374112" w:rsidRDefault="00182775" w:rsidP="00182775">
      <w:pPr>
        <w:rPr>
          <w:rFonts w:ascii="Calibri" w:eastAsia="PMingLiU" w:hAnsi="Calibri" w:cs="Arial"/>
          <w:lang w:eastAsia="zh-TW"/>
        </w:rPr>
      </w:pPr>
    </w:p>
    <w:p w14:paraId="0D9FF313" w14:textId="77777777" w:rsidR="00182775" w:rsidRPr="00374112" w:rsidRDefault="00182775" w:rsidP="00182775">
      <w:pPr>
        <w:rPr>
          <w:rFonts w:ascii="Calibri" w:eastAsia="PMingLiU" w:hAnsi="Calibri" w:cs="Arial"/>
          <w:lang w:eastAsia="zh-TW"/>
        </w:rPr>
      </w:pPr>
    </w:p>
    <w:p w14:paraId="4C3CDF37" w14:textId="77777777" w:rsidR="00182775" w:rsidRPr="00374112" w:rsidRDefault="00182775" w:rsidP="00182775">
      <w:pPr>
        <w:rPr>
          <w:rFonts w:eastAsia="PMingLiU"/>
          <w:b/>
          <w:lang w:eastAsia="zh-TW"/>
        </w:rPr>
      </w:pPr>
    </w:p>
    <w:p w14:paraId="564C2D7A" w14:textId="77777777" w:rsidR="00182775" w:rsidRPr="00374112" w:rsidRDefault="00182775" w:rsidP="00182775">
      <w:pPr>
        <w:rPr>
          <w:rFonts w:eastAsia="PMingLiU"/>
          <w:b/>
          <w:lang w:eastAsia="zh-TW"/>
        </w:rPr>
      </w:pPr>
    </w:p>
    <w:p w14:paraId="43797BC2" w14:textId="77777777" w:rsidR="00182775" w:rsidRPr="00374112" w:rsidRDefault="00182775" w:rsidP="00182775">
      <w:pPr>
        <w:jc w:val="center"/>
        <w:rPr>
          <w:rFonts w:eastAsia="PMingLiU"/>
          <w:b/>
          <w:lang w:eastAsia="zh-TW"/>
        </w:rPr>
      </w:pPr>
      <w:r w:rsidRPr="00374112">
        <w:rPr>
          <w:rFonts w:eastAsia="PMingLiU"/>
          <w:b/>
          <w:lang w:eastAsia="zh-TW"/>
        </w:rPr>
        <w:t>_________________________________________________________________________</w:t>
      </w:r>
    </w:p>
    <w:p w14:paraId="268DA489" w14:textId="77777777" w:rsidR="00182775" w:rsidRPr="00374112" w:rsidRDefault="00182775" w:rsidP="00182775">
      <w:pPr>
        <w:jc w:val="center"/>
        <w:rPr>
          <w:rFonts w:eastAsia="PMingLiU"/>
          <w:lang w:eastAsia="zh-TW"/>
        </w:rPr>
      </w:pPr>
      <w:r w:rsidRPr="00374112">
        <w:rPr>
          <w:rFonts w:eastAsia="PMingLiU"/>
          <w:lang w:eastAsia="zh-TW"/>
        </w:rPr>
        <w:t xml:space="preserve">(naziv </w:t>
      </w:r>
      <w:r w:rsidRPr="00AA2871">
        <w:rPr>
          <w:rFonts w:eastAsia="PMingLiU"/>
          <w:lang w:eastAsia="zh-TW"/>
        </w:rPr>
        <w:t>podnositelja zahtjeva</w:t>
      </w:r>
      <w:r w:rsidRPr="00374112">
        <w:rPr>
          <w:rFonts w:eastAsia="PMingLiU"/>
          <w:lang w:eastAsia="zh-TW"/>
        </w:rPr>
        <w:t>, sjedište, OIB)</w:t>
      </w:r>
    </w:p>
    <w:p w14:paraId="22EDD431" w14:textId="77777777" w:rsidR="00182775" w:rsidRPr="00374112" w:rsidRDefault="00182775" w:rsidP="00182775">
      <w:pPr>
        <w:jc w:val="center"/>
        <w:rPr>
          <w:rFonts w:eastAsia="PMingLiU"/>
          <w:lang w:eastAsia="zh-TW"/>
        </w:rPr>
      </w:pPr>
    </w:p>
    <w:p w14:paraId="18F22D07" w14:textId="77777777" w:rsidR="00182775" w:rsidRPr="00374112" w:rsidRDefault="00182775" w:rsidP="00182775">
      <w:pPr>
        <w:rPr>
          <w:rFonts w:eastAsia="PMingLiU"/>
          <w:b/>
          <w:lang w:eastAsia="zh-TW"/>
        </w:rPr>
      </w:pPr>
    </w:p>
    <w:p w14:paraId="1DB61520" w14:textId="77777777" w:rsidR="00182775" w:rsidRPr="00374112" w:rsidRDefault="00182775" w:rsidP="00182775">
      <w:pPr>
        <w:jc w:val="both"/>
        <w:rPr>
          <w:rFonts w:eastAsia="PMingLiU"/>
          <w:bCs/>
          <w:lang w:eastAsia="zh-TW"/>
        </w:rPr>
      </w:pPr>
      <w:r w:rsidRPr="00374112">
        <w:rPr>
          <w:rFonts w:eastAsia="PMingLiU"/>
          <w:bCs/>
          <w:lang w:eastAsia="zh-TW"/>
        </w:rPr>
        <w:t xml:space="preserve">Pod kaznenom i materijalnom odgovornošću izjavljujem da poštujem načelo </w:t>
      </w:r>
      <w:proofErr w:type="spellStart"/>
      <w:r w:rsidRPr="00374112">
        <w:rPr>
          <w:rFonts w:eastAsia="PMingLiU"/>
          <w:bCs/>
          <w:lang w:eastAsia="zh-TW"/>
        </w:rPr>
        <w:t>nekumulativnosti</w:t>
      </w:r>
      <w:proofErr w:type="spellEnd"/>
      <w:r w:rsidRPr="00374112">
        <w:rPr>
          <w:rFonts w:eastAsia="PMingLiU"/>
          <w:bCs/>
          <w:lang w:eastAsia="zh-TW"/>
        </w:rPr>
        <w:t xml:space="preserve"> i da:</w:t>
      </w:r>
    </w:p>
    <w:p w14:paraId="6D552D36" w14:textId="77777777" w:rsidR="00182775" w:rsidRPr="00374112" w:rsidRDefault="00182775" w:rsidP="00182775">
      <w:pPr>
        <w:jc w:val="both"/>
        <w:rPr>
          <w:rFonts w:eastAsia="PMingLiU"/>
          <w:b/>
          <w:lang w:eastAsia="zh-TW"/>
        </w:rPr>
      </w:pPr>
    </w:p>
    <w:p w14:paraId="77B4607B" w14:textId="77777777" w:rsidR="00182775" w:rsidRPr="00374112" w:rsidRDefault="00182775" w:rsidP="00182775">
      <w:pPr>
        <w:numPr>
          <w:ilvl w:val="0"/>
          <w:numId w:val="1"/>
        </w:numPr>
        <w:jc w:val="both"/>
        <w:rPr>
          <w:rFonts w:eastAsia="PMingLiU"/>
          <w:bCs/>
          <w:lang w:eastAsia="zh-TW"/>
        </w:rPr>
      </w:pPr>
      <w:r w:rsidRPr="00374112">
        <w:rPr>
          <w:rFonts w:eastAsia="PMingLiU"/>
          <w:bCs/>
          <w:lang w:eastAsia="zh-TW"/>
        </w:rPr>
        <w:t xml:space="preserve">ne postoji dvostruko financiranje te se troškovi dizel goriva koji su predmet </w:t>
      </w:r>
      <w:r w:rsidRPr="00AA2871">
        <w:rPr>
          <w:rFonts w:eastAsia="PMingLiU"/>
          <w:bCs/>
          <w:lang w:eastAsia="zh-TW"/>
        </w:rPr>
        <w:t xml:space="preserve">ovog zahtjeva </w:t>
      </w:r>
      <w:r w:rsidRPr="00374112">
        <w:rPr>
          <w:rFonts w:eastAsia="PMingLiU"/>
          <w:bCs/>
          <w:lang w:eastAsia="zh-TW"/>
        </w:rPr>
        <w:t xml:space="preserve">ne financiraju iz drugih programa i projekata koje </w:t>
      </w:r>
      <w:r w:rsidRPr="00AA2871">
        <w:rPr>
          <w:rFonts w:eastAsia="PMingLiU"/>
          <w:bCs/>
          <w:lang w:eastAsia="zh-TW"/>
        </w:rPr>
        <w:t xml:space="preserve">podnositelj zahtjeva </w:t>
      </w:r>
      <w:r w:rsidRPr="00374112">
        <w:rPr>
          <w:rFonts w:eastAsia="PMingLiU"/>
          <w:bCs/>
          <w:lang w:eastAsia="zh-TW"/>
        </w:rPr>
        <w:t>provodi u istom razdoblju, a osobito provedbe izvršenja javne usluge u cestovnom prijevozu putnika.</w:t>
      </w:r>
    </w:p>
    <w:p w14:paraId="5DE6563A" w14:textId="77777777" w:rsidR="00182775" w:rsidRPr="00374112" w:rsidRDefault="00182775" w:rsidP="00182775">
      <w:pPr>
        <w:jc w:val="both"/>
        <w:rPr>
          <w:rFonts w:eastAsia="PMingLiU"/>
          <w:b/>
          <w:lang w:eastAsia="zh-TW"/>
        </w:rPr>
      </w:pPr>
    </w:p>
    <w:p w14:paraId="6886DF89" w14:textId="77777777" w:rsidR="00182775" w:rsidRPr="00374112" w:rsidRDefault="00182775" w:rsidP="00182775">
      <w:pPr>
        <w:jc w:val="both"/>
        <w:rPr>
          <w:rFonts w:eastAsia="PMingLiU"/>
          <w:b/>
          <w:lang w:eastAsia="zh-TW"/>
        </w:rPr>
      </w:pPr>
    </w:p>
    <w:p w14:paraId="193A7D43" w14:textId="77777777" w:rsidR="00182775" w:rsidRPr="00374112" w:rsidRDefault="00182775" w:rsidP="00182775">
      <w:pPr>
        <w:rPr>
          <w:rFonts w:eastAsia="PMingLiU"/>
          <w:b/>
          <w:lang w:eastAsia="zh-TW"/>
        </w:rPr>
      </w:pPr>
    </w:p>
    <w:p w14:paraId="73E43BCB" w14:textId="77777777" w:rsidR="00182775" w:rsidRPr="00374112" w:rsidRDefault="00182775" w:rsidP="00182775">
      <w:pPr>
        <w:jc w:val="both"/>
        <w:rPr>
          <w:rFonts w:eastAsia="PMingLiU"/>
          <w:b/>
          <w:lang w:eastAsia="zh-TW"/>
        </w:rPr>
      </w:pPr>
    </w:p>
    <w:p w14:paraId="15D6CD64" w14:textId="77777777" w:rsidR="00182775" w:rsidRPr="00374112" w:rsidRDefault="00182775" w:rsidP="00182775">
      <w:pPr>
        <w:widowControl w:val="0"/>
        <w:suppressAutoHyphens/>
        <w:rPr>
          <w:rFonts w:eastAsia="Arial Unicode MS"/>
        </w:rPr>
      </w:pPr>
    </w:p>
    <w:tbl>
      <w:tblPr>
        <w:tblpPr w:leftFromText="180" w:rightFromText="180" w:vertAnchor="text" w:horzAnchor="margin" w:tblpY="55"/>
        <w:tblW w:w="9630" w:type="dxa"/>
        <w:tblLayout w:type="fixed"/>
        <w:tblCellMar>
          <w:left w:w="0" w:type="dxa"/>
          <w:right w:w="0" w:type="dxa"/>
        </w:tblCellMar>
        <w:tblLook w:val="0000" w:firstRow="0" w:lastRow="0" w:firstColumn="0" w:lastColumn="0" w:noHBand="0" w:noVBand="0"/>
      </w:tblPr>
      <w:tblGrid>
        <w:gridCol w:w="1443"/>
        <w:gridCol w:w="2376"/>
        <w:gridCol w:w="2409"/>
        <w:gridCol w:w="3402"/>
      </w:tblGrid>
      <w:tr w:rsidR="00182775" w:rsidRPr="00374112" w14:paraId="1BBA506D" w14:textId="77777777" w:rsidTr="008A4CEE">
        <w:trPr>
          <w:trHeight w:val="269"/>
        </w:trPr>
        <w:tc>
          <w:tcPr>
            <w:tcW w:w="1443" w:type="dxa"/>
            <w:tcMar>
              <w:right w:w="57" w:type="dxa"/>
            </w:tcMar>
            <w:vAlign w:val="center"/>
          </w:tcPr>
          <w:p w14:paraId="6C922581" w14:textId="77777777" w:rsidR="00182775" w:rsidRPr="00374112" w:rsidRDefault="00182775" w:rsidP="008A4CEE">
            <w:pPr>
              <w:snapToGrid w:val="0"/>
              <w:rPr>
                <w:b/>
                <w:bCs/>
              </w:rPr>
            </w:pPr>
          </w:p>
        </w:tc>
        <w:tc>
          <w:tcPr>
            <w:tcW w:w="2376" w:type="dxa"/>
            <w:tcBorders>
              <w:bottom w:val="single" w:sz="4" w:space="0" w:color="000000"/>
            </w:tcBorders>
            <w:tcMar>
              <w:bottom w:w="28" w:type="dxa"/>
              <w:right w:w="57" w:type="dxa"/>
            </w:tcMar>
            <w:vAlign w:val="center"/>
          </w:tcPr>
          <w:p w14:paraId="3DB5BE33" w14:textId="77777777" w:rsidR="00182775" w:rsidRPr="00374112" w:rsidRDefault="00182775" w:rsidP="008A4CEE">
            <w:pPr>
              <w:snapToGrid w:val="0"/>
              <w:rPr>
                <w:b/>
                <w:bCs/>
              </w:rPr>
            </w:pPr>
          </w:p>
        </w:tc>
        <w:tc>
          <w:tcPr>
            <w:tcW w:w="2409" w:type="dxa"/>
            <w:tcMar>
              <w:bottom w:w="28" w:type="dxa"/>
              <w:right w:w="57" w:type="dxa"/>
            </w:tcMar>
            <w:vAlign w:val="center"/>
          </w:tcPr>
          <w:p w14:paraId="004E7995" w14:textId="77777777" w:rsidR="00182775" w:rsidRPr="00374112" w:rsidRDefault="00182775" w:rsidP="008A4CEE">
            <w:pPr>
              <w:snapToGrid w:val="0"/>
              <w:jc w:val="center"/>
              <w:rPr>
                <w:b/>
                <w:bCs/>
              </w:rPr>
            </w:pPr>
          </w:p>
        </w:tc>
        <w:tc>
          <w:tcPr>
            <w:tcW w:w="3402" w:type="dxa"/>
            <w:tcBorders>
              <w:bottom w:val="single" w:sz="4" w:space="0" w:color="000000"/>
            </w:tcBorders>
            <w:vAlign w:val="center"/>
          </w:tcPr>
          <w:p w14:paraId="5D9AEE71" w14:textId="77777777" w:rsidR="00182775" w:rsidRPr="00374112" w:rsidRDefault="00182775" w:rsidP="008A4CEE">
            <w:pPr>
              <w:snapToGrid w:val="0"/>
              <w:rPr>
                <w:b/>
                <w:bCs/>
              </w:rPr>
            </w:pPr>
          </w:p>
        </w:tc>
      </w:tr>
      <w:tr w:rsidR="00182775" w:rsidRPr="00374112" w14:paraId="180A4D0A" w14:textId="77777777" w:rsidTr="008A4CEE">
        <w:trPr>
          <w:trHeight w:val="397"/>
        </w:trPr>
        <w:tc>
          <w:tcPr>
            <w:tcW w:w="1443" w:type="dxa"/>
          </w:tcPr>
          <w:p w14:paraId="55AC329F" w14:textId="77777777" w:rsidR="00182775" w:rsidRPr="00374112" w:rsidRDefault="00182775" w:rsidP="008A4CEE">
            <w:pPr>
              <w:snapToGrid w:val="0"/>
            </w:pPr>
          </w:p>
        </w:tc>
        <w:tc>
          <w:tcPr>
            <w:tcW w:w="2376" w:type="dxa"/>
          </w:tcPr>
          <w:p w14:paraId="4A1EF379" w14:textId="77777777" w:rsidR="00182775" w:rsidRPr="00374112" w:rsidRDefault="00182775" w:rsidP="008A4CEE">
            <w:pPr>
              <w:snapToGrid w:val="0"/>
            </w:pPr>
            <w:r w:rsidRPr="00374112">
              <w:t>Mjesto i datum:</w:t>
            </w:r>
          </w:p>
        </w:tc>
        <w:tc>
          <w:tcPr>
            <w:tcW w:w="2409" w:type="dxa"/>
          </w:tcPr>
          <w:p w14:paraId="206F5083" w14:textId="77777777" w:rsidR="00182775" w:rsidRPr="00374112" w:rsidRDefault="00182775" w:rsidP="008A4CEE">
            <w:pPr>
              <w:snapToGrid w:val="0"/>
            </w:pPr>
          </w:p>
        </w:tc>
        <w:tc>
          <w:tcPr>
            <w:tcW w:w="3402" w:type="dxa"/>
          </w:tcPr>
          <w:p w14:paraId="6970661D" w14:textId="77777777" w:rsidR="00182775" w:rsidRPr="00374112" w:rsidRDefault="00182775" w:rsidP="008A4CEE">
            <w:pPr>
              <w:snapToGrid w:val="0"/>
              <w:jc w:val="center"/>
            </w:pPr>
            <w:r w:rsidRPr="00374112">
              <w:t>Potpis i pečat podnositelja/</w:t>
            </w:r>
            <w:proofErr w:type="spellStart"/>
            <w:r w:rsidRPr="00374112">
              <w:t>ice</w:t>
            </w:r>
            <w:proofErr w:type="spellEnd"/>
            <w:r w:rsidRPr="00374112">
              <w:t xml:space="preserve"> zahtjeva:</w:t>
            </w:r>
          </w:p>
        </w:tc>
      </w:tr>
    </w:tbl>
    <w:p w14:paraId="5E3A3EB0" w14:textId="77777777" w:rsidR="00182775" w:rsidRPr="00374112" w:rsidRDefault="00182775" w:rsidP="00182775">
      <w:pPr>
        <w:rPr>
          <w:b/>
          <w:bCs/>
        </w:rPr>
      </w:pPr>
    </w:p>
    <w:p w14:paraId="7B83DFC5" w14:textId="77777777" w:rsidR="00182775" w:rsidRPr="00374112" w:rsidRDefault="00182775" w:rsidP="00182775"/>
    <w:p w14:paraId="0D2C6FBF" w14:textId="77777777" w:rsidR="00182775" w:rsidRPr="00374112" w:rsidRDefault="00182775" w:rsidP="00182775"/>
    <w:p w14:paraId="0ECBC295" w14:textId="39F4794A" w:rsidR="007755DF" w:rsidRDefault="007755DF" w:rsidP="0039208B">
      <w:pPr>
        <w:suppressAutoHyphens/>
        <w:jc w:val="center"/>
        <w:rPr>
          <w:b/>
          <w:bCs/>
          <w:color w:val="FF0000"/>
        </w:rPr>
      </w:pPr>
    </w:p>
    <w:p w14:paraId="72DDD755" w14:textId="439AD4B6" w:rsidR="007755DF" w:rsidRDefault="007755DF" w:rsidP="0039208B">
      <w:pPr>
        <w:suppressAutoHyphens/>
        <w:jc w:val="center"/>
        <w:rPr>
          <w:b/>
          <w:bCs/>
          <w:color w:val="FF0000"/>
        </w:rPr>
      </w:pPr>
    </w:p>
    <w:p w14:paraId="25DF1546" w14:textId="7A3FD905" w:rsidR="007755DF" w:rsidRDefault="007755DF" w:rsidP="0039208B">
      <w:pPr>
        <w:suppressAutoHyphens/>
        <w:jc w:val="center"/>
        <w:rPr>
          <w:b/>
          <w:bCs/>
          <w:color w:val="FF0000"/>
        </w:rPr>
      </w:pPr>
    </w:p>
    <w:p w14:paraId="7E7596AA" w14:textId="0021EFB9" w:rsidR="007755DF" w:rsidRDefault="007755DF" w:rsidP="0039208B">
      <w:pPr>
        <w:suppressAutoHyphens/>
        <w:jc w:val="center"/>
        <w:rPr>
          <w:b/>
          <w:bCs/>
          <w:color w:val="FF0000"/>
        </w:rPr>
      </w:pPr>
    </w:p>
    <w:p w14:paraId="30F63857" w14:textId="70DC3AEB" w:rsidR="007755DF" w:rsidRDefault="007755DF" w:rsidP="0039208B">
      <w:pPr>
        <w:suppressAutoHyphens/>
        <w:jc w:val="center"/>
        <w:rPr>
          <w:b/>
          <w:bCs/>
          <w:color w:val="FF0000"/>
        </w:rPr>
      </w:pPr>
    </w:p>
    <w:p w14:paraId="4BCD4561" w14:textId="1CEB6565" w:rsidR="007755DF" w:rsidRDefault="007755DF" w:rsidP="0039208B">
      <w:pPr>
        <w:suppressAutoHyphens/>
        <w:jc w:val="center"/>
        <w:rPr>
          <w:b/>
          <w:bCs/>
          <w:color w:val="FF0000"/>
        </w:rPr>
      </w:pPr>
    </w:p>
    <w:p w14:paraId="0D9D8E4A" w14:textId="70686201" w:rsidR="007755DF" w:rsidRDefault="007755DF" w:rsidP="0039208B">
      <w:pPr>
        <w:suppressAutoHyphens/>
        <w:jc w:val="center"/>
        <w:rPr>
          <w:b/>
          <w:bCs/>
          <w:color w:val="FF0000"/>
        </w:rPr>
      </w:pPr>
    </w:p>
    <w:p w14:paraId="6F84B83F" w14:textId="519D3AB4" w:rsidR="007755DF" w:rsidRDefault="007755DF" w:rsidP="0039208B">
      <w:pPr>
        <w:suppressAutoHyphens/>
        <w:jc w:val="center"/>
        <w:rPr>
          <w:b/>
          <w:bCs/>
          <w:color w:val="FF0000"/>
        </w:rPr>
      </w:pPr>
    </w:p>
    <w:p w14:paraId="17E1E1F0" w14:textId="4FA55FCC" w:rsidR="007755DF" w:rsidRDefault="007755DF" w:rsidP="0039208B">
      <w:pPr>
        <w:suppressAutoHyphens/>
        <w:jc w:val="center"/>
        <w:rPr>
          <w:b/>
          <w:bCs/>
          <w:color w:val="FF0000"/>
        </w:rPr>
      </w:pPr>
    </w:p>
    <w:p w14:paraId="1658E403" w14:textId="6B3004D4" w:rsidR="007755DF" w:rsidRDefault="007755DF" w:rsidP="0039208B">
      <w:pPr>
        <w:suppressAutoHyphens/>
        <w:jc w:val="center"/>
        <w:rPr>
          <w:b/>
          <w:bCs/>
          <w:color w:val="FF0000"/>
        </w:rPr>
      </w:pPr>
    </w:p>
    <w:p w14:paraId="2C362CA2" w14:textId="355B00D1" w:rsidR="007755DF" w:rsidRDefault="007755DF" w:rsidP="0039208B">
      <w:pPr>
        <w:suppressAutoHyphens/>
        <w:jc w:val="center"/>
        <w:rPr>
          <w:b/>
          <w:bCs/>
          <w:color w:val="FF0000"/>
        </w:rPr>
      </w:pPr>
    </w:p>
    <w:p w14:paraId="7F3B3414" w14:textId="1D49E186" w:rsidR="007755DF" w:rsidRDefault="007755DF" w:rsidP="0039208B">
      <w:pPr>
        <w:suppressAutoHyphens/>
        <w:jc w:val="center"/>
        <w:rPr>
          <w:b/>
          <w:bCs/>
          <w:color w:val="FF0000"/>
        </w:rPr>
      </w:pPr>
    </w:p>
    <w:p w14:paraId="365D87B4" w14:textId="3D2BDCCE" w:rsidR="007755DF" w:rsidRDefault="007755DF" w:rsidP="0039208B">
      <w:pPr>
        <w:suppressAutoHyphens/>
        <w:jc w:val="center"/>
        <w:rPr>
          <w:b/>
          <w:bCs/>
          <w:color w:val="FF0000"/>
        </w:rPr>
      </w:pPr>
    </w:p>
    <w:p w14:paraId="56C2B190" w14:textId="0622BC48" w:rsidR="007755DF" w:rsidRDefault="007755DF" w:rsidP="0039208B">
      <w:pPr>
        <w:suppressAutoHyphens/>
        <w:jc w:val="center"/>
        <w:rPr>
          <w:b/>
          <w:bCs/>
          <w:color w:val="FF0000"/>
        </w:rPr>
      </w:pPr>
    </w:p>
    <w:p w14:paraId="7D9DB6E6" w14:textId="267E7DDB" w:rsidR="007755DF" w:rsidRDefault="007755DF" w:rsidP="0039208B">
      <w:pPr>
        <w:suppressAutoHyphens/>
        <w:jc w:val="center"/>
        <w:rPr>
          <w:b/>
          <w:bCs/>
          <w:color w:val="FF0000"/>
        </w:rPr>
      </w:pPr>
    </w:p>
    <w:p w14:paraId="5DAF0E67" w14:textId="1FC86913" w:rsidR="007755DF" w:rsidRDefault="007755DF" w:rsidP="0039208B">
      <w:pPr>
        <w:suppressAutoHyphens/>
        <w:jc w:val="center"/>
        <w:rPr>
          <w:b/>
          <w:bCs/>
          <w:color w:val="FF0000"/>
        </w:rPr>
      </w:pPr>
    </w:p>
    <w:p w14:paraId="6673C7B4" w14:textId="02C14160" w:rsidR="007755DF" w:rsidRDefault="007755DF" w:rsidP="0039208B">
      <w:pPr>
        <w:suppressAutoHyphens/>
        <w:jc w:val="center"/>
        <w:rPr>
          <w:b/>
          <w:bCs/>
          <w:color w:val="FF0000"/>
        </w:rPr>
      </w:pPr>
    </w:p>
    <w:p w14:paraId="4AF5B274" w14:textId="4ECBD6EC" w:rsidR="007755DF" w:rsidRDefault="007755DF" w:rsidP="0039208B">
      <w:pPr>
        <w:suppressAutoHyphens/>
        <w:jc w:val="center"/>
        <w:rPr>
          <w:b/>
          <w:bCs/>
          <w:color w:val="FF0000"/>
        </w:rPr>
      </w:pPr>
    </w:p>
    <w:p w14:paraId="7D00F0D9" w14:textId="2824C239" w:rsidR="007755DF" w:rsidRDefault="007755DF" w:rsidP="0039208B">
      <w:pPr>
        <w:suppressAutoHyphens/>
        <w:jc w:val="center"/>
        <w:rPr>
          <w:b/>
          <w:bCs/>
          <w:color w:val="FF0000"/>
        </w:rPr>
      </w:pPr>
    </w:p>
    <w:p w14:paraId="16453B73" w14:textId="790655A2" w:rsidR="007755DF" w:rsidRDefault="007755DF" w:rsidP="0039208B">
      <w:pPr>
        <w:suppressAutoHyphens/>
        <w:jc w:val="center"/>
        <w:rPr>
          <w:b/>
          <w:bCs/>
          <w:color w:val="FF0000"/>
        </w:rPr>
      </w:pPr>
      <w:bookmarkStart w:id="1" w:name="_GoBack"/>
      <w:bookmarkEnd w:id="1"/>
    </w:p>
    <w:p w14:paraId="03102429" w14:textId="77777777" w:rsidR="007755DF" w:rsidRPr="0039208B" w:rsidRDefault="007755DF" w:rsidP="0039208B">
      <w:pPr>
        <w:suppressAutoHyphens/>
        <w:jc w:val="center"/>
        <w:rPr>
          <w:b/>
          <w:bCs/>
          <w:color w:val="FF0000"/>
        </w:rPr>
      </w:pPr>
    </w:p>
    <w:p w14:paraId="30A7582A" w14:textId="77777777" w:rsidR="0039208B" w:rsidRPr="0039208B" w:rsidRDefault="0039208B" w:rsidP="0039208B">
      <w:pPr>
        <w:suppressAutoHyphens/>
        <w:jc w:val="center"/>
        <w:rPr>
          <w:b/>
          <w:bCs/>
          <w:color w:val="000000"/>
        </w:rPr>
      </w:pPr>
    </w:p>
    <w:p w14:paraId="1EEE12C3" w14:textId="77777777" w:rsidR="0039208B" w:rsidRPr="0039208B" w:rsidRDefault="0039208B" w:rsidP="0039208B">
      <w:pPr>
        <w:suppressAutoHyphens/>
        <w:jc w:val="center"/>
        <w:rPr>
          <w:b/>
          <w:bCs/>
          <w:color w:val="000000"/>
        </w:rPr>
      </w:pPr>
      <w:r w:rsidRPr="0039208B">
        <w:rPr>
          <w:b/>
          <w:bCs/>
          <w:color w:val="000000"/>
        </w:rPr>
        <w:t>OBRAZLOŽENJE</w:t>
      </w:r>
    </w:p>
    <w:p w14:paraId="2E5279FD" w14:textId="77777777" w:rsidR="0039208B" w:rsidRPr="0039208B" w:rsidRDefault="0039208B" w:rsidP="0039208B">
      <w:pPr>
        <w:suppressAutoHyphens/>
        <w:jc w:val="both"/>
        <w:rPr>
          <w:bCs/>
          <w:color w:val="000000"/>
        </w:rPr>
      </w:pPr>
    </w:p>
    <w:p w14:paraId="2D1EACC3" w14:textId="77777777" w:rsidR="0039208B" w:rsidRPr="0039208B" w:rsidRDefault="0039208B" w:rsidP="0039208B">
      <w:pPr>
        <w:suppressAutoHyphens/>
        <w:jc w:val="both"/>
        <w:rPr>
          <w:bCs/>
          <w:color w:val="000000"/>
        </w:rPr>
      </w:pPr>
      <w:r w:rsidRPr="0039208B">
        <w:rPr>
          <w:bCs/>
          <w:color w:val="000000"/>
        </w:rPr>
        <w:t xml:space="preserve">Trošak dizelskog goriva predstavlja najznačajniji varijabilni trošak u strukturi cijene komercijalnog cestovnog prijevoza putnika. Stoga se porast cijena dizelskog goriva neizbježno odražava i na porast cijena komercijalnog prijevoza. Jedna od mogućnosti za ublažavanje porasta cijena koje plaćaju građani za korištenje usluga komercijalnog prijevoza je subvencioniranje značajnijih troškova prijevoznika. S obzirom na to da analize pokazuju da trošak dizelskog goriva u ukupnim troškovima prijevoznika sudjeluje između 30 i 35%, smanjenje tih troškova omogućilo bi prijevoznicima da ne povećavaju cijene usluga komercijalnog prijevoza. Predloženi iznos subvencije u iznosu od 0,16 EUR predstavlja smanjenje od 11.4 % u odnosu na trenutno propisanu maksimalnu cijenu </w:t>
      </w:r>
      <w:proofErr w:type="spellStart"/>
      <w:r w:rsidRPr="0039208B">
        <w:rPr>
          <w:bCs/>
          <w:color w:val="000000"/>
        </w:rPr>
        <w:t>eurodizela</w:t>
      </w:r>
      <w:proofErr w:type="spellEnd"/>
      <w:r w:rsidRPr="0039208B">
        <w:rPr>
          <w:bCs/>
          <w:color w:val="000000"/>
        </w:rPr>
        <w:t>, čime se ukupni troškovi prijevoznika smanjuju za približno 3,7%.</w:t>
      </w:r>
    </w:p>
    <w:p w14:paraId="0CD6841E" w14:textId="77777777" w:rsidR="0039208B" w:rsidRPr="0039208B" w:rsidRDefault="0039208B" w:rsidP="0039208B">
      <w:pPr>
        <w:suppressAutoHyphens/>
        <w:jc w:val="both"/>
        <w:rPr>
          <w:bCs/>
        </w:rPr>
      </w:pPr>
    </w:p>
    <w:p w14:paraId="1C972D1F" w14:textId="77777777" w:rsidR="0039208B" w:rsidRPr="0039208B" w:rsidRDefault="0039208B" w:rsidP="0039208B">
      <w:pPr>
        <w:suppressAutoHyphens/>
        <w:jc w:val="both"/>
        <w:rPr>
          <w:bCs/>
          <w:color w:val="000000"/>
        </w:rPr>
      </w:pPr>
      <w:r w:rsidRPr="0039208B">
        <w:rPr>
          <w:bCs/>
        </w:rPr>
        <w:t>Slijedom navedenog, ov</w:t>
      </w:r>
      <w:r w:rsidRPr="0039208B">
        <w:rPr>
          <w:bCs/>
          <w:color w:val="000000"/>
        </w:rPr>
        <w:t>om Uredbom, s ciljem podrške i pomoći prijevoznicima u očuvanju stabilnosti komercijalnog cestovnog prijevoza putnika, predlaže se nadoknada dijela troškova dizelskog goriva koje se koristi kao pogonsko gorivo u komercijalnom prijevozu putnika.</w:t>
      </w:r>
    </w:p>
    <w:p w14:paraId="6EAAB6E8" w14:textId="77777777" w:rsidR="0039208B" w:rsidRPr="0039208B" w:rsidRDefault="0039208B" w:rsidP="0039208B">
      <w:pPr>
        <w:suppressAutoHyphens/>
        <w:jc w:val="both"/>
        <w:rPr>
          <w:bCs/>
          <w:color w:val="000000"/>
        </w:rPr>
      </w:pPr>
    </w:p>
    <w:p w14:paraId="2637C869" w14:textId="77777777" w:rsidR="0039208B" w:rsidRPr="0039208B" w:rsidRDefault="0039208B" w:rsidP="0039208B">
      <w:pPr>
        <w:suppressAutoHyphens/>
        <w:jc w:val="both"/>
        <w:rPr>
          <w:bCs/>
          <w:color w:val="000000"/>
        </w:rPr>
      </w:pPr>
      <w:r w:rsidRPr="0039208B">
        <w:rPr>
          <w:bCs/>
          <w:color w:val="000000"/>
        </w:rPr>
        <w:t>Pravo na nadoknadu imaju osobe koje obavljaju komercijalni prijevoz putnika koje su na temelju odredbi Pravilnika o ostvarivanju prava na povrat dijela plaćene trošarine za dizelsko gorivo u komercijalnom prijevozu robe i putnika („Narodne novine“, br. 12/2019) rješenjem Ministarstva financija – Carinske uprave ostvarile pravo na povrat dijela trošarine za razdoblje od 01. travnja 2026. godine do 31. ožujka 2027. godine i koje podnesu pisni zahtjev za nadoknadu. O podnesenom zahtjevu Ministarstvo mora, prometa i infrastrukture odlučuje rješenjem.</w:t>
      </w:r>
    </w:p>
    <w:p w14:paraId="45102DCD" w14:textId="77777777" w:rsidR="0039208B" w:rsidRPr="0039208B" w:rsidRDefault="0039208B" w:rsidP="0039208B">
      <w:pPr>
        <w:suppressAutoHyphens/>
        <w:jc w:val="both"/>
        <w:rPr>
          <w:bCs/>
          <w:color w:val="000000"/>
        </w:rPr>
      </w:pPr>
    </w:p>
    <w:p w14:paraId="18B9DA28" w14:textId="77777777" w:rsidR="0039208B" w:rsidRPr="0039208B" w:rsidRDefault="0039208B" w:rsidP="0039208B">
      <w:pPr>
        <w:suppressAutoHyphens/>
        <w:jc w:val="both"/>
        <w:rPr>
          <w:bCs/>
          <w:color w:val="000000"/>
        </w:rPr>
      </w:pPr>
      <w:r w:rsidRPr="0039208B">
        <w:rPr>
          <w:bCs/>
        </w:rPr>
        <w:t>U</w:t>
      </w:r>
      <w:r w:rsidRPr="0039208B">
        <w:rPr>
          <w:bCs/>
          <w:color w:val="000000"/>
        </w:rPr>
        <w:t xml:space="preserve"> skladu s Financijskog uredbom čl. 191 st. 3. propisano je da se isti troškovi ni u kakvim okolnostima ne smiju dvaput financirati iz proračuna, stoga prijevoznici koji imaju sklopljene ugovore o javnim uslugama, smiju zahtijevati nadoknadu troškova za dizel gorivo samo kroz jedan oblik sufinanciranja iz državnog proračuna.</w:t>
      </w:r>
    </w:p>
    <w:p w14:paraId="2CF2EB5A" w14:textId="77777777" w:rsidR="0039208B" w:rsidRPr="0039208B" w:rsidRDefault="0039208B" w:rsidP="0039208B">
      <w:pPr>
        <w:suppressAutoHyphens/>
        <w:jc w:val="both"/>
        <w:rPr>
          <w:bCs/>
          <w:color w:val="000000"/>
        </w:rPr>
      </w:pPr>
    </w:p>
    <w:p w14:paraId="7E3BA5B9" w14:textId="77777777" w:rsidR="0039208B" w:rsidRPr="0039208B" w:rsidRDefault="0039208B" w:rsidP="0039208B">
      <w:pPr>
        <w:suppressAutoHyphens/>
        <w:jc w:val="both"/>
        <w:rPr>
          <w:bCs/>
          <w:color w:val="000000"/>
        </w:rPr>
      </w:pPr>
      <w:r w:rsidRPr="0039208B">
        <w:rPr>
          <w:bCs/>
          <w:color w:val="000000"/>
        </w:rPr>
        <w:t>S obzirom da se ovom Uredbom uređuje provedba mjera pomoći prijevoznicima kao dio paketa pomoći Vlade Republike Hrvatske poduzetnicima pogođenim energetskom krizom, bilo je potrebno odrediti da ista stupa na snagu prvog dana od dana objave u „Narodnim novinama“.</w:t>
      </w:r>
    </w:p>
    <w:p w14:paraId="515195BA" w14:textId="77777777" w:rsidR="0039208B" w:rsidRPr="0039208B" w:rsidRDefault="0039208B" w:rsidP="0039208B">
      <w:pPr>
        <w:suppressAutoHyphens/>
        <w:jc w:val="center"/>
        <w:rPr>
          <w:b/>
          <w:bCs/>
          <w:color w:val="FF0000"/>
        </w:rPr>
      </w:pPr>
    </w:p>
    <w:p w14:paraId="41E9F396" w14:textId="77777777" w:rsidR="0039208B" w:rsidRPr="0039208B" w:rsidRDefault="0039208B" w:rsidP="0039208B"/>
    <w:p w14:paraId="4732945D" w14:textId="77777777" w:rsidR="0039208B" w:rsidRPr="0039208B" w:rsidRDefault="0039208B" w:rsidP="0039208B"/>
    <w:p w14:paraId="7A728993" w14:textId="77777777" w:rsidR="0039208B" w:rsidRPr="0039208B" w:rsidRDefault="0039208B" w:rsidP="0039208B"/>
    <w:p w14:paraId="1714CBC9" w14:textId="77777777" w:rsidR="0039208B" w:rsidRPr="0039208B" w:rsidRDefault="0039208B" w:rsidP="0039208B"/>
    <w:p w14:paraId="13DA8968" w14:textId="77777777" w:rsidR="0039208B" w:rsidRPr="0039208B" w:rsidRDefault="0039208B" w:rsidP="0039208B"/>
    <w:p w14:paraId="41D614C7" w14:textId="77777777" w:rsidR="0039208B" w:rsidRPr="0039208B" w:rsidRDefault="0039208B" w:rsidP="0039208B"/>
    <w:p w14:paraId="4CE7E066" w14:textId="77777777" w:rsidR="0039208B" w:rsidRPr="0039208B" w:rsidRDefault="0039208B" w:rsidP="0039208B"/>
    <w:p w14:paraId="7698752E" w14:textId="77777777" w:rsidR="0039208B" w:rsidRPr="0039208B" w:rsidRDefault="0039208B" w:rsidP="0039208B"/>
    <w:p w14:paraId="51D45487" w14:textId="77777777" w:rsidR="0039208B" w:rsidRPr="0039208B" w:rsidRDefault="0039208B" w:rsidP="0039208B"/>
    <w:p w14:paraId="59BBB1C2" w14:textId="77777777" w:rsidR="0039208B" w:rsidRPr="0039208B" w:rsidRDefault="0039208B" w:rsidP="0039208B"/>
    <w:p w14:paraId="109F3CD7" w14:textId="77777777" w:rsidR="0039208B" w:rsidRPr="0039208B" w:rsidRDefault="0039208B" w:rsidP="0039208B"/>
    <w:p w14:paraId="47EDC405" w14:textId="77777777" w:rsidR="0039208B" w:rsidRPr="0039208B" w:rsidRDefault="0039208B" w:rsidP="0039208B"/>
    <w:p w14:paraId="0785CB56" w14:textId="77777777" w:rsidR="0039208B" w:rsidRPr="0039208B" w:rsidRDefault="0039208B" w:rsidP="0039208B"/>
    <w:p w14:paraId="32D65BB7" w14:textId="77777777" w:rsidR="0039208B" w:rsidRPr="0039208B" w:rsidRDefault="0039208B" w:rsidP="0039208B"/>
    <w:p w14:paraId="64893B2B" w14:textId="77777777" w:rsidR="0039208B" w:rsidRPr="0039208B" w:rsidRDefault="0039208B" w:rsidP="0039208B"/>
    <w:sectPr w:rsidR="0039208B" w:rsidRPr="0039208B" w:rsidSect="00D803C6">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D35DC" w14:textId="77777777" w:rsidR="001A2194" w:rsidRDefault="00080EDB">
      <w:r>
        <w:separator/>
      </w:r>
    </w:p>
  </w:endnote>
  <w:endnote w:type="continuationSeparator" w:id="0">
    <w:p w14:paraId="0FAD35DE" w14:textId="77777777" w:rsidR="001A2194" w:rsidRDefault="0008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DAutomationC93M">
    <w:altName w:val="Calibri"/>
    <w:charset w:val="00"/>
    <w:family w:val="auto"/>
    <w:pitch w:val="variable"/>
    <w:sig w:usb0="00000003" w:usb1="10000000" w:usb2="00000000" w:usb3="00000000" w:csb0="00000001" w:csb1="00000000"/>
  </w:font>
  <w:font w:name="CarolinaBar-B39-25F2">
    <w:altName w:val="Calibri"/>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D35D8" w14:textId="77777777" w:rsidR="001A2194" w:rsidRDefault="00080EDB">
      <w:r>
        <w:separator/>
      </w:r>
    </w:p>
  </w:footnote>
  <w:footnote w:type="continuationSeparator" w:id="0">
    <w:p w14:paraId="0FAD35DA" w14:textId="77777777" w:rsidR="001A2194" w:rsidRDefault="00080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4667"/>
    <w:multiLevelType w:val="hybridMultilevel"/>
    <w:tmpl w:val="2F4E26B6"/>
    <w:lvl w:ilvl="0" w:tplc="2264DE78">
      <w:numFmt w:val="bullet"/>
      <w:lvlText w:val="-"/>
      <w:lvlJc w:val="left"/>
      <w:pPr>
        <w:ind w:left="720" w:hanging="360"/>
      </w:pPr>
      <w:rPr>
        <w:rFonts w:ascii="Times New Roman" w:eastAsia="PMingLiU"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504"/>
    <w:rsid w:val="00080EDB"/>
    <w:rsid w:val="000B0DCB"/>
    <w:rsid w:val="00182775"/>
    <w:rsid w:val="001A2194"/>
    <w:rsid w:val="0039208B"/>
    <w:rsid w:val="005351F9"/>
    <w:rsid w:val="005F29DC"/>
    <w:rsid w:val="00766504"/>
    <w:rsid w:val="007755DF"/>
    <w:rsid w:val="00B31E39"/>
    <w:rsid w:val="00CD5B8B"/>
    <w:rsid w:val="00D37BD4"/>
    <w:rsid w:val="00D54B95"/>
    <w:rsid w:val="00E51844"/>
    <w:rsid w:val="00F44846"/>
    <w:rsid w:val="00F72312"/>
    <w:rsid w:val="00FB59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D359C"/>
  <w15:docId w15:val="{FABC5786-DDBF-493A-A213-5FA2F066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character" w:customStyle="1" w:styleId="apple-converted-space">
    <w:name w:val="apple-converted-space"/>
    <w:rsid w:val="0039208B"/>
  </w:style>
  <w:style w:type="paragraph" w:styleId="BalloonText">
    <w:name w:val="Balloon Text"/>
    <w:basedOn w:val="Normal"/>
    <w:link w:val="BalloonTextChar"/>
    <w:rsid w:val="000B0DCB"/>
    <w:rPr>
      <w:rFonts w:ascii="Segoe UI" w:hAnsi="Segoe UI" w:cs="Segoe UI"/>
      <w:sz w:val="18"/>
      <w:szCs w:val="18"/>
    </w:rPr>
  </w:style>
  <w:style w:type="character" w:customStyle="1" w:styleId="BalloonTextChar">
    <w:name w:val="Balloon Text Char"/>
    <w:link w:val="BalloonText"/>
    <w:rsid w:val="000B0DCB"/>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43B9287D8BD488646C4E1203A6985" ma:contentTypeVersion="0" ma:contentTypeDescription="Create a new document." ma:contentTypeScope="" ma:versionID="d1571569578e08ca58025c7d0fc7c67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007A7-6B16-4F53-84B5-F505CB813B6E}">
  <ds:schemaRefs>
    <ds:schemaRef ds:uri="http://schemas.microsoft.com/sharepoint/v3/contenttype/forms"/>
  </ds:schemaRefs>
</ds:datastoreItem>
</file>

<file path=customXml/itemProps2.xml><?xml version="1.0" encoding="utf-8"?>
<ds:datastoreItem xmlns:ds="http://schemas.openxmlformats.org/officeDocument/2006/customXml" ds:itemID="{D7AA6084-2E65-4254-9D29-7B5DBCC0C477}">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C6E68F4C-388E-48B6-9B1B-810B2864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947</Words>
  <Characters>6199</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Predlozak</vt:lpstr>
      <vt:lpstr>Predlozak</vt:lpstr>
    </vt:vector>
  </TitlesOfParts>
  <Company>RH-TDU</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Karlo Pervan</dc:creator>
  <cp:lastModifiedBy>Ivana Medarić</cp:lastModifiedBy>
  <cp:revision>4</cp:revision>
  <cp:lastPrinted>2025-09-10T05:38:00Z</cp:lastPrinted>
  <dcterms:created xsi:type="dcterms:W3CDTF">2026-03-20T14:39:00Z</dcterms:created>
  <dcterms:modified xsi:type="dcterms:W3CDTF">2026-03-23T08:30:00Z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0x01010038043B9287D8BD488646C4E1203A6985</vt:lpwstr>
  </property>
</Properties>
</file>