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8DB18" w14:textId="77777777" w:rsidR="00FA3D1D" w:rsidRPr="000479E9" w:rsidRDefault="00FA3D1D" w:rsidP="00FA3D1D">
      <w:pPr>
        <w:spacing w:after="0" w:line="240" w:lineRule="auto"/>
        <w:jc w:val="center"/>
        <w:rPr>
          <w:rFonts w:ascii="Times New Roman" w:hAnsi="Times New Roman" w:cs="Times New Roman"/>
          <w:sz w:val="24"/>
          <w:szCs w:val="24"/>
        </w:rPr>
      </w:pPr>
      <w:r w:rsidRPr="000479E9">
        <w:rPr>
          <w:rFonts w:ascii="Times New Roman" w:hAnsi="Times New Roman" w:cs="Times New Roman"/>
          <w:noProof/>
          <w:sz w:val="24"/>
          <w:szCs w:val="24"/>
          <w:lang w:eastAsia="hr-HR"/>
        </w:rPr>
        <w:drawing>
          <wp:inline distT="0" distB="0" distL="0" distR="0" wp14:anchorId="709A4516" wp14:editId="69594331">
            <wp:extent cx="504825" cy="6858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p>
    <w:p w14:paraId="2EFA077A" w14:textId="77777777" w:rsidR="00FA3D1D" w:rsidRPr="000479E9" w:rsidRDefault="00FA3D1D" w:rsidP="00FA3D1D">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VLADA REPUBLIKE HRVATSKE</w:t>
      </w:r>
    </w:p>
    <w:p w14:paraId="48FDB267" w14:textId="77777777" w:rsidR="00FA3D1D" w:rsidRPr="000479E9" w:rsidRDefault="00FA3D1D" w:rsidP="00FA3D1D">
      <w:pPr>
        <w:spacing w:after="0" w:line="240" w:lineRule="auto"/>
        <w:jc w:val="both"/>
        <w:rPr>
          <w:rFonts w:ascii="Times New Roman" w:hAnsi="Times New Roman" w:cs="Times New Roman"/>
          <w:sz w:val="24"/>
          <w:szCs w:val="24"/>
        </w:rPr>
      </w:pPr>
    </w:p>
    <w:p w14:paraId="47B20683" w14:textId="77777777" w:rsidR="00FA3D1D" w:rsidRPr="000479E9" w:rsidRDefault="00FA3D1D" w:rsidP="00FA3D1D">
      <w:pPr>
        <w:spacing w:after="0" w:line="240" w:lineRule="auto"/>
        <w:jc w:val="both"/>
        <w:rPr>
          <w:rFonts w:ascii="Times New Roman" w:hAnsi="Times New Roman" w:cs="Times New Roman"/>
          <w:sz w:val="24"/>
          <w:szCs w:val="24"/>
        </w:rPr>
      </w:pPr>
    </w:p>
    <w:p w14:paraId="13B0BB6A" w14:textId="77777777" w:rsidR="00FA3D1D" w:rsidRPr="000479E9" w:rsidRDefault="00FA3D1D" w:rsidP="00FA3D1D">
      <w:pPr>
        <w:spacing w:after="0" w:line="240" w:lineRule="auto"/>
        <w:jc w:val="both"/>
        <w:rPr>
          <w:rFonts w:ascii="Times New Roman" w:hAnsi="Times New Roman" w:cs="Times New Roman"/>
          <w:sz w:val="24"/>
          <w:szCs w:val="24"/>
        </w:rPr>
      </w:pPr>
    </w:p>
    <w:p w14:paraId="7E129397" w14:textId="77777777" w:rsidR="00FA3D1D" w:rsidRPr="000479E9" w:rsidRDefault="00FA3D1D" w:rsidP="00FA3D1D">
      <w:pPr>
        <w:spacing w:after="0" w:line="240" w:lineRule="auto"/>
        <w:jc w:val="both"/>
        <w:rPr>
          <w:rFonts w:ascii="Times New Roman" w:hAnsi="Times New Roman" w:cs="Times New Roman"/>
          <w:sz w:val="24"/>
          <w:szCs w:val="24"/>
        </w:rPr>
      </w:pPr>
    </w:p>
    <w:p w14:paraId="29B51000" w14:textId="77777777" w:rsidR="00FA3D1D" w:rsidRPr="000479E9" w:rsidRDefault="00FA3D1D" w:rsidP="00FA3D1D">
      <w:pPr>
        <w:spacing w:after="0" w:line="240" w:lineRule="auto"/>
        <w:jc w:val="both"/>
        <w:rPr>
          <w:rFonts w:ascii="Times New Roman" w:hAnsi="Times New Roman" w:cs="Times New Roman"/>
          <w:sz w:val="24"/>
          <w:szCs w:val="24"/>
        </w:rPr>
      </w:pPr>
    </w:p>
    <w:p w14:paraId="2233AB7D" w14:textId="77777777" w:rsidR="00FA3D1D" w:rsidRPr="000479E9" w:rsidRDefault="00FA3D1D" w:rsidP="00FA3D1D">
      <w:pPr>
        <w:spacing w:after="0" w:line="240" w:lineRule="auto"/>
        <w:jc w:val="both"/>
        <w:rPr>
          <w:rFonts w:ascii="Times New Roman" w:hAnsi="Times New Roman" w:cs="Times New Roman"/>
          <w:sz w:val="24"/>
          <w:szCs w:val="24"/>
        </w:rPr>
      </w:pPr>
    </w:p>
    <w:p w14:paraId="3346ABEF" w14:textId="77777777" w:rsidR="00FA3D1D" w:rsidRPr="000479E9" w:rsidRDefault="00FA3D1D" w:rsidP="00FA3D1D">
      <w:pPr>
        <w:spacing w:after="0" w:line="240" w:lineRule="auto"/>
        <w:jc w:val="both"/>
        <w:rPr>
          <w:rFonts w:ascii="Times New Roman" w:hAnsi="Times New Roman" w:cs="Times New Roman"/>
          <w:sz w:val="24"/>
          <w:szCs w:val="24"/>
        </w:rPr>
      </w:pPr>
    </w:p>
    <w:p w14:paraId="393EBB47" w14:textId="22893CE8" w:rsidR="00FA3D1D" w:rsidRPr="000479E9" w:rsidRDefault="00FA3D1D" w:rsidP="00FA3D1D">
      <w:pPr>
        <w:spacing w:after="0" w:line="240" w:lineRule="auto"/>
        <w:jc w:val="right"/>
        <w:rPr>
          <w:rFonts w:ascii="Times New Roman" w:hAnsi="Times New Roman" w:cs="Times New Roman"/>
          <w:sz w:val="24"/>
          <w:szCs w:val="24"/>
        </w:rPr>
      </w:pPr>
      <w:r w:rsidRPr="000479E9">
        <w:rPr>
          <w:rFonts w:ascii="Times New Roman" w:hAnsi="Times New Roman" w:cs="Times New Roman"/>
          <w:sz w:val="24"/>
          <w:szCs w:val="24"/>
        </w:rPr>
        <w:t xml:space="preserve">Zagreb, </w:t>
      </w:r>
      <w:r w:rsidR="0091184A">
        <w:rPr>
          <w:rFonts w:ascii="Times New Roman" w:hAnsi="Times New Roman" w:cs="Times New Roman"/>
          <w:sz w:val="24"/>
          <w:szCs w:val="24"/>
        </w:rPr>
        <w:t>29. rujna</w:t>
      </w:r>
      <w:r w:rsidRPr="000479E9">
        <w:rPr>
          <w:rFonts w:ascii="Times New Roman" w:hAnsi="Times New Roman" w:cs="Times New Roman"/>
          <w:sz w:val="24"/>
          <w:szCs w:val="24"/>
        </w:rPr>
        <w:t xml:space="preserve"> 2026.</w:t>
      </w:r>
    </w:p>
    <w:p w14:paraId="36A36943" w14:textId="77777777" w:rsidR="00FA3D1D" w:rsidRPr="000479E9" w:rsidRDefault="00FA3D1D" w:rsidP="00FA3D1D">
      <w:pPr>
        <w:spacing w:after="0" w:line="240" w:lineRule="auto"/>
        <w:jc w:val="right"/>
        <w:rPr>
          <w:rFonts w:ascii="Times New Roman" w:hAnsi="Times New Roman" w:cs="Times New Roman"/>
          <w:sz w:val="24"/>
          <w:szCs w:val="24"/>
        </w:rPr>
      </w:pPr>
    </w:p>
    <w:p w14:paraId="3609FA58" w14:textId="77777777" w:rsidR="00FA3D1D" w:rsidRPr="000479E9" w:rsidRDefault="00FA3D1D" w:rsidP="00FA3D1D">
      <w:pPr>
        <w:spacing w:after="0" w:line="240" w:lineRule="auto"/>
        <w:jc w:val="right"/>
        <w:rPr>
          <w:rFonts w:ascii="Times New Roman" w:hAnsi="Times New Roman" w:cs="Times New Roman"/>
          <w:sz w:val="24"/>
          <w:szCs w:val="24"/>
        </w:rPr>
      </w:pPr>
    </w:p>
    <w:p w14:paraId="37D5D4FD" w14:textId="77777777" w:rsidR="00FA3D1D" w:rsidRPr="000479E9" w:rsidRDefault="00FA3D1D" w:rsidP="00FA3D1D">
      <w:pPr>
        <w:spacing w:after="0" w:line="240" w:lineRule="auto"/>
        <w:jc w:val="right"/>
        <w:rPr>
          <w:rFonts w:ascii="Times New Roman" w:hAnsi="Times New Roman" w:cs="Times New Roman"/>
          <w:sz w:val="24"/>
          <w:szCs w:val="24"/>
        </w:rPr>
      </w:pPr>
    </w:p>
    <w:p w14:paraId="2158D1A4" w14:textId="77777777" w:rsidR="00FA3D1D" w:rsidRPr="000479E9" w:rsidRDefault="00FA3D1D" w:rsidP="00FA3D1D">
      <w:pPr>
        <w:spacing w:after="0" w:line="240" w:lineRule="auto"/>
        <w:jc w:val="right"/>
        <w:rPr>
          <w:rFonts w:ascii="Times New Roman" w:hAnsi="Times New Roman" w:cs="Times New Roman"/>
          <w:sz w:val="24"/>
          <w:szCs w:val="24"/>
        </w:rPr>
      </w:pPr>
    </w:p>
    <w:p w14:paraId="676F5159" w14:textId="77777777" w:rsidR="00FA3D1D" w:rsidRPr="000479E9" w:rsidRDefault="00FA3D1D" w:rsidP="00FA3D1D">
      <w:pPr>
        <w:spacing w:after="0" w:line="240" w:lineRule="auto"/>
        <w:jc w:val="right"/>
        <w:rPr>
          <w:rFonts w:ascii="Times New Roman" w:hAnsi="Times New Roman" w:cs="Times New Roman"/>
          <w:sz w:val="24"/>
          <w:szCs w:val="24"/>
        </w:rPr>
      </w:pPr>
    </w:p>
    <w:p w14:paraId="3490BC31" w14:textId="77777777" w:rsidR="00FA3D1D" w:rsidRPr="000479E9" w:rsidRDefault="00FA3D1D" w:rsidP="00FA3D1D">
      <w:pPr>
        <w:spacing w:after="0" w:line="240" w:lineRule="auto"/>
        <w:jc w:val="right"/>
        <w:rPr>
          <w:rFonts w:ascii="Times New Roman" w:hAnsi="Times New Roman" w:cs="Times New Roman"/>
          <w:sz w:val="24"/>
          <w:szCs w:val="24"/>
        </w:rPr>
      </w:pPr>
    </w:p>
    <w:p w14:paraId="2F907D1E" w14:textId="77777777" w:rsidR="00FA3D1D" w:rsidRPr="000479E9" w:rsidRDefault="00FA3D1D" w:rsidP="00FA3D1D">
      <w:pPr>
        <w:spacing w:after="0" w:line="240" w:lineRule="auto"/>
        <w:jc w:val="right"/>
        <w:rPr>
          <w:rFonts w:ascii="Times New Roman" w:hAnsi="Times New Roman" w:cs="Times New Roman"/>
          <w:sz w:val="24"/>
          <w:szCs w:val="24"/>
        </w:rPr>
      </w:pPr>
    </w:p>
    <w:p w14:paraId="551CAF27" w14:textId="77777777" w:rsidR="00FA3D1D" w:rsidRPr="000479E9" w:rsidRDefault="00FA3D1D" w:rsidP="00FA3D1D">
      <w:pPr>
        <w:spacing w:after="0" w:line="240" w:lineRule="auto"/>
        <w:jc w:val="right"/>
        <w:rPr>
          <w:rFonts w:ascii="Times New Roman" w:hAnsi="Times New Roman" w:cs="Times New Roman"/>
          <w:sz w:val="24"/>
          <w:szCs w:val="24"/>
        </w:rPr>
      </w:pPr>
    </w:p>
    <w:p w14:paraId="48786168" w14:textId="77777777" w:rsidR="00FA3D1D" w:rsidRPr="000479E9" w:rsidRDefault="00FA3D1D" w:rsidP="00FA3D1D">
      <w:pPr>
        <w:spacing w:after="0" w:line="240" w:lineRule="auto"/>
        <w:jc w:val="right"/>
        <w:rPr>
          <w:rFonts w:ascii="Times New Roman" w:hAnsi="Times New Roman" w:cs="Times New Roman"/>
          <w:sz w:val="24"/>
          <w:szCs w:val="24"/>
        </w:rPr>
      </w:pPr>
    </w:p>
    <w:p w14:paraId="4D3D9E62" w14:textId="77777777" w:rsidR="00FA3D1D" w:rsidRPr="000479E9" w:rsidRDefault="00FA3D1D" w:rsidP="00FA3D1D">
      <w:pPr>
        <w:spacing w:after="0" w:line="240" w:lineRule="auto"/>
        <w:jc w:val="right"/>
        <w:rPr>
          <w:rFonts w:ascii="Times New Roman" w:hAnsi="Times New Roman" w:cs="Times New Roman"/>
          <w:sz w:val="24"/>
          <w:szCs w:val="24"/>
        </w:rPr>
      </w:pPr>
    </w:p>
    <w:p w14:paraId="4FF1FA01" w14:textId="77777777" w:rsidR="00FA3D1D" w:rsidRPr="000479E9" w:rsidRDefault="00FA3D1D" w:rsidP="00FA3D1D">
      <w:r w:rsidRPr="000479E9">
        <w:rPr>
          <w:rFonts w:ascii="Times New Roman" w:hAnsi="Times New Roman" w:cs="Times New Roman"/>
          <w:sz w:val="24"/>
          <w:szCs w:val="24"/>
        </w:rPr>
        <w:t>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FA3D1D" w:rsidRPr="000479E9" w14:paraId="60225D65" w14:textId="77777777" w:rsidTr="0054636E">
        <w:tc>
          <w:tcPr>
            <w:tcW w:w="1951" w:type="dxa"/>
            <w:hideMark/>
          </w:tcPr>
          <w:p w14:paraId="1110E17E" w14:textId="77777777" w:rsidR="00FA3D1D" w:rsidRPr="000479E9" w:rsidRDefault="00FA3D1D" w:rsidP="0054636E">
            <w:pPr>
              <w:jc w:val="right"/>
              <w:rPr>
                <w:sz w:val="24"/>
                <w:szCs w:val="24"/>
              </w:rPr>
            </w:pPr>
            <w:r w:rsidRPr="000479E9">
              <w:rPr>
                <w:sz w:val="24"/>
                <w:szCs w:val="24"/>
              </w:rPr>
              <w:t xml:space="preserve"> </w:t>
            </w:r>
            <w:r w:rsidRPr="000479E9">
              <w:rPr>
                <w:b/>
                <w:smallCaps/>
                <w:sz w:val="24"/>
                <w:szCs w:val="24"/>
              </w:rPr>
              <w:t>Predlagatelj</w:t>
            </w:r>
            <w:r w:rsidRPr="000479E9">
              <w:rPr>
                <w:b/>
                <w:sz w:val="24"/>
                <w:szCs w:val="24"/>
              </w:rPr>
              <w:t>:</w:t>
            </w:r>
          </w:p>
        </w:tc>
        <w:tc>
          <w:tcPr>
            <w:tcW w:w="7229" w:type="dxa"/>
            <w:hideMark/>
          </w:tcPr>
          <w:p w14:paraId="4FA74C2E" w14:textId="77777777" w:rsidR="00FA3D1D" w:rsidRPr="000479E9" w:rsidRDefault="00FA3D1D" w:rsidP="0054636E">
            <w:pPr>
              <w:rPr>
                <w:sz w:val="24"/>
                <w:szCs w:val="24"/>
              </w:rPr>
            </w:pPr>
            <w:r w:rsidRPr="000479E9">
              <w:rPr>
                <w:sz w:val="24"/>
                <w:szCs w:val="24"/>
              </w:rPr>
              <w:t>Ministarstvo financija</w:t>
            </w:r>
          </w:p>
        </w:tc>
      </w:tr>
    </w:tbl>
    <w:p w14:paraId="2165DFFB" w14:textId="77777777" w:rsidR="00FA3D1D" w:rsidRPr="000479E9" w:rsidRDefault="00FA3D1D" w:rsidP="00FA3D1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7132"/>
      </w:tblGrid>
      <w:tr w:rsidR="00FA3D1D" w:rsidRPr="000479E9" w14:paraId="3ACEEED5" w14:textId="77777777" w:rsidTr="0054636E">
        <w:tc>
          <w:tcPr>
            <w:tcW w:w="1951" w:type="dxa"/>
            <w:hideMark/>
          </w:tcPr>
          <w:p w14:paraId="5C4E766D" w14:textId="77777777" w:rsidR="00FA3D1D" w:rsidRPr="000479E9" w:rsidRDefault="00FA3D1D" w:rsidP="0054636E">
            <w:pPr>
              <w:jc w:val="right"/>
              <w:rPr>
                <w:sz w:val="24"/>
                <w:szCs w:val="24"/>
              </w:rPr>
            </w:pPr>
            <w:r w:rsidRPr="000479E9">
              <w:rPr>
                <w:b/>
                <w:smallCaps/>
                <w:sz w:val="24"/>
                <w:szCs w:val="24"/>
              </w:rPr>
              <w:t>Predmet</w:t>
            </w:r>
            <w:r w:rsidRPr="000479E9">
              <w:rPr>
                <w:b/>
                <w:sz w:val="24"/>
                <w:szCs w:val="24"/>
              </w:rPr>
              <w:t>:</w:t>
            </w:r>
          </w:p>
        </w:tc>
        <w:tc>
          <w:tcPr>
            <w:tcW w:w="7229" w:type="dxa"/>
            <w:hideMark/>
          </w:tcPr>
          <w:p w14:paraId="4922100F" w14:textId="77777777" w:rsidR="00FA3D1D" w:rsidRPr="000479E9" w:rsidRDefault="00FA3D1D" w:rsidP="0054636E">
            <w:pPr>
              <w:jc w:val="both"/>
              <w:rPr>
                <w:sz w:val="24"/>
                <w:szCs w:val="24"/>
              </w:rPr>
            </w:pPr>
            <w:r w:rsidRPr="000479E9">
              <w:rPr>
                <w:sz w:val="24"/>
                <w:szCs w:val="24"/>
              </w:rPr>
              <w:t>Nacrt konačnog prijedloga zakona o izmjenama i dopunama Zakona o tržištu kapitala</w:t>
            </w:r>
          </w:p>
        </w:tc>
      </w:tr>
    </w:tbl>
    <w:p w14:paraId="2FAD43FC" w14:textId="77777777" w:rsidR="00FA3D1D" w:rsidRPr="000479E9" w:rsidRDefault="00FA3D1D" w:rsidP="00FA3D1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___________________________________________________________________________</w:t>
      </w:r>
    </w:p>
    <w:p w14:paraId="2515F5E3" w14:textId="77777777" w:rsidR="00FA3D1D" w:rsidRPr="000479E9" w:rsidRDefault="00FA3D1D" w:rsidP="00FA3D1D">
      <w:pPr>
        <w:spacing w:after="0" w:line="240" w:lineRule="auto"/>
        <w:jc w:val="both"/>
        <w:rPr>
          <w:rFonts w:ascii="Times New Roman" w:hAnsi="Times New Roman" w:cs="Times New Roman"/>
          <w:sz w:val="24"/>
          <w:szCs w:val="24"/>
        </w:rPr>
      </w:pPr>
    </w:p>
    <w:p w14:paraId="5686C90D" w14:textId="77777777" w:rsidR="00FA3D1D" w:rsidRPr="000479E9" w:rsidRDefault="00FA3D1D" w:rsidP="00FA3D1D">
      <w:pPr>
        <w:spacing w:after="0" w:line="240" w:lineRule="auto"/>
        <w:jc w:val="both"/>
        <w:rPr>
          <w:rFonts w:ascii="Times New Roman" w:hAnsi="Times New Roman" w:cs="Times New Roman"/>
          <w:sz w:val="24"/>
          <w:szCs w:val="24"/>
        </w:rPr>
      </w:pPr>
    </w:p>
    <w:p w14:paraId="0BDBCB6C" w14:textId="77777777" w:rsidR="00FA3D1D" w:rsidRPr="000479E9" w:rsidRDefault="00FA3D1D" w:rsidP="00FA3D1D">
      <w:pPr>
        <w:spacing w:after="0" w:line="240" w:lineRule="auto"/>
        <w:jc w:val="both"/>
        <w:rPr>
          <w:rFonts w:ascii="Times New Roman" w:hAnsi="Times New Roman" w:cs="Times New Roman"/>
          <w:sz w:val="24"/>
          <w:szCs w:val="24"/>
        </w:rPr>
      </w:pPr>
    </w:p>
    <w:p w14:paraId="0A179D98" w14:textId="77777777" w:rsidR="00FA3D1D" w:rsidRPr="000479E9" w:rsidRDefault="00FA3D1D" w:rsidP="00FA3D1D">
      <w:pPr>
        <w:spacing w:after="0" w:line="240" w:lineRule="auto"/>
        <w:jc w:val="both"/>
        <w:rPr>
          <w:rFonts w:ascii="Times New Roman" w:hAnsi="Times New Roman" w:cs="Times New Roman"/>
          <w:sz w:val="24"/>
          <w:szCs w:val="24"/>
        </w:rPr>
      </w:pPr>
    </w:p>
    <w:p w14:paraId="47057BE7" w14:textId="77777777" w:rsidR="00FA3D1D" w:rsidRPr="000479E9" w:rsidRDefault="00FA3D1D" w:rsidP="00FA3D1D">
      <w:pPr>
        <w:spacing w:after="0" w:line="240" w:lineRule="auto"/>
        <w:jc w:val="both"/>
        <w:rPr>
          <w:rFonts w:ascii="Times New Roman" w:hAnsi="Times New Roman" w:cs="Times New Roman"/>
          <w:sz w:val="24"/>
          <w:szCs w:val="24"/>
        </w:rPr>
      </w:pPr>
    </w:p>
    <w:p w14:paraId="386F22C9" w14:textId="77777777" w:rsidR="00FA3D1D" w:rsidRPr="000479E9" w:rsidRDefault="00FA3D1D" w:rsidP="00FA3D1D">
      <w:pPr>
        <w:pStyle w:val="Header"/>
        <w:rPr>
          <w:rFonts w:ascii="Times New Roman" w:hAnsi="Times New Roman" w:cs="Times New Roman"/>
          <w:sz w:val="24"/>
          <w:szCs w:val="24"/>
        </w:rPr>
      </w:pPr>
    </w:p>
    <w:p w14:paraId="1A965901" w14:textId="77777777" w:rsidR="00FA3D1D" w:rsidRPr="000479E9" w:rsidRDefault="00FA3D1D" w:rsidP="00FA3D1D">
      <w:pPr>
        <w:pStyle w:val="Header"/>
        <w:rPr>
          <w:rFonts w:ascii="Times New Roman" w:hAnsi="Times New Roman" w:cs="Times New Roman"/>
          <w:sz w:val="24"/>
          <w:szCs w:val="24"/>
        </w:rPr>
      </w:pPr>
    </w:p>
    <w:p w14:paraId="14E148FE" w14:textId="77777777" w:rsidR="00FA3D1D" w:rsidRPr="000479E9" w:rsidRDefault="00FA3D1D" w:rsidP="00FA3D1D">
      <w:pPr>
        <w:pStyle w:val="Header"/>
        <w:rPr>
          <w:rFonts w:ascii="Times New Roman" w:hAnsi="Times New Roman" w:cs="Times New Roman"/>
          <w:sz w:val="24"/>
          <w:szCs w:val="24"/>
        </w:rPr>
      </w:pPr>
    </w:p>
    <w:p w14:paraId="21B9F2A5" w14:textId="77777777" w:rsidR="00FA3D1D" w:rsidRPr="000479E9" w:rsidRDefault="00FA3D1D" w:rsidP="00FA3D1D">
      <w:pPr>
        <w:pStyle w:val="Header"/>
        <w:rPr>
          <w:rFonts w:ascii="Times New Roman" w:hAnsi="Times New Roman" w:cs="Times New Roman"/>
          <w:sz w:val="24"/>
          <w:szCs w:val="24"/>
        </w:rPr>
      </w:pPr>
    </w:p>
    <w:p w14:paraId="759E6A85" w14:textId="77777777" w:rsidR="00FA3D1D" w:rsidRPr="000479E9" w:rsidRDefault="00FA3D1D" w:rsidP="00FA3D1D">
      <w:pPr>
        <w:pStyle w:val="Header"/>
        <w:rPr>
          <w:rFonts w:ascii="Times New Roman" w:hAnsi="Times New Roman" w:cs="Times New Roman"/>
          <w:sz w:val="24"/>
          <w:szCs w:val="24"/>
        </w:rPr>
      </w:pPr>
    </w:p>
    <w:p w14:paraId="59697490" w14:textId="77777777" w:rsidR="00FA3D1D" w:rsidRPr="000479E9" w:rsidRDefault="00FA3D1D" w:rsidP="00FA3D1D">
      <w:pPr>
        <w:pStyle w:val="Header"/>
        <w:rPr>
          <w:rFonts w:ascii="Times New Roman" w:hAnsi="Times New Roman" w:cs="Times New Roman"/>
          <w:sz w:val="24"/>
          <w:szCs w:val="24"/>
        </w:rPr>
      </w:pPr>
    </w:p>
    <w:p w14:paraId="3DA9A914" w14:textId="77777777" w:rsidR="00FA3D1D" w:rsidRPr="000479E9" w:rsidRDefault="00FA3D1D" w:rsidP="00FA3D1D">
      <w:pPr>
        <w:pStyle w:val="Header"/>
        <w:rPr>
          <w:rFonts w:ascii="Times New Roman" w:hAnsi="Times New Roman" w:cs="Times New Roman"/>
          <w:sz w:val="24"/>
          <w:szCs w:val="24"/>
        </w:rPr>
      </w:pPr>
    </w:p>
    <w:p w14:paraId="30C84C44" w14:textId="77777777" w:rsidR="00FA3D1D" w:rsidRPr="000479E9" w:rsidRDefault="00FA3D1D" w:rsidP="00FA3D1D">
      <w:pPr>
        <w:pStyle w:val="Header"/>
        <w:rPr>
          <w:rFonts w:ascii="Times New Roman" w:hAnsi="Times New Roman" w:cs="Times New Roman"/>
          <w:sz w:val="24"/>
          <w:szCs w:val="24"/>
        </w:rPr>
      </w:pPr>
    </w:p>
    <w:p w14:paraId="0F22AB0B" w14:textId="77777777" w:rsidR="00FA3D1D" w:rsidRPr="000479E9" w:rsidRDefault="00FA3D1D" w:rsidP="00FA3D1D">
      <w:pPr>
        <w:pStyle w:val="Header"/>
        <w:rPr>
          <w:rFonts w:ascii="Times New Roman" w:hAnsi="Times New Roman" w:cs="Times New Roman"/>
          <w:sz w:val="24"/>
          <w:szCs w:val="24"/>
        </w:rPr>
      </w:pPr>
    </w:p>
    <w:p w14:paraId="40086C69" w14:textId="77777777" w:rsidR="00FA3D1D" w:rsidRPr="000479E9" w:rsidRDefault="00FA3D1D" w:rsidP="00FA3D1D">
      <w:pPr>
        <w:spacing w:after="0" w:line="240" w:lineRule="auto"/>
        <w:rPr>
          <w:rFonts w:ascii="Times New Roman" w:hAnsi="Times New Roman" w:cs="Times New Roman"/>
          <w:sz w:val="24"/>
          <w:szCs w:val="24"/>
        </w:rPr>
      </w:pPr>
    </w:p>
    <w:p w14:paraId="1E33C074" w14:textId="77777777" w:rsidR="00FA3D1D" w:rsidRPr="000479E9" w:rsidRDefault="00FA3D1D" w:rsidP="00FA3D1D">
      <w:pPr>
        <w:spacing w:after="0" w:line="240" w:lineRule="auto"/>
        <w:rPr>
          <w:rFonts w:ascii="Times New Roman" w:hAnsi="Times New Roman" w:cs="Times New Roman"/>
          <w:sz w:val="24"/>
          <w:szCs w:val="24"/>
        </w:rPr>
      </w:pPr>
    </w:p>
    <w:p w14:paraId="426AE07B" w14:textId="77777777" w:rsidR="00FA3D1D" w:rsidRPr="000479E9" w:rsidRDefault="00FA3D1D" w:rsidP="00FA3D1D">
      <w:pPr>
        <w:spacing w:after="0" w:line="240" w:lineRule="auto"/>
        <w:rPr>
          <w:rFonts w:ascii="Times New Roman" w:hAnsi="Times New Roman" w:cs="Times New Roman"/>
          <w:sz w:val="24"/>
          <w:szCs w:val="24"/>
        </w:rPr>
      </w:pPr>
    </w:p>
    <w:p w14:paraId="1932AD52" w14:textId="77777777" w:rsidR="00FA3D1D" w:rsidRPr="000479E9" w:rsidRDefault="00FA3D1D" w:rsidP="00FA3D1D">
      <w:pPr>
        <w:spacing w:after="0" w:line="240" w:lineRule="auto"/>
        <w:rPr>
          <w:rFonts w:ascii="Times New Roman" w:hAnsi="Times New Roman" w:cs="Times New Roman"/>
          <w:sz w:val="24"/>
          <w:szCs w:val="24"/>
        </w:rPr>
      </w:pPr>
    </w:p>
    <w:p w14:paraId="482FE613" w14:textId="77777777" w:rsidR="00FA3D1D" w:rsidRPr="000479E9" w:rsidRDefault="00FA3D1D" w:rsidP="00FA3D1D">
      <w:pPr>
        <w:pStyle w:val="Footer"/>
        <w:pBdr>
          <w:top w:val="single" w:sz="4" w:space="1" w:color="404040" w:themeColor="text1" w:themeTint="BF"/>
        </w:pBdr>
        <w:jc w:val="center"/>
        <w:rPr>
          <w:rFonts w:ascii="Times New Roman" w:hAnsi="Times New Roman" w:cs="Times New Roman"/>
          <w:spacing w:val="20"/>
          <w:sz w:val="24"/>
          <w:szCs w:val="24"/>
        </w:rPr>
      </w:pPr>
      <w:r w:rsidRPr="000479E9">
        <w:rPr>
          <w:rFonts w:ascii="Times New Roman" w:hAnsi="Times New Roman" w:cs="Times New Roman"/>
          <w:spacing w:val="20"/>
          <w:sz w:val="24"/>
          <w:szCs w:val="24"/>
        </w:rPr>
        <w:t>Banski dvori | Trg Sv. Marka 2 | 10000 Zagreb | tel. 01 4569 222 | vlada.gov.hr</w:t>
      </w:r>
    </w:p>
    <w:p w14:paraId="50F2B894" w14:textId="2D411B16" w:rsidR="00C4096A" w:rsidRPr="000479E9" w:rsidRDefault="00C4096A" w:rsidP="00E071FD">
      <w:pPr>
        <w:pBdr>
          <w:bottom w:val="single" w:sz="12" w:space="1" w:color="auto"/>
        </w:pBdr>
        <w:spacing w:after="0" w:line="240" w:lineRule="auto"/>
        <w:jc w:val="center"/>
        <w:rPr>
          <w:rFonts w:ascii="Times New Roman" w:hAnsi="Times New Roman" w:cs="Times New Roman"/>
          <w:b/>
          <w:sz w:val="24"/>
          <w:szCs w:val="24"/>
        </w:rPr>
      </w:pPr>
      <w:r w:rsidRPr="000479E9">
        <w:rPr>
          <w:rFonts w:ascii="Times New Roman" w:hAnsi="Times New Roman" w:cs="Times New Roman"/>
          <w:b/>
          <w:sz w:val="24"/>
          <w:szCs w:val="24"/>
        </w:rPr>
        <w:t>REPUBLIKA HRVATSKA</w:t>
      </w:r>
    </w:p>
    <w:p w14:paraId="0A9FE35B" w14:textId="77777777" w:rsidR="00C4096A" w:rsidRPr="000479E9" w:rsidRDefault="00C4096A" w:rsidP="00E071FD">
      <w:pPr>
        <w:pBdr>
          <w:bottom w:val="single" w:sz="12" w:space="1" w:color="auto"/>
        </w:pBdr>
        <w:spacing w:after="0" w:line="240" w:lineRule="auto"/>
        <w:jc w:val="center"/>
        <w:rPr>
          <w:rFonts w:ascii="Times New Roman" w:hAnsi="Times New Roman" w:cs="Times New Roman"/>
          <w:b/>
          <w:sz w:val="24"/>
          <w:szCs w:val="24"/>
        </w:rPr>
      </w:pPr>
      <w:r w:rsidRPr="000479E9">
        <w:rPr>
          <w:rFonts w:ascii="Times New Roman" w:hAnsi="Times New Roman" w:cs="Times New Roman"/>
          <w:b/>
          <w:sz w:val="24"/>
          <w:szCs w:val="24"/>
        </w:rPr>
        <w:t>MINISTARSTVO FINANCIJA</w:t>
      </w:r>
    </w:p>
    <w:p w14:paraId="32E1C884" w14:textId="77777777" w:rsidR="00C4096A" w:rsidRPr="000479E9" w:rsidRDefault="00C4096A" w:rsidP="00E071FD">
      <w:pPr>
        <w:spacing w:after="0" w:line="240" w:lineRule="auto"/>
        <w:jc w:val="center"/>
        <w:rPr>
          <w:rFonts w:ascii="Times New Roman" w:hAnsi="Times New Roman" w:cs="Times New Roman"/>
          <w:sz w:val="24"/>
          <w:szCs w:val="24"/>
        </w:rPr>
      </w:pPr>
    </w:p>
    <w:p w14:paraId="1AD63B1C" w14:textId="77777777" w:rsidR="00C4096A" w:rsidRPr="000479E9" w:rsidRDefault="00C4096A" w:rsidP="00E071FD">
      <w:pPr>
        <w:spacing w:after="0" w:line="240" w:lineRule="auto"/>
        <w:jc w:val="center"/>
        <w:rPr>
          <w:rFonts w:ascii="Times New Roman" w:hAnsi="Times New Roman" w:cs="Times New Roman"/>
          <w:sz w:val="24"/>
          <w:szCs w:val="24"/>
        </w:rPr>
      </w:pPr>
    </w:p>
    <w:p w14:paraId="27A65BC5" w14:textId="77777777" w:rsidR="00C4096A" w:rsidRPr="000479E9" w:rsidRDefault="00C4096A" w:rsidP="00E071FD">
      <w:pPr>
        <w:spacing w:after="0" w:line="240" w:lineRule="auto"/>
        <w:jc w:val="right"/>
        <w:rPr>
          <w:rFonts w:ascii="Times New Roman" w:hAnsi="Times New Roman" w:cs="Times New Roman"/>
          <w:b/>
          <w:sz w:val="24"/>
          <w:szCs w:val="24"/>
        </w:rPr>
      </w:pPr>
      <w:r w:rsidRPr="000479E9">
        <w:rPr>
          <w:rFonts w:ascii="Times New Roman" w:hAnsi="Times New Roman" w:cs="Times New Roman"/>
          <w:b/>
          <w:sz w:val="24"/>
          <w:szCs w:val="24"/>
        </w:rPr>
        <w:t>NACRT</w:t>
      </w:r>
    </w:p>
    <w:p w14:paraId="341B49B1" w14:textId="77777777" w:rsidR="00C4096A" w:rsidRPr="000479E9" w:rsidRDefault="00C4096A" w:rsidP="00E071FD">
      <w:pPr>
        <w:spacing w:after="0" w:line="240" w:lineRule="auto"/>
        <w:jc w:val="center"/>
        <w:rPr>
          <w:rFonts w:ascii="Times New Roman" w:hAnsi="Times New Roman" w:cs="Times New Roman"/>
          <w:sz w:val="24"/>
          <w:szCs w:val="24"/>
        </w:rPr>
      </w:pPr>
    </w:p>
    <w:p w14:paraId="15E6DCD3" w14:textId="77777777" w:rsidR="00C4096A" w:rsidRPr="000479E9" w:rsidRDefault="00C4096A" w:rsidP="00E071FD">
      <w:pPr>
        <w:spacing w:after="0" w:line="240" w:lineRule="auto"/>
        <w:jc w:val="center"/>
        <w:rPr>
          <w:rFonts w:ascii="Times New Roman" w:hAnsi="Times New Roman" w:cs="Times New Roman"/>
          <w:sz w:val="24"/>
          <w:szCs w:val="24"/>
        </w:rPr>
      </w:pPr>
    </w:p>
    <w:p w14:paraId="54B2561B" w14:textId="77777777" w:rsidR="00C4096A" w:rsidRPr="000479E9" w:rsidRDefault="00C4096A" w:rsidP="00E071FD">
      <w:pPr>
        <w:spacing w:after="0" w:line="240" w:lineRule="auto"/>
        <w:jc w:val="center"/>
        <w:rPr>
          <w:rFonts w:ascii="Times New Roman" w:hAnsi="Times New Roman" w:cs="Times New Roman"/>
          <w:sz w:val="24"/>
          <w:szCs w:val="24"/>
        </w:rPr>
      </w:pPr>
    </w:p>
    <w:p w14:paraId="589E2046" w14:textId="77777777" w:rsidR="00C4096A" w:rsidRPr="000479E9" w:rsidRDefault="00C4096A" w:rsidP="00E071FD">
      <w:pPr>
        <w:spacing w:after="0" w:line="240" w:lineRule="auto"/>
        <w:jc w:val="center"/>
        <w:rPr>
          <w:rFonts w:ascii="Times New Roman" w:hAnsi="Times New Roman" w:cs="Times New Roman"/>
          <w:sz w:val="24"/>
          <w:szCs w:val="24"/>
        </w:rPr>
      </w:pPr>
    </w:p>
    <w:p w14:paraId="45490ECC" w14:textId="77777777" w:rsidR="00C4096A" w:rsidRPr="000479E9" w:rsidRDefault="00C4096A" w:rsidP="00E071FD">
      <w:pPr>
        <w:spacing w:after="0" w:line="240" w:lineRule="auto"/>
        <w:jc w:val="center"/>
        <w:rPr>
          <w:rFonts w:ascii="Times New Roman" w:hAnsi="Times New Roman" w:cs="Times New Roman"/>
          <w:sz w:val="24"/>
          <w:szCs w:val="24"/>
        </w:rPr>
      </w:pPr>
    </w:p>
    <w:p w14:paraId="1EC97B22" w14:textId="77777777" w:rsidR="00C4096A" w:rsidRPr="000479E9" w:rsidRDefault="00C4096A" w:rsidP="00E071FD">
      <w:pPr>
        <w:spacing w:after="0" w:line="240" w:lineRule="auto"/>
        <w:jc w:val="center"/>
        <w:rPr>
          <w:rFonts w:ascii="Times New Roman" w:hAnsi="Times New Roman" w:cs="Times New Roman"/>
          <w:sz w:val="24"/>
          <w:szCs w:val="24"/>
        </w:rPr>
      </w:pPr>
    </w:p>
    <w:p w14:paraId="328584B8" w14:textId="77777777" w:rsidR="00C4096A" w:rsidRPr="000479E9" w:rsidRDefault="00C4096A" w:rsidP="00E071FD">
      <w:pPr>
        <w:spacing w:after="0" w:line="240" w:lineRule="auto"/>
        <w:jc w:val="center"/>
        <w:rPr>
          <w:rFonts w:ascii="Times New Roman" w:hAnsi="Times New Roman" w:cs="Times New Roman"/>
          <w:sz w:val="24"/>
          <w:szCs w:val="24"/>
        </w:rPr>
      </w:pPr>
    </w:p>
    <w:p w14:paraId="4741579E" w14:textId="77777777" w:rsidR="00C4096A" w:rsidRPr="000479E9" w:rsidRDefault="00C4096A" w:rsidP="00E071FD">
      <w:pPr>
        <w:spacing w:after="0" w:line="240" w:lineRule="auto"/>
        <w:jc w:val="center"/>
        <w:rPr>
          <w:rFonts w:ascii="Times New Roman" w:hAnsi="Times New Roman" w:cs="Times New Roman"/>
          <w:sz w:val="24"/>
          <w:szCs w:val="24"/>
        </w:rPr>
      </w:pPr>
    </w:p>
    <w:p w14:paraId="30CB1AE5" w14:textId="77777777" w:rsidR="00C4096A" w:rsidRPr="000479E9" w:rsidRDefault="00C4096A" w:rsidP="00E071FD">
      <w:pPr>
        <w:spacing w:after="0" w:line="240" w:lineRule="auto"/>
        <w:jc w:val="center"/>
        <w:rPr>
          <w:rFonts w:ascii="Times New Roman" w:hAnsi="Times New Roman" w:cs="Times New Roman"/>
          <w:sz w:val="24"/>
          <w:szCs w:val="24"/>
        </w:rPr>
      </w:pPr>
    </w:p>
    <w:p w14:paraId="7AD39C81" w14:textId="77777777" w:rsidR="00C4096A" w:rsidRPr="000479E9" w:rsidRDefault="00C4096A" w:rsidP="00E071FD">
      <w:pPr>
        <w:spacing w:after="0" w:line="240" w:lineRule="auto"/>
        <w:jc w:val="center"/>
        <w:rPr>
          <w:rFonts w:ascii="Times New Roman" w:hAnsi="Times New Roman" w:cs="Times New Roman"/>
          <w:sz w:val="24"/>
          <w:szCs w:val="24"/>
        </w:rPr>
      </w:pPr>
    </w:p>
    <w:p w14:paraId="2327EE7C" w14:textId="77777777" w:rsidR="00C4096A" w:rsidRPr="000479E9" w:rsidRDefault="00C4096A" w:rsidP="00E071FD">
      <w:pPr>
        <w:spacing w:after="0" w:line="240" w:lineRule="auto"/>
        <w:jc w:val="center"/>
        <w:rPr>
          <w:rFonts w:ascii="Times New Roman" w:hAnsi="Times New Roman" w:cs="Times New Roman"/>
          <w:sz w:val="24"/>
          <w:szCs w:val="24"/>
        </w:rPr>
      </w:pPr>
    </w:p>
    <w:p w14:paraId="4DF4DAFF" w14:textId="77777777" w:rsidR="00C4096A" w:rsidRPr="000479E9" w:rsidRDefault="00C4096A" w:rsidP="00E071FD">
      <w:pPr>
        <w:spacing w:after="0" w:line="240" w:lineRule="auto"/>
        <w:jc w:val="center"/>
        <w:rPr>
          <w:rFonts w:ascii="Times New Roman" w:hAnsi="Times New Roman" w:cs="Times New Roman"/>
          <w:sz w:val="24"/>
          <w:szCs w:val="24"/>
        </w:rPr>
      </w:pPr>
    </w:p>
    <w:p w14:paraId="45823B35" w14:textId="77777777" w:rsidR="00C4096A" w:rsidRPr="000479E9" w:rsidRDefault="00C4096A" w:rsidP="00E071FD">
      <w:pPr>
        <w:spacing w:after="0" w:line="240" w:lineRule="auto"/>
        <w:jc w:val="center"/>
        <w:rPr>
          <w:rFonts w:ascii="Times New Roman" w:hAnsi="Times New Roman" w:cs="Times New Roman"/>
          <w:sz w:val="24"/>
          <w:szCs w:val="24"/>
        </w:rPr>
      </w:pPr>
    </w:p>
    <w:p w14:paraId="3026408A" w14:textId="77777777" w:rsidR="00C4096A" w:rsidRPr="000479E9" w:rsidRDefault="00C4096A" w:rsidP="00E071FD">
      <w:pPr>
        <w:spacing w:after="0" w:line="240" w:lineRule="auto"/>
        <w:jc w:val="center"/>
        <w:rPr>
          <w:rFonts w:ascii="Times New Roman" w:hAnsi="Times New Roman" w:cs="Times New Roman"/>
          <w:sz w:val="24"/>
          <w:szCs w:val="24"/>
        </w:rPr>
      </w:pPr>
    </w:p>
    <w:p w14:paraId="4686B145" w14:textId="77777777" w:rsidR="00C4096A" w:rsidRPr="000479E9" w:rsidRDefault="00C4096A" w:rsidP="00E071FD">
      <w:pPr>
        <w:spacing w:after="0" w:line="240" w:lineRule="auto"/>
        <w:jc w:val="center"/>
        <w:rPr>
          <w:rFonts w:ascii="Times New Roman" w:hAnsi="Times New Roman" w:cs="Times New Roman"/>
          <w:sz w:val="24"/>
          <w:szCs w:val="24"/>
        </w:rPr>
      </w:pPr>
    </w:p>
    <w:p w14:paraId="384B7451" w14:textId="77777777" w:rsidR="00C4096A" w:rsidRPr="000479E9" w:rsidRDefault="00C4096A" w:rsidP="00E071FD">
      <w:pPr>
        <w:spacing w:after="0" w:line="240" w:lineRule="auto"/>
        <w:jc w:val="center"/>
        <w:rPr>
          <w:rFonts w:ascii="Times New Roman" w:hAnsi="Times New Roman" w:cs="Times New Roman"/>
          <w:sz w:val="24"/>
          <w:szCs w:val="24"/>
        </w:rPr>
      </w:pPr>
    </w:p>
    <w:p w14:paraId="41BA0F82" w14:textId="77777777" w:rsidR="00C4096A" w:rsidRPr="000479E9" w:rsidRDefault="00C4096A" w:rsidP="00E071FD">
      <w:pPr>
        <w:spacing w:after="0" w:line="240" w:lineRule="auto"/>
        <w:jc w:val="center"/>
        <w:rPr>
          <w:rFonts w:ascii="Times New Roman" w:hAnsi="Times New Roman" w:cs="Times New Roman"/>
          <w:sz w:val="24"/>
          <w:szCs w:val="24"/>
        </w:rPr>
      </w:pPr>
    </w:p>
    <w:p w14:paraId="19F1BE07" w14:textId="77777777" w:rsidR="00C4096A" w:rsidRPr="000479E9" w:rsidRDefault="00C4096A" w:rsidP="00E071FD">
      <w:pPr>
        <w:spacing w:after="0" w:line="240" w:lineRule="auto"/>
        <w:jc w:val="center"/>
        <w:rPr>
          <w:rFonts w:ascii="Times New Roman" w:hAnsi="Times New Roman" w:cs="Times New Roman"/>
          <w:sz w:val="24"/>
          <w:szCs w:val="24"/>
        </w:rPr>
      </w:pPr>
    </w:p>
    <w:p w14:paraId="6A13D72D" w14:textId="77777777" w:rsidR="00C4096A" w:rsidRPr="000479E9" w:rsidRDefault="00C4096A" w:rsidP="00E071FD">
      <w:pPr>
        <w:spacing w:after="0" w:line="240" w:lineRule="auto"/>
        <w:jc w:val="center"/>
        <w:rPr>
          <w:rFonts w:ascii="Times New Roman" w:hAnsi="Times New Roman" w:cs="Times New Roman"/>
          <w:sz w:val="24"/>
          <w:szCs w:val="24"/>
        </w:rPr>
      </w:pPr>
    </w:p>
    <w:p w14:paraId="1632C1E0" w14:textId="77777777" w:rsidR="00C4096A" w:rsidRPr="000479E9" w:rsidRDefault="00C4096A" w:rsidP="00E071FD">
      <w:pPr>
        <w:spacing w:after="0" w:line="240" w:lineRule="auto"/>
        <w:jc w:val="center"/>
        <w:rPr>
          <w:rFonts w:ascii="Times New Roman" w:hAnsi="Times New Roman" w:cs="Times New Roman"/>
          <w:sz w:val="24"/>
          <w:szCs w:val="24"/>
        </w:rPr>
      </w:pPr>
    </w:p>
    <w:p w14:paraId="344470C3" w14:textId="27598360" w:rsidR="00C4096A" w:rsidRPr="000479E9" w:rsidRDefault="00070EEC" w:rsidP="00E071FD">
      <w:pPr>
        <w:spacing w:after="0" w:line="240" w:lineRule="auto"/>
        <w:jc w:val="center"/>
        <w:rPr>
          <w:rFonts w:ascii="Times New Roman" w:hAnsi="Times New Roman" w:cs="Times New Roman"/>
          <w:b/>
          <w:sz w:val="24"/>
          <w:szCs w:val="24"/>
        </w:rPr>
      </w:pPr>
      <w:r w:rsidRPr="000479E9">
        <w:rPr>
          <w:rFonts w:ascii="Times New Roman" w:hAnsi="Times New Roman" w:cs="Times New Roman"/>
          <w:b/>
          <w:sz w:val="24"/>
          <w:szCs w:val="24"/>
        </w:rPr>
        <w:t xml:space="preserve">KONAČNI </w:t>
      </w:r>
      <w:r w:rsidR="00C4096A" w:rsidRPr="000479E9">
        <w:rPr>
          <w:rFonts w:ascii="Times New Roman" w:hAnsi="Times New Roman" w:cs="Times New Roman"/>
          <w:b/>
          <w:sz w:val="24"/>
          <w:szCs w:val="24"/>
        </w:rPr>
        <w:t xml:space="preserve">PRIJEDLOG ZAKONA O IZMJENAMA I DOPUNAMA </w:t>
      </w:r>
    </w:p>
    <w:p w14:paraId="40A6C022" w14:textId="3D25BA0F" w:rsidR="00C4096A" w:rsidRPr="000479E9" w:rsidRDefault="00C4096A" w:rsidP="00E071FD">
      <w:pPr>
        <w:spacing w:after="0" w:line="240" w:lineRule="auto"/>
        <w:jc w:val="center"/>
        <w:rPr>
          <w:rFonts w:ascii="Times New Roman" w:hAnsi="Times New Roman" w:cs="Times New Roman"/>
          <w:b/>
          <w:sz w:val="24"/>
          <w:szCs w:val="24"/>
        </w:rPr>
      </w:pPr>
      <w:r w:rsidRPr="000479E9">
        <w:rPr>
          <w:rFonts w:ascii="Times New Roman" w:hAnsi="Times New Roman" w:cs="Times New Roman"/>
          <w:b/>
          <w:sz w:val="24"/>
          <w:szCs w:val="24"/>
        </w:rPr>
        <w:t>ZAKONA O TRŽIŠTU KAPITALA</w:t>
      </w:r>
    </w:p>
    <w:p w14:paraId="5825A347" w14:textId="77777777" w:rsidR="00C4096A" w:rsidRPr="000479E9" w:rsidRDefault="00C4096A" w:rsidP="00E071FD">
      <w:pPr>
        <w:spacing w:after="0" w:line="240" w:lineRule="auto"/>
        <w:jc w:val="center"/>
        <w:rPr>
          <w:rFonts w:ascii="Times New Roman" w:hAnsi="Times New Roman" w:cs="Times New Roman"/>
          <w:sz w:val="24"/>
          <w:szCs w:val="24"/>
        </w:rPr>
      </w:pPr>
    </w:p>
    <w:p w14:paraId="36F5CD36" w14:textId="77777777" w:rsidR="00C4096A" w:rsidRPr="000479E9" w:rsidRDefault="00C4096A" w:rsidP="00E071FD">
      <w:pPr>
        <w:spacing w:after="0" w:line="240" w:lineRule="auto"/>
        <w:jc w:val="center"/>
        <w:rPr>
          <w:rFonts w:ascii="Times New Roman" w:hAnsi="Times New Roman" w:cs="Times New Roman"/>
          <w:sz w:val="24"/>
          <w:szCs w:val="24"/>
        </w:rPr>
      </w:pPr>
    </w:p>
    <w:p w14:paraId="0ECE521C" w14:textId="77777777" w:rsidR="00C4096A" w:rsidRPr="000479E9" w:rsidRDefault="00C4096A" w:rsidP="00E071FD">
      <w:pPr>
        <w:spacing w:after="0" w:line="240" w:lineRule="auto"/>
        <w:jc w:val="center"/>
        <w:rPr>
          <w:rFonts w:ascii="Times New Roman" w:hAnsi="Times New Roman" w:cs="Times New Roman"/>
          <w:sz w:val="24"/>
          <w:szCs w:val="24"/>
        </w:rPr>
      </w:pPr>
    </w:p>
    <w:p w14:paraId="1C30A636" w14:textId="77777777" w:rsidR="00C4096A" w:rsidRPr="000479E9" w:rsidRDefault="00C4096A" w:rsidP="00E071FD">
      <w:pPr>
        <w:spacing w:after="0" w:line="240" w:lineRule="auto"/>
        <w:jc w:val="center"/>
        <w:rPr>
          <w:rFonts w:ascii="Times New Roman" w:hAnsi="Times New Roman" w:cs="Times New Roman"/>
          <w:sz w:val="24"/>
          <w:szCs w:val="24"/>
        </w:rPr>
      </w:pPr>
    </w:p>
    <w:p w14:paraId="11651546" w14:textId="77777777" w:rsidR="00C4096A" w:rsidRPr="000479E9" w:rsidRDefault="00C4096A" w:rsidP="00E071FD">
      <w:pPr>
        <w:spacing w:after="0" w:line="240" w:lineRule="auto"/>
        <w:jc w:val="center"/>
        <w:rPr>
          <w:rFonts w:ascii="Times New Roman" w:hAnsi="Times New Roman" w:cs="Times New Roman"/>
          <w:sz w:val="24"/>
          <w:szCs w:val="24"/>
        </w:rPr>
      </w:pPr>
    </w:p>
    <w:p w14:paraId="6DEDE5FC" w14:textId="1B212C8E" w:rsidR="00C4096A" w:rsidRPr="000479E9" w:rsidRDefault="00C4096A" w:rsidP="00E071FD">
      <w:pPr>
        <w:spacing w:after="0" w:line="240" w:lineRule="auto"/>
        <w:jc w:val="center"/>
        <w:rPr>
          <w:rFonts w:ascii="Times New Roman" w:hAnsi="Times New Roman" w:cs="Times New Roman"/>
          <w:sz w:val="24"/>
          <w:szCs w:val="24"/>
        </w:rPr>
      </w:pPr>
    </w:p>
    <w:p w14:paraId="62B70A51" w14:textId="77777777" w:rsidR="004F7E85" w:rsidRPr="000479E9" w:rsidRDefault="004F7E85" w:rsidP="00E071FD">
      <w:pPr>
        <w:spacing w:after="0" w:line="240" w:lineRule="auto"/>
        <w:jc w:val="center"/>
        <w:rPr>
          <w:rFonts w:ascii="Times New Roman" w:hAnsi="Times New Roman" w:cs="Times New Roman"/>
          <w:sz w:val="24"/>
          <w:szCs w:val="24"/>
        </w:rPr>
      </w:pPr>
    </w:p>
    <w:p w14:paraId="5A9CE04B" w14:textId="77777777" w:rsidR="00C4096A" w:rsidRPr="000479E9" w:rsidRDefault="00C4096A" w:rsidP="00E071FD">
      <w:pPr>
        <w:spacing w:after="0" w:line="240" w:lineRule="auto"/>
        <w:jc w:val="center"/>
        <w:rPr>
          <w:rFonts w:ascii="Times New Roman" w:hAnsi="Times New Roman" w:cs="Times New Roman"/>
          <w:sz w:val="24"/>
          <w:szCs w:val="24"/>
        </w:rPr>
      </w:pPr>
    </w:p>
    <w:p w14:paraId="4F557EE1" w14:textId="77777777" w:rsidR="00C4096A" w:rsidRPr="000479E9" w:rsidRDefault="00C4096A" w:rsidP="00E071FD">
      <w:pPr>
        <w:spacing w:after="0" w:line="240" w:lineRule="auto"/>
        <w:jc w:val="center"/>
        <w:rPr>
          <w:rFonts w:ascii="Times New Roman" w:hAnsi="Times New Roman" w:cs="Times New Roman"/>
          <w:sz w:val="24"/>
          <w:szCs w:val="24"/>
        </w:rPr>
      </w:pPr>
    </w:p>
    <w:p w14:paraId="1DF14B37" w14:textId="77777777" w:rsidR="00C4096A" w:rsidRPr="000479E9" w:rsidRDefault="00C4096A" w:rsidP="00E071FD">
      <w:pPr>
        <w:spacing w:after="0" w:line="240" w:lineRule="auto"/>
        <w:jc w:val="center"/>
        <w:rPr>
          <w:rFonts w:ascii="Times New Roman" w:hAnsi="Times New Roman" w:cs="Times New Roman"/>
          <w:sz w:val="24"/>
          <w:szCs w:val="24"/>
        </w:rPr>
      </w:pPr>
    </w:p>
    <w:p w14:paraId="4CDF4FC7" w14:textId="77777777" w:rsidR="00C4096A" w:rsidRPr="000479E9" w:rsidRDefault="00C4096A" w:rsidP="00E071FD">
      <w:pPr>
        <w:spacing w:after="0" w:line="240" w:lineRule="auto"/>
        <w:jc w:val="center"/>
        <w:rPr>
          <w:rFonts w:ascii="Times New Roman" w:hAnsi="Times New Roman" w:cs="Times New Roman"/>
          <w:sz w:val="24"/>
          <w:szCs w:val="24"/>
        </w:rPr>
      </w:pPr>
    </w:p>
    <w:p w14:paraId="2E04541E" w14:textId="77777777" w:rsidR="00C4096A" w:rsidRPr="000479E9" w:rsidRDefault="00C4096A" w:rsidP="00E071FD">
      <w:pPr>
        <w:spacing w:after="0" w:line="240" w:lineRule="auto"/>
        <w:jc w:val="center"/>
        <w:rPr>
          <w:rFonts w:ascii="Times New Roman" w:hAnsi="Times New Roman" w:cs="Times New Roman"/>
          <w:sz w:val="24"/>
          <w:szCs w:val="24"/>
        </w:rPr>
      </w:pPr>
    </w:p>
    <w:p w14:paraId="771BE008" w14:textId="77777777" w:rsidR="00C4096A" w:rsidRPr="000479E9" w:rsidRDefault="00C4096A" w:rsidP="00E071FD">
      <w:pPr>
        <w:spacing w:after="0" w:line="240" w:lineRule="auto"/>
        <w:jc w:val="center"/>
        <w:rPr>
          <w:rFonts w:ascii="Times New Roman" w:hAnsi="Times New Roman" w:cs="Times New Roman"/>
          <w:sz w:val="24"/>
          <w:szCs w:val="24"/>
        </w:rPr>
      </w:pPr>
    </w:p>
    <w:p w14:paraId="036E8AA5" w14:textId="77777777" w:rsidR="00C4096A" w:rsidRPr="000479E9" w:rsidRDefault="00C4096A" w:rsidP="00E071FD">
      <w:pPr>
        <w:spacing w:after="0" w:line="240" w:lineRule="auto"/>
        <w:jc w:val="center"/>
        <w:rPr>
          <w:rFonts w:ascii="Times New Roman" w:hAnsi="Times New Roman" w:cs="Times New Roman"/>
          <w:sz w:val="24"/>
          <w:szCs w:val="24"/>
        </w:rPr>
      </w:pPr>
    </w:p>
    <w:p w14:paraId="42C9999C" w14:textId="5BA18D9F" w:rsidR="00C4096A" w:rsidRPr="000479E9" w:rsidRDefault="00C4096A" w:rsidP="00E071FD">
      <w:pPr>
        <w:spacing w:after="0" w:line="240" w:lineRule="auto"/>
        <w:jc w:val="center"/>
        <w:rPr>
          <w:rFonts w:ascii="Times New Roman" w:hAnsi="Times New Roman" w:cs="Times New Roman"/>
          <w:sz w:val="24"/>
          <w:szCs w:val="24"/>
        </w:rPr>
      </w:pPr>
    </w:p>
    <w:p w14:paraId="5FC2F92E" w14:textId="5CE2F660" w:rsidR="00157C1C" w:rsidRPr="000479E9" w:rsidRDefault="00157C1C" w:rsidP="00E071FD">
      <w:pPr>
        <w:spacing w:after="0" w:line="240" w:lineRule="auto"/>
        <w:jc w:val="center"/>
        <w:rPr>
          <w:rFonts w:ascii="Times New Roman" w:hAnsi="Times New Roman" w:cs="Times New Roman"/>
          <w:sz w:val="24"/>
          <w:szCs w:val="24"/>
        </w:rPr>
      </w:pPr>
    </w:p>
    <w:p w14:paraId="0A12A189" w14:textId="565EBBA0" w:rsidR="00157C1C" w:rsidRPr="000479E9" w:rsidRDefault="00157C1C" w:rsidP="00E071FD">
      <w:pPr>
        <w:spacing w:after="0" w:line="240" w:lineRule="auto"/>
        <w:jc w:val="center"/>
        <w:rPr>
          <w:rFonts w:ascii="Times New Roman" w:hAnsi="Times New Roman" w:cs="Times New Roman"/>
          <w:sz w:val="24"/>
          <w:szCs w:val="24"/>
        </w:rPr>
      </w:pPr>
    </w:p>
    <w:p w14:paraId="0B50CDAF" w14:textId="4B4D8BB8" w:rsidR="00157C1C" w:rsidRPr="000479E9" w:rsidRDefault="00157C1C" w:rsidP="00E071FD">
      <w:pPr>
        <w:spacing w:after="0" w:line="240" w:lineRule="auto"/>
        <w:jc w:val="center"/>
        <w:rPr>
          <w:rFonts w:ascii="Times New Roman" w:hAnsi="Times New Roman" w:cs="Times New Roman"/>
          <w:sz w:val="24"/>
          <w:szCs w:val="24"/>
        </w:rPr>
      </w:pPr>
    </w:p>
    <w:p w14:paraId="78F6023C" w14:textId="3D48068F" w:rsidR="00157C1C" w:rsidRPr="000479E9" w:rsidRDefault="00157C1C" w:rsidP="00E071FD">
      <w:pPr>
        <w:spacing w:after="0" w:line="240" w:lineRule="auto"/>
        <w:jc w:val="center"/>
        <w:rPr>
          <w:rFonts w:ascii="Times New Roman" w:hAnsi="Times New Roman" w:cs="Times New Roman"/>
          <w:sz w:val="24"/>
          <w:szCs w:val="24"/>
        </w:rPr>
      </w:pPr>
    </w:p>
    <w:p w14:paraId="0F308108" w14:textId="3B63E4A5" w:rsidR="00157C1C" w:rsidRPr="000479E9" w:rsidRDefault="00157C1C" w:rsidP="00E071FD">
      <w:pPr>
        <w:spacing w:after="0" w:line="240" w:lineRule="auto"/>
        <w:jc w:val="center"/>
        <w:rPr>
          <w:rFonts w:ascii="Times New Roman" w:hAnsi="Times New Roman" w:cs="Times New Roman"/>
          <w:sz w:val="24"/>
          <w:szCs w:val="24"/>
        </w:rPr>
      </w:pPr>
    </w:p>
    <w:p w14:paraId="024756B3" w14:textId="77777777" w:rsidR="00157C1C" w:rsidRPr="000479E9" w:rsidRDefault="00157C1C" w:rsidP="00E071FD">
      <w:pPr>
        <w:spacing w:after="0" w:line="240" w:lineRule="auto"/>
        <w:jc w:val="center"/>
        <w:rPr>
          <w:rFonts w:ascii="Times New Roman" w:hAnsi="Times New Roman" w:cs="Times New Roman"/>
          <w:sz w:val="24"/>
          <w:szCs w:val="24"/>
        </w:rPr>
      </w:pPr>
    </w:p>
    <w:p w14:paraId="40949378" w14:textId="07CB0DED" w:rsidR="00C4096A" w:rsidRPr="000479E9" w:rsidRDefault="00C4096A" w:rsidP="00E071FD">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__________________________________________________________________</w:t>
      </w:r>
    </w:p>
    <w:p w14:paraId="35CEF3DC" w14:textId="68A559CE" w:rsidR="00C4096A" w:rsidRPr="000479E9" w:rsidRDefault="00C4096A" w:rsidP="00286452">
      <w:pPr>
        <w:spacing w:after="0" w:line="240" w:lineRule="auto"/>
        <w:jc w:val="center"/>
        <w:rPr>
          <w:rFonts w:ascii="Times New Roman" w:hAnsi="Times New Roman" w:cs="Times New Roman"/>
          <w:b/>
          <w:sz w:val="24"/>
          <w:szCs w:val="24"/>
        </w:rPr>
      </w:pPr>
      <w:r w:rsidRPr="000479E9">
        <w:rPr>
          <w:rFonts w:ascii="Times New Roman" w:hAnsi="Times New Roman" w:cs="Times New Roman"/>
          <w:b/>
          <w:sz w:val="24"/>
          <w:szCs w:val="24"/>
        </w:rPr>
        <w:t xml:space="preserve">Zagreb, </w:t>
      </w:r>
      <w:r w:rsidR="0091184A">
        <w:rPr>
          <w:rFonts w:ascii="Times New Roman" w:hAnsi="Times New Roman" w:cs="Times New Roman"/>
          <w:b/>
          <w:bCs/>
          <w:sz w:val="24"/>
          <w:szCs w:val="24"/>
        </w:rPr>
        <w:t>rujan</w:t>
      </w:r>
      <w:r w:rsidR="008D2430" w:rsidRPr="000479E9">
        <w:rPr>
          <w:rFonts w:ascii="Times New Roman" w:hAnsi="Times New Roman" w:cs="Times New Roman"/>
          <w:b/>
          <w:bCs/>
          <w:sz w:val="24"/>
          <w:szCs w:val="24"/>
        </w:rPr>
        <w:t xml:space="preserve"> </w:t>
      </w:r>
      <w:r w:rsidR="006F04C0" w:rsidRPr="000479E9">
        <w:rPr>
          <w:rFonts w:ascii="Times New Roman" w:hAnsi="Times New Roman" w:cs="Times New Roman"/>
          <w:b/>
          <w:bCs/>
          <w:sz w:val="24"/>
          <w:szCs w:val="24"/>
        </w:rPr>
        <w:t>2026</w:t>
      </w:r>
      <w:r w:rsidRPr="000479E9">
        <w:rPr>
          <w:rFonts w:ascii="Times New Roman" w:hAnsi="Times New Roman" w:cs="Times New Roman"/>
          <w:b/>
          <w:sz w:val="24"/>
          <w:szCs w:val="24"/>
        </w:rPr>
        <w:t>.</w:t>
      </w:r>
    </w:p>
    <w:p w14:paraId="5A0A3353" w14:textId="44EA586D" w:rsidR="00C4096A" w:rsidRPr="000479E9" w:rsidRDefault="00070EEC" w:rsidP="00E071FD">
      <w:pPr>
        <w:spacing w:after="0" w:line="240" w:lineRule="auto"/>
        <w:jc w:val="center"/>
        <w:rPr>
          <w:rFonts w:ascii="Times New Roman" w:hAnsi="Times New Roman" w:cs="Times New Roman"/>
          <w:b/>
          <w:sz w:val="24"/>
          <w:szCs w:val="24"/>
        </w:rPr>
      </w:pPr>
      <w:r w:rsidRPr="000479E9">
        <w:rPr>
          <w:rFonts w:ascii="Times New Roman" w:hAnsi="Times New Roman" w:cs="Times New Roman"/>
          <w:b/>
          <w:sz w:val="24"/>
          <w:szCs w:val="24"/>
        </w:rPr>
        <w:t xml:space="preserve">KONAČNI </w:t>
      </w:r>
      <w:r w:rsidR="00C4096A" w:rsidRPr="000479E9">
        <w:rPr>
          <w:rFonts w:ascii="Times New Roman" w:hAnsi="Times New Roman" w:cs="Times New Roman"/>
          <w:b/>
          <w:sz w:val="24"/>
          <w:szCs w:val="24"/>
        </w:rPr>
        <w:t xml:space="preserve">PRIJEDLOG ZAKONA O IZMJENAMA I DOPUNAMA </w:t>
      </w:r>
    </w:p>
    <w:p w14:paraId="420E6C6D" w14:textId="77777777" w:rsidR="00EE6E0F" w:rsidRPr="000479E9" w:rsidRDefault="00C4096A" w:rsidP="00E071FD">
      <w:pPr>
        <w:spacing w:after="0" w:line="240" w:lineRule="auto"/>
        <w:jc w:val="center"/>
        <w:rPr>
          <w:rFonts w:ascii="Times New Roman" w:hAnsi="Times New Roman" w:cs="Times New Roman"/>
          <w:b/>
          <w:sz w:val="24"/>
          <w:szCs w:val="24"/>
        </w:rPr>
      </w:pPr>
      <w:r w:rsidRPr="000479E9">
        <w:rPr>
          <w:rFonts w:ascii="Times New Roman" w:hAnsi="Times New Roman" w:cs="Times New Roman"/>
          <w:b/>
          <w:sz w:val="24"/>
          <w:szCs w:val="24"/>
        </w:rPr>
        <w:t>ZAKONA O TRŽIŠTU KAPITALA</w:t>
      </w:r>
    </w:p>
    <w:p w14:paraId="7BE7062C" w14:textId="77777777" w:rsidR="00C4096A" w:rsidRPr="000479E9" w:rsidRDefault="00C4096A" w:rsidP="00E071FD">
      <w:pPr>
        <w:spacing w:after="0" w:line="240" w:lineRule="auto"/>
        <w:jc w:val="center"/>
        <w:rPr>
          <w:rFonts w:ascii="Times New Roman" w:hAnsi="Times New Roman" w:cs="Times New Roman"/>
          <w:b/>
          <w:sz w:val="24"/>
          <w:szCs w:val="24"/>
        </w:rPr>
      </w:pPr>
    </w:p>
    <w:p w14:paraId="7C1BE8AF" w14:textId="77777777" w:rsidR="001E615F" w:rsidRPr="000479E9" w:rsidRDefault="001E615F" w:rsidP="001E615F">
      <w:pPr>
        <w:autoSpaceDE w:val="0"/>
        <w:autoSpaceDN w:val="0"/>
        <w:adjustRightInd w:val="0"/>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Članak 1.</w:t>
      </w:r>
    </w:p>
    <w:p w14:paraId="55BA72CA" w14:textId="77777777" w:rsidR="001E615F" w:rsidRPr="000479E9" w:rsidRDefault="001E615F" w:rsidP="001E615F">
      <w:pPr>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6CD29AE7" w14:textId="25B2E3A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Zakonu o tržištu kapitala („Narodne novine“, </w:t>
      </w:r>
      <w:r w:rsidRPr="000479E9">
        <w:rPr>
          <w:rFonts w:ascii="Times New Roman" w:eastAsia="Calibri" w:hAnsi="Times New Roman" w:cs="Times New Roman"/>
          <w:sz w:val="24"/>
          <w:szCs w:val="24"/>
        </w:rPr>
        <w:t>br.</w:t>
      </w:r>
      <w:r w:rsidRPr="000479E9">
        <w:rPr>
          <w:rFonts w:ascii="Times New Roman" w:eastAsia="Times New Roman" w:hAnsi="Times New Roman" w:cs="Times New Roman"/>
          <w:sz w:val="24"/>
          <w:szCs w:val="24"/>
          <w:lang w:eastAsia="hr-HR"/>
        </w:rPr>
        <w:t xml:space="preserve"> 65/18., 17/20., 83/21., 151/22., 85/24.</w:t>
      </w:r>
      <w:r w:rsidR="00A436A2"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126/25.</w:t>
      </w:r>
      <w:r w:rsidR="00A436A2" w:rsidRPr="000479E9">
        <w:rPr>
          <w:rFonts w:ascii="Times New Roman" w:eastAsia="Times New Roman" w:hAnsi="Times New Roman" w:cs="Times New Roman"/>
          <w:sz w:val="24"/>
          <w:szCs w:val="24"/>
          <w:lang w:eastAsia="hr-HR"/>
        </w:rPr>
        <w:t xml:space="preserve"> </w:t>
      </w:r>
      <w:r w:rsidR="00127D07" w:rsidRPr="000479E9">
        <w:rPr>
          <w:rFonts w:ascii="Times New Roman" w:eastAsia="Times New Roman" w:hAnsi="Times New Roman" w:cs="Times New Roman"/>
          <w:sz w:val="24"/>
          <w:szCs w:val="24"/>
          <w:lang w:eastAsia="hr-HR"/>
        </w:rPr>
        <w:t>i 45</w:t>
      </w:r>
      <w:r w:rsidR="00A436A2" w:rsidRPr="000479E9">
        <w:rPr>
          <w:rFonts w:ascii="Times New Roman" w:eastAsia="Times New Roman" w:hAnsi="Times New Roman" w:cs="Times New Roman"/>
          <w:sz w:val="24"/>
          <w:szCs w:val="24"/>
          <w:lang w:eastAsia="hr-HR"/>
        </w:rPr>
        <w:t>/26.</w:t>
      </w:r>
      <w:r w:rsidRPr="000479E9">
        <w:rPr>
          <w:rFonts w:ascii="Times New Roman" w:eastAsia="Calibri" w:hAnsi="Times New Roman" w:cs="Times New Roman"/>
          <w:sz w:val="24"/>
          <w:szCs w:val="24"/>
        </w:rPr>
        <w:t>),</w:t>
      </w:r>
      <w:r w:rsidR="00C51404" w:rsidRPr="000479E9">
        <w:rPr>
          <w:rFonts w:ascii="Times New Roman" w:eastAsia="Calibri" w:hAnsi="Times New Roman" w:cs="Times New Roman"/>
          <w:sz w:val="24"/>
          <w:szCs w:val="24"/>
        </w:rPr>
        <w:t xml:space="preserve"> u</w:t>
      </w:r>
      <w:r w:rsidRPr="000479E9">
        <w:rPr>
          <w:rFonts w:ascii="Times New Roman" w:eastAsia="Times New Roman" w:hAnsi="Times New Roman" w:cs="Times New Roman"/>
          <w:sz w:val="24"/>
          <w:szCs w:val="24"/>
          <w:lang w:eastAsia="hr-HR"/>
        </w:rPr>
        <w:t xml:space="preserve"> člank</w:t>
      </w:r>
      <w:r w:rsidR="00C51404" w:rsidRPr="000479E9">
        <w:rPr>
          <w:rFonts w:ascii="Times New Roman" w:eastAsia="Times New Roman" w:hAnsi="Times New Roman" w:cs="Times New Roman"/>
          <w:sz w:val="24"/>
          <w:szCs w:val="24"/>
          <w:lang w:eastAsia="hr-HR"/>
        </w:rPr>
        <w:t>u</w:t>
      </w:r>
      <w:r w:rsidRPr="000479E9">
        <w:rPr>
          <w:rFonts w:ascii="Times New Roman" w:eastAsia="Times New Roman" w:hAnsi="Times New Roman" w:cs="Times New Roman"/>
          <w:sz w:val="24"/>
          <w:szCs w:val="24"/>
          <w:lang w:eastAsia="hr-HR"/>
        </w:rPr>
        <w:t xml:space="preserve"> 2. stav</w:t>
      </w:r>
      <w:r w:rsidR="00B47590"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k 1. </w:t>
      </w:r>
      <w:r w:rsidR="00B47590" w:rsidRPr="000479E9">
        <w:rPr>
          <w:rFonts w:ascii="Times New Roman" w:eastAsia="Times New Roman" w:hAnsi="Times New Roman" w:cs="Times New Roman"/>
          <w:sz w:val="24"/>
          <w:szCs w:val="24"/>
          <w:lang w:eastAsia="hr-HR"/>
        </w:rPr>
        <w:t>mijenja se i glasi:</w:t>
      </w:r>
    </w:p>
    <w:p w14:paraId="668D82DB"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0C39A086" w14:textId="43B30515" w:rsidR="00B47590" w:rsidRPr="000479E9" w:rsidRDefault="00C12B17" w:rsidP="00B47590">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00B47590" w:rsidRPr="000479E9">
        <w:rPr>
          <w:rFonts w:ascii="Times New Roman" w:eastAsia="Times New Roman" w:hAnsi="Times New Roman" w:cs="Times New Roman"/>
          <w:sz w:val="24"/>
          <w:szCs w:val="24"/>
          <w:lang w:eastAsia="hr-HR"/>
        </w:rPr>
        <w:t>(1) Ovim se Zakonom u hrvatsko zakonodavstvo preuzimaju sljedeći akti Europske unije:</w:t>
      </w:r>
    </w:p>
    <w:p w14:paraId="465A8688"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p>
    <w:p w14:paraId="19CFD979" w14:textId="2DB7AF74"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Direktiva 89/117/EEZ Vijeća od 13. veljače 1989. o obvezama podružnica osnovanih u državi članici kreditnih i financijskih institucija koje imaju sjedište izvan te države članice, u pogledu objavljivanja godišnjih računovodstvenih dokumenata (SL L 44, 16. 2. 1989.)</w:t>
      </w:r>
    </w:p>
    <w:p w14:paraId="55D6B18D" w14:textId="3F55490B"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Direktiva 97/9/EZ Europskog parlamenta i Vijeća od 3. ožujka 1997. o sustavima naknada štete za investitore (SL L 84, 26. 3. 1997.) (u daljnjem tekstu: Direktiva 97/9/EZ)</w:t>
      </w:r>
    </w:p>
    <w:p w14:paraId="286649B6" w14:textId="14948C92"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Direktiva 98/26/EZ Europskog parlamenta i Vijeća od 19. svibnja 1998. o konačnosti namire u platnim sustavima i sustavima za namiru vrijednosnih papira (SL L 166, 11. 6. 1998.), kako je posljednje izmijenjena Uredbom (EU) br. 909/2014 Europskog parlamenta i Vijeća od 23. srpnja 2014. o poboljšanju namire vrijednosnih papira u Europskoj uniji i o središnjim depozitorijima vrijednosnih papira, te izmjeni direktiva 98/26/EZ i 2014/65/EU te Uredbe (EU) br. 236/2012 (Tekst značajan za EGP) (SL L 257, 28. 8. 2014.) (u daljnjem tekstu: Direktiva 98/26/EZ)</w:t>
      </w:r>
    </w:p>
    <w:p w14:paraId="77269CA3" w14:textId="39546D6C"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Direktiva 2004/109/EZ Europskog parlamenta i Vijeća od 15. prosinca 2004. o usklađivanju zahtjeva za transparentnošću u vezi s informacijama o izdavateljima čiji su vrijednosni papiri uvršteni za trgovanje na uređenom tržištu i o izmjeni Direktive 2001/34/EZ (SL L 390, 31. 12. 2004.), kako je posljednji put izmijenjena Direktivom (EU) 2023/2864 Europskog parlamenta i Vijeća od 13. prosinca 2023. o izmjeni određenih direktiva u pogledu uspostave i funkcioniranja jedinstvene europske pristupne točke (Tekst značajan za EGP) (SL L 2023/2864, 20. 12. 2023.) (u daljnjem tekstu: Direktiva 2004/109</w:t>
      </w:r>
      <w:r w:rsidR="00C12B17">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EZ)</w:t>
      </w:r>
    </w:p>
    <w:p w14:paraId="1F540B09" w14:textId="450EFA1A"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5. Direktiva Komisije 2007/14/EZ od 8. ožujka 2007. o utvrđivanju detaljnih pravila za provedbu određenih odredbi Direktive 2004/109/EZ o usklađivanju zahtjeva za transparentnošću u odnosu na informacije o izdavateljima čiji su vrijednosni papiri uvršteni za trgovanje na uređenom tržištu (SL L 69, 9. 3. 2007.), kako je posljednje izmijenjena Direktivom 2013/50/EU Europskog parlamenta i Vijeća od 22. listopada 2013. o izmjenama Direktive 2004/109/EZ Europskog parlamenta i Vijeća o usklađivanju zahtjeva za transparentnošću u vezi s informacijama o izdavateljima čiji su vrijednosni papiri uvršteni za trgovanje na uređenom tržištu, Direktive 2003/71/EZ Europskog parlamenta i Vijeća o prospektu koji je potrebno objaviti prilikom javne ponude vrijednosnih papira ili prilikom uvrštavanja u trgovanje i Direktive Komisije 2007/14/EZ o utvrđivanju detaljnih pravila za provedbu određenih odredbi Direktive 2004/109/EZ (Tekst značajan za EGP) (SL L 294, 6. 11. 2013.)</w:t>
      </w:r>
    </w:p>
    <w:p w14:paraId="76380872" w14:textId="63C24FA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Direktiva 2013/36/EU Europskog parlamenta i Vijeća od 26. lipnja 2013. o pristupanju djelatnosti kreditnih institucija i bonitetnom nadzoru nad kreditnim institucijama i investicijskim društvima, izmjeni Direktive 2002/87/EZ te stavljanju izvan snage direktiva 2006/48/EZ i 2006/49/EZ (Tekst značajan za EGP) (SL L 176, 27. 6. 2013.) (u daljnjem tekstu: Direktiva 2013/36/EU)</w:t>
      </w:r>
    </w:p>
    <w:p w14:paraId="5EA8F5BF" w14:textId="34E39176"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Direktiva 2014/51/EU Europskog parlamenta i Vijeća od 16. travnja 2014. o izmjeni direktiva 2003/71/EZ i 2009/138/EZ te uredbi (EZ) br. 1060/2009, (EU) br. 1094/2010 i (EU) br. 1095/2010 u pogledu ovlasti Europskog nadzornog tijela (Europskog nadzornog tijela za osiguranje i strukovno mirovinsko osiguranje) i Europskog nadzornog tijela (Europskog nadzornog tijela za vrijednosne papire i tržišta kapitala) (SL L 153, 22. 5. 2014.)</w:t>
      </w:r>
    </w:p>
    <w:p w14:paraId="12E895CD" w14:textId="7C57AE3E"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Direktiva 2014/57/EU Europskog parlamenta i Vijeća od 16. travnja 2014. o kaznenopravnim sankcijama za zlouporabu tržišta (Direktiva o zlouporabi tržišta) (SL L 173, 12. 6. 2014.)</w:t>
      </w:r>
    </w:p>
    <w:p w14:paraId="7FC7A526" w14:textId="6D84C740"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Direktiva 2014/59/EU Europskog parlamenta i Vijeća od 15. svibnja 2014. o uspostavi okvira za oporavak i sanaciju kreditnih institucija i investicijskih društava te o izmjeni Direktive Vijeća 82/891/EEZ i direktiva 2001/24/EZ, 2002/47/EZ, 2004/25/EZ, 2005/56/EZ, 2007/36/EZ, 2011/35/EU, 2012/30/EU i 2013/36/EU te uredbi (EU) br. 1093/2010 i (EU) br. 648/2012 Europskog parlamenta i Vijeća (Tekst značajan za EGP) (SL L 173, 12. 6. 2014.)</w:t>
      </w:r>
    </w:p>
    <w:p w14:paraId="29178E2E"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Direktiva 2014/65/EU Europskog parlamenta i Vijeća od 15. svibnja 2014. o tržištu financijskih instrumenata i izmjeni Direktive 2002/92/EZ i Direktive 2011/61/EU (preinačena) (Tekst značajan za EGP) (SL L 173, 12.6.2014.) kako je posljednje izmijenjena Direktivom (EU) 2024/2811 Europskog parlamenta i Vijeća od 23. listopada 2024. o izmjeni Direktive 2014/65/EU radi povećanja privlačnosti javnih tržišta kapitala u Uniji za društva i olakšavanja pristupa kapitalu za mala i srednja poduzeća i o stavljanja izvan snage Direktive 2001/34/EZ (Tekst značajan za EGP) (SL L 2024/2811, 14.11.2024.) (u daljnjem tekstu: Direktiva 2014/65/EU)</w:t>
      </w:r>
    </w:p>
    <w:p w14:paraId="07B6396E" w14:textId="53B27381"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Direktiva (EU) 2016/1034 Europskog parlamenta i Vijeća od 23. lipnja 2016. o izmjeni Direktive 2014/65/EU o tržištu financijskih instrumenata (Tekst značajan za EGP) (SL L 175, 30. 6. 2016.)</w:t>
      </w:r>
    </w:p>
    <w:p w14:paraId="74C5E5B5" w14:textId="465EC653" w:rsidR="00B47590" w:rsidRPr="000479E9" w:rsidRDefault="00165910" w:rsidP="00667E6F">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9</w:t>
      </w:r>
      <w:r w:rsidR="00B47590" w:rsidRPr="000479E9">
        <w:rPr>
          <w:rFonts w:ascii="Times New Roman" w:eastAsia="Times New Roman" w:hAnsi="Times New Roman" w:cs="Times New Roman"/>
          <w:sz w:val="24"/>
          <w:szCs w:val="24"/>
          <w:lang w:eastAsia="hr-HR"/>
        </w:rPr>
        <w:t>12. Delegirana direktiva Komisije (EU) 2017/593 od 7. travnja 2016. o dopuni Direktive 2014/65 Europskog parlamenta i Vijeća u vezi sa zaštitom financijskih instrumenata i novčanih sredstava koja pripadaju klijentima, obvezama upravljanja proizvodima i pravilima koja se primjenjuju na davanje ili primanje naknada, provizija ili novčanih ili nenovčanih koristi (Tekst značajan za EGP) (SL 87, 31. 3. 2017.)</w:t>
      </w:r>
      <w:r w:rsidR="00667E6F" w:rsidRPr="000479E9">
        <w:rPr>
          <w:rFonts w:ascii="Times New Roman" w:eastAsia="Times New Roman" w:hAnsi="Times New Roman" w:cs="Times New Roman"/>
          <w:sz w:val="24"/>
          <w:szCs w:val="24"/>
          <w:lang w:eastAsia="hr-HR"/>
        </w:rPr>
        <w:t xml:space="preserve"> kako je posljednje izmijenjena Delegiranom direktivom Komisije (EU) 2026/374 оd 20. veljače 2026. o izmjeni Delegirane direktive (EU) 2017/593 u pogledu uvjeta za pružanje usluga izvršavanja naloga i istraživanja trećih osoba investicijskim društvima koja pružaju usluge upravljanja portfeljem ili druge investicijske ili pomoćne usluge (SL L, 2026/374, 2.6.2026.)</w:t>
      </w:r>
    </w:p>
    <w:p w14:paraId="670A4C29"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Direktiva (EU) 2019/878 Europskog parlamenta i Vijeća od 20. svibnja 2019. o izmjeni Direktive 2013/36/EU u pogledu izuzetih subjekata, financijskih holdinga, mješovitih financijskih holdinga, primitaka, nadzornih mjera i ovlasti te mjera za očuvanje kapitala (Tekst značajan za EGP) (SL L 150, 7. 6. 2019.)</w:t>
      </w:r>
    </w:p>
    <w:p w14:paraId="1118A108" w14:textId="281321A8"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Direktiva (EU) 2019/2034 Europskog parlamenta i Vijeća od 27. studenoga 2019. o bonitetnom nadzoru nad investicijskim društvima i izmjeni direktiva 2002/87/EZ, 2009/65/EZ, 2011/61/EU, 2013/36/EU, 2014/59/EU i 2014/65/EU (Tekst značajan za EGP) (SL L 314, 5. 12. 2019.) kako je posljednje izmijenjena Direktivom (EU) 2024/2994 Europskog parlamenta i Vijeća od 27. studenoga 2024. o izmjeni direktiva 2009/65/EZ, 2013/36/EU i (EU) 2019/2034 u pogledu tretmana koncentracijskog rizika koji proizlazi iz izloženosti prema središnjim drugim ugovornim stranama te rizika druge ugovorne strane za transakcije izvedenicama čije poravnanje obavlja središnja druga ugovorna strana (Tekst značajan za EGP) (SL L</w:t>
      </w:r>
      <w:r w:rsidR="001103D7"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2024/2994, 4. 12. 2024.)</w:t>
      </w:r>
    </w:p>
    <w:p w14:paraId="78E6651A"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15. Direktiva (EU) 2019/2177 Europskog parlamenta i Vijeća od 18. prosinca 2019. o izmjeni Direktive 2009/138/EZ o osnivanju i obavljanju djelatnosti osiguranja i reosiguranja (Solventnost II), Direktive 2014/65/EU o tržištu financijskih instrumenata i Direktive (EU) 2015/849 o sprečavanju korištenja financijskog sustava u svrhu pranja novca ili financiranja terorizma (Tekst značajan za EGP) (SL L 334, 27. 12. 2019.)</w:t>
      </w:r>
    </w:p>
    <w:p w14:paraId="39C1954D"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16. Direktiva (EU) 2020/1504 Europskog parlamenta i Vijeća od 7. listopada 2020. o izmjeni Direktive 2014/65/EU o tržištu financijskih instrumenata (Tekst značajan za EGP) (SL L 347, 20. 10. 2020.)</w:t>
      </w:r>
    </w:p>
    <w:p w14:paraId="52897261"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17. Direktiva (EU) 2021/338 Europskog parlamenta i Vijeća od 16. veljače 2021. o izmjeni Direktive 2014/65/EU u pogledu zahtjeva za informacije, upravljanja proizvodima i ograničenja pozicija te direktiva 2013/36/EU i (EU) 2019/878 u pogledu njihove primjene na investicijska društva, radi potpore oporavku od krize uzrokovane bolešću COVlD-19 (Tekst značajan za EGP) (SL L 68, 26. 2. 2021.)</w:t>
      </w:r>
    </w:p>
    <w:p w14:paraId="7DF5D10C"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18. Direktiva (EU) 2022/2556 Europskog parlamenta i Vijeća od 14. prosinca 2022. o izmjeni direktiva 2009/65/EZ, 2009/138/EZ, 2011/61/EU, 2013/36/EU, 2014/59/EU, 2014/65/EU, (EU) 2015/2366 i (EU) 2016/2341 u pogledu digitalne operativne otpornosti za financijski sektor (Tekst značajan za EGP) (SL L 333, 27. 12. 2022.)</w:t>
      </w:r>
    </w:p>
    <w:p w14:paraId="5A61A315"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19. Direktiva (EU) 2023/2864 Europskog parlamenta i Vijeća od 13. prosinca 2023. o izmjeni određenih direktiva u pogledu uspostave i funkcioniranja jedinstvene europske pristupne točke (Tekst značajan za EGP) (SL L 2023/2864, 20. 12. 2023.)</w:t>
      </w:r>
    </w:p>
    <w:p w14:paraId="6EBA41DB"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20. Direktiva (EU) 2017/2399 Europskog parlamenta i Vijeća od 12. prosinca 2017. o izmjeni Direktive 2014/59/EU u pogledu rangiranja neosiguranih dužničkih instrumenata u insolvencijskoj hijerarhiji (SL L 345, 27. 12. 2017.)</w:t>
      </w:r>
    </w:p>
    <w:p w14:paraId="7A7D579B"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21. Direktiva (EU) 2019/879 Europskog parlamenta i Vijeća od 20. svibnja 2019. o izmjeni Direktive 2014/59/EU u pogledu kapaciteta pokrivanja gubitaka i dokapitalizacije kreditnih institucija i investicijskih društava te Direktive 98/26/EZ (SL L 150, 7. 6. 2019.)</w:t>
      </w:r>
    </w:p>
    <w:p w14:paraId="3596C8A0"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22. Direktiva (EU) 2025/794 Europskog parlamenta i Vijeća od 14. travnja 2025. o izmjeni direktiva (EU) 2022/2464 i (EU) 2024/1760 u pogledu datuma od kojih države članice moraju primjenjivati određene zahtjeve za korporativno izvješćivanje o održivosti i dubinsku analizu za održivo poslovanje (Tekst značajan za EGP) (SL L 2025/794, 16. 4. 2025.)</w:t>
      </w:r>
    </w:p>
    <w:p w14:paraId="749B6A94" w14:textId="77777777" w:rsidR="00B47590"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23. Direktiva (EU) 2024/2810 Europskog parlamenta i Vijeća od 23. listopada 2024. o strukturama dionica s višestrukim pravom glasa u društvima koja traže uvrštenje svojih dionica za trgovanje na multilateralnoj trgovinskoj platformi (Tekst značajan za EGP) (SL L, 2024/2810, 14. 11. 2024.)</w:t>
      </w:r>
    </w:p>
    <w:p w14:paraId="10EBA82B" w14:textId="76F6A67E" w:rsidR="007C076D" w:rsidRPr="000479E9" w:rsidRDefault="00B47590"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24. Direktiva (EU) 2024/1619 Europskog parlamenta i Vijeća od 31. svibnja 2024. o izmjeni Direktive 2013/36/EU u pogledu nadzornih ovlasti, sankcija, podružnica iz trećih zemalja i okolišnih, socijalnih i upravljačkih rizika (Tekst značajan za EGP) (SL L 2024/1619, 19. 6. 2024.) (u daljnjem tekstu: Direktiva (EU) 2024/1619)</w:t>
      </w:r>
    </w:p>
    <w:p w14:paraId="0954A269" w14:textId="4E08438E" w:rsidR="00B47590" w:rsidRPr="000479E9" w:rsidRDefault="007C076D" w:rsidP="00B4759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25. Direktiva (EU) 2026/470 Europskog parlamenta i Vijeća o izmjeni direktiva (EU) 2006/43/EC, 2013/34/EU, (EU) 2022/2464 i (EU) 2024/1760 u pogledu određenih zahtjeva za korporativno izvješćivanje o održivosti i određenih zahtjeva dubinske analize za održivo poslovanje (Tekst značajan za EGP) (SL L 2026/470, 26. 2. 2026.) (u daljnjem tekstu: Direktiva (EU) 2026/470).</w:t>
      </w:r>
      <w:r w:rsidR="00B47590" w:rsidRPr="000479E9">
        <w:rPr>
          <w:rFonts w:ascii="Times New Roman" w:eastAsia="Times New Roman" w:hAnsi="Times New Roman" w:cs="Times New Roman"/>
          <w:sz w:val="24"/>
          <w:szCs w:val="24"/>
          <w:lang w:eastAsia="hr-HR"/>
        </w:rPr>
        <w:t>“.</w:t>
      </w:r>
    </w:p>
    <w:p w14:paraId="7858078C"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4268742" w14:textId="5D0CA673"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stavku 2. točka 4. mijenja se i glasi:</w:t>
      </w:r>
    </w:p>
    <w:p w14:paraId="351FE37E"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3671D8F" w14:textId="7E67E15C"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Uredba (EU) br. 596/2014 Europskog parlamenta i Vijeća od 16. travnja 2014. o zlouporabi tržišta (Uredba o zlouporabi tržišta) te stavljanju izvan snage Direktive 2003/6/EZ Europskog parlamenta i Vijeća i direktiva Komisije 2003/124/EZ, 2003/125/EZ i 2004/72/EZ (Tekst značajan za EGP) (SL L 173, 12.6.2014.) kako je posljednji put izmijenjena Uredbom (EU) 2024/2809 Europskog parlamenta i Vijeća od 23. listopada 2024.</w:t>
      </w:r>
      <w:r w:rsidRPr="000479E9">
        <w:rPr>
          <w:rFonts w:ascii="Times New Roman" w:eastAsia="Calibri" w:hAnsi="Times New Roman" w:cs="Times New Roman"/>
          <w:sz w:val="24"/>
          <w:szCs w:val="24"/>
        </w:rPr>
        <w:t xml:space="preserve"> </w:t>
      </w:r>
      <w:r w:rsidRPr="000479E9">
        <w:rPr>
          <w:rFonts w:ascii="Times New Roman" w:eastAsia="Times New Roman" w:hAnsi="Times New Roman" w:cs="Times New Roman"/>
          <w:sz w:val="24"/>
          <w:szCs w:val="24"/>
          <w:lang w:eastAsia="hr-HR"/>
        </w:rPr>
        <w:t>o izmjeni uredaba (EU) 2017/1129, (EU) br. 596/2014 i (EU) br. 600/2014 radi povećanja privlačnosti javnih tržišta kapitala u Uniji za poduzeća i olakšavanja pristupa kapitalu za mala i srednja poduzeća (Tekst značajan za EGP) (SL L 2024/2809, 14.</w:t>
      </w:r>
      <w:r w:rsidR="007879C2"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11. </w:t>
      </w:r>
      <w:r w:rsidR="007879C2"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024.) (u daljnjem tekstu: Uredba (EU) br. 596/2014)“.</w:t>
      </w:r>
    </w:p>
    <w:p w14:paraId="45E5C70C"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1B11F7DF"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Točka 5. mijenja se i glasi:</w:t>
      </w:r>
    </w:p>
    <w:p w14:paraId="1B5ED7B1"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0856530" w14:textId="3B190939"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„5. Uredba (EU) br. 600/2014 Europskog parlamenta i Vijeća od 15. svibnja 2014. o tržištima financijskih instrumenata i izmjeni Uredbe (EU) br. 648/2012 (Tekst značajan za EGP) (SL L 173, 12.6.2014.) kako je posljednji put izmijenjena Uredbom (EU) 2024/791 Europskog parlamenta i Vijeća od 28. veljače 2024. o izmjeni Uredbe (EU) br. 600/2014 u pogledu poboljšanja transparentnosti podataka, uklanjanja prepreka uvođenju konsolidiranih podataka, optimizacije obveza trgovanja i zabrane primanja plaćanja za tok naloga (Tekst značajan za EGP) (SL L 2024/791, 8.3.2024.) kako je posljednji put izmijenjena Uredbom (EU) 2024/2809 Europskog parlamenta i Vijeća od 23. listopada 2024.</w:t>
      </w:r>
      <w:r w:rsidRPr="000479E9">
        <w:rPr>
          <w:rFonts w:ascii="Times New Roman" w:eastAsia="Calibri" w:hAnsi="Times New Roman" w:cs="Times New Roman"/>
          <w:sz w:val="24"/>
          <w:szCs w:val="24"/>
        </w:rPr>
        <w:t xml:space="preserve"> </w:t>
      </w:r>
      <w:r w:rsidRPr="000479E9">
        <w:rPr>
          <w:rFonts w:ascii="Times New Roman" w:eastAsia="Times New Roman" w:hAnsi="Times New Roman" w:cs="Times New Roman"/>
          <w:sz w:val="24"/>
          <w:szCs w:val="24"/>
          <w:lang w:eastAsia="hr-HR"/>
        </w:rPr>
        <w:t>o izmjeni uredaba (EU) 2017/1129, (EU) br. 596/2014 i (EU) br. 600/2014 radi povećanja privlačnosti javnih tržišta kapitala u Uniji za poduzeća i olakšavanja pristupa kapitalu za mala i srednja poduzeća (Tekst značajan za EGP) (SL L 2024/2809, 14.11.2024.) (u daljnjem tekstu: Uredba (EU) br. 600/2014)“.</w:t>
      </w:r>
    </w:p>
    <w:p w14:paraId="3887ABA5"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47D09E2D"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Točka 8. mijenja se i glasi:</w:t>
      </w:r>
    </w:p>
    <w:p w14:paraId="2950F7E5"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242D3FA" w14:textId="0A62FE2A"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Uredba (EU) 2017/1129 Europskog parlamenta i Vijeća od 14. lipnja 2017. o prospektu koji je potrebno objaviti prilikom javne ponude vrijednosnih papira ili prilikom uvrštavanja za trgovanje na uređenom tržištu te stavljanju izvan snage Direktive 2003/71/EZ (Tekst značajan za EGP) (SL L 168, 30.6.2017.) kako je posljednji put izmijenjena Uredbom 2024/2809 Europskog parlamenta i Vijeća od 23. listopada 2024. o izmjeni uredaba (EU) 2017/1129, (EU) br. 596/2014 i (EU) br. 600/2014 radi povećanja privlačnosti javnih tržišta kapitala u Uniji za poduzeća i olakšavanja pristupa kapitalu za mala i srednja poduzeća (Tekst značajan za EGP) (SL L 2024/2809, 14.11.2024.) (u daljnjem tekstu: Uredba (EU) 2017/1129)“.</w:t>
      </w:r>
    </w:p>
    <w:p w14:paraId="78CAD1BE"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17DD6182" w14:textId="77777777" w:rsidR="001E615F" w:rsidRPr="000479E9" w:rsidRDefault="001E615F" w:rsidP="001E615F">
      <w:pPr>
        <w:spacing w:beforeLines="30" w:before="72" w:afterLines="30" w:after="72" w:line="240" w:lineRule="auto"/>
        <w:jc w:val="center"/>
        <w:textAlignment w:val="baseline"/>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2.</w:t>
      </w:r>
    </w:p>
    <w:p w14:paraId="22F278E4" w14:textId="77777777" w:rsidR="001E615F" w:rsidRPr="000479E9" w:rsidRDefault="001E615F" w:rsidP="001E615F">
      <w:pPr>
        <w:spacing w:beforeLines="30" w:before="72" w:afterLines="30" w:after="72" w:line="240" w:lineRule="auto"/>
        <w:jc w:val="center"/>
        <w:textAlignment w:val="baseline"/>
        <w:rPr>
          <w:rFonts w:ascii="Times New Roman" w:eastAsia="Times New Roman" w:hAnsi="Times New Roman" w:cs="Times New Roman"/>
          <w:b/>
          <w:bCs/>
          <w:sz w:val="24"/>
          <w:szCs w:val="24"/>
          <w:lang w:eastAsia="hr-HR"/>
        </w:rPr>
      </w:pPr>
    </w:p>
    <w:p w14:paraId="4B14934D" w14:textId="116275F6"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3. točki 92. iza riječi: „MTP“ dodaju se riječi: „ili segment MTP-a“.</w:t>
      </w:r>
    </w:p>
    <w:p w14:paraId="15DE999D" w14:textId="6F644D22" w:rsidR="0013566B" w:rsidRPr="000479E9" w:rsidRDefault="0013566B" w:rsidP="00617A00">
      <w:pPr>
        <w:spacing w:after="0" w:line="240" w:lineRule="auto"/>
        <w:jc w:val="both"/>
        <w:rPr>
          <w:rFonts w:ascii="Times New Roman" w:eastAsia="Times New Roman" w:hAnsi="Times New Roman" w:cs="Times New Roman"/>
          <w:sz w:val="24"/>
          <w:szCs w:val="24"/>
          <w:lang w:eastAsia="hr-HR"/>
        </w:rPr>
      </w:pPr>
    </w:p>
    <w:p w14:paraId="75F00A95" w14:textId="0A030476" w:rsidR="0013566B" w:rsidRPr="000479E9" w:rsidRDefault="0013566B" w:rsidP="001644C5">
      <w:pPr>
        <w:shd w:val="clear" w:color="auto" w:fill="FFFFFF" w:themeFill="background1"/>
        <w:spacing w:beforeLines="30" w:before="72" w:afterLines="30" w:after="72" w:line="240" w:lineRule="auto"/>
        <w:jc w:val="both"/>
        <w:textAlignment w:val="baseline"/>
        <w:rPr>
          <w:rFonts w:ascii="Arial" w:eastAsia="Times New Roman" w:hAnsi="Arial" w:cs="Arial"/>
          <w:lang w:eastAsia="hr-HR"/>
        </w:rPr>
      </w:pPr>
      <w:r w:rsidRPr="000479E9">
        <w:rPr>
          <w:rFonts w:ascii="Times New Roman" w:eastAsia="Times New Roman" w:hAnsi="Times New Roman" w:cs="Times New Roman"/>
          <w:sz w:val="24"/>
          <w:szCs w:val="24"/>
          <w:lang w:eastAsia="hr-HR"/>
        </w:rPr>
        <w:t>U točki 105. riječi</w:t>
      </w:r>
      <w:r w:rsidR="00DD5BAB" w:rsidRPr="000479E9">
        <w:rPr>
          <w:rFonts w:ascii="Times New Roman" w:eastAsia="Times New Roman" w:hAnsi="Times New Roman" w:cs="Times New Roman"/>
          <w:sz w:val="24"/>
          <w:szCs w:val="24"/>
          <w:lang w:eastAsia="hr-HR"/>
        </w:rPr>
        <w:t>:</w:t>
      </w:r>
      <w:r w:rsidR="00DD5BAB" w:rsidRPr="000479E9">
        <w:rPr>
          <w:rFonts w:ascii="Arial" w:eastAsia="Times New Roman" w:hAnsi="Arial" w:cs="Arial"/>
          <w:lang w:eastAsia="hr-HR"/>
        </w:rPr>
        <w:t xml:space="preserve"> </w:t>
      </w:r>
      <w:r w:rsidR="00DD5BAB" w:rsidRPr="000479E9">
        <w:rPr>
          <w:rFonts w:ascii="Times New Roman" w:eastAsia="Times New Roman" w:hAnsi="Times New Roman" w:cs="Times New Roman"/>
          <w:sz w:val="24"/>
          <w:szCs w:val="24"/>
          <w:lang w:eastAsia="hr-HR"/>
        </w:rPr>
        <w:t>„i zakonom kojim se uređuje konačnost namire u platnim sustavima i sustavima za namiru financijskih instrumenata“</w:t>
      </w:r>
      <w:r w:rsidR="00AB3A7F"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brišu se. </w:t>
      </w:r>
    </w:p>
    <w:p w14:paraId="652051F5" w14:textId="03EBDA93" w:rsidR="0013566B" w:rsidRPr="000479E9" w:rsidRDefault="00A42373"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w:t>
      </w:r>
      <w:r w:rsidR="00DD5BAB" w:rsidRPr="000479E9">
        <w:rPr>
          <w:rFonts w:ascii="Times New Roman" w:eastAsia="Times New Roman" w:hAnsi="Times New Roman" w:cs="Times New Roman"/>
          <w:sz w:val="24"/>
          <w:szCs w:val="24"/>
          <w:lang w:eastAsia="hr-HR"/>
        </w:rPr>
        <w:t xml:space="preserve"> točk</w:t>
      </w:r>
      <w:r w:rsidRPr="000479E9">
        <w:rPr>
          <w:rFonts w:ascii="Times New Roman" w:eastAsia="Times New Roman" w:hAnsi="Times New Roman" w:cs="Times New Roman"/>
          <w:sz w:val="24"/>
          <w:szCs w:val="24"/>
          <w:lang w:eastAsia="hr-HR"/>
        </w:rPr>
        <w:t>i</w:t>
      </w:r>
      <w:r w:rsidR="00DD5BAB" w:rsidRPr="000479E9">
        <w:rPr>
          <w:rFonts w:ascii="Times New Roman" w:eastAsia="Times New Roman" w:hAnsi="Times New Roman" w:cs="Times New Roman"/>
          <w:sz w:val="24"/>
          <w:szCs w:val="24"/>
          <w:lang w:eastAsia="hr-HR"/>
        </w:rPr>
        <w:t xml:space="preserve"> 144. </w:t>
      </w:r>
      <w:r w:rsidRPr="000479E9">
        <w:rPr>
          <w:rFonts w:ascii="Times New Roman" w:eastAsia="Times New Roman" w:hAnsi="Times New Roman" w:cs="Times New Roman"/>
          <w:sz w:val="24"/>
          <w:szCs w:val="24"/>
          <w:lang w:eastAsia="hr-HR"/>
        </w:rPr>
        <w:t xml:space="preserve">na kraju rečenice </w:t>
      </w:r>
      <w:r w:rsidR="00DD5BAB" w:rsidRPr="000479E9">
        <w:rPr>
          <w:rFonts w:ascii="Times New Roman" w:eastAsia="Times New Roman" w:hAnsi="Times New Roman" w:cs="Times New Roman"/>
          <w:sz w:val="24"/>
          <w:szCs w:val="24"/>
          <w:lang w:eastAsia="hr-HR"/>
        </w:rPr>
        <w:t>briše se točka i d</w:t>
      </w:r>
      <w:r w:rsidR="0013566B" w:rsidRPr="000479E9">
        <w:rPr>
          <w:rFonts w:ascii="Times New Roman" w:eastAsia="Times New Roman" w:hAnsi="Times New Roman" w:cs="Times New Roman"/>
          <w:sz w:val="24"/>
          <w:szCs w:val="24"/>
          <w:lang w:eastAsia="hr-HR"/>
        </w:rPr>
        <w:t>odaju se točk</w:t>
      </w:r>
      <w:r w:rsidR="00706A5D" w:rsidRPr="000479E9">
        <w:rPr>
          <w:rFonts w:ascii="Times New Roman" w:eastAsia="Times New Roman" w:hAnsi="Times New Roman" w:cs="Times New Roman"/>
          <w:sz w:val="24"/>
          <w:szCs w:val="24"/>
          <w:lang w:eastAsia="hr-HR"/>
        </w:rPr>
        <w:t>e</w:t>
      </w:r>
      <w:r w:rsidR="0013566B" w:rsidRPr="000479E9">
        <w:rPr>
          <w:rFonts w:ascii="Times New Roman" w:eastAsia="Times New Roman" w:hAnsi="Times New Roman" w:cs="Times New Roman"/>
          <w:sz w:val="24"/>
          <w:szCs w:val="24"/>
          <w:lang w:eastAsia="hr-HR"/>
        </w:rPr>
        <w:t xml:space="preserve"> 145.</w:t>
      </w:r>
      <w:r w:rsidRPr="000479E9">
        <w:rPr>
          <w:rFonts w:ascii="Times New Roman" w:eastAsia="Times New Roman" w:hAnsi="Times New Roman" w:cs="Times New Roman"/>
          <w:sz w:val="24"/>
          <w:szCs w:val="24"/>
          <w:lang w:eastAsia="hr-HR"/>
        </w:rPr>
        <w:t>, 146. i</w:t>
      </w:r>
      <w:r w:rsidR="0013566B" w:rsidRPr="000479E9">
        <w:rPr>
          <w:rFonts w:ascii="Times New Roman" w:eastAsia="Times New Roman" w:hAnsi="Times New Roman" w:cs="Times New Roman"/>
          <w:sz w:val="24"/>
          <w:szCs w:val="24"/>
          <w:lang w:eastAsia="hr-HR"/>
        </w:rPr>
        <w:t xml:space="preserve"> 147. koje glase: </w:t>
      </w:r>
    </w:p>
    <w:p w14:paraId="05DB34CE" w14:textId="7BD0AF6D" w:rsidR="0013566B" w:rsidRPr="000479E9" w:rsidRDefault="0013566B" w:rsidP="0013566B">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br/>
        <w:t xml:space="preserve">„145. </w:t>
      </w:r>
      <w:r w:rsidRPr="000479E9">
        <w:rPr>
          <w:rFonts w:ascii="Times New Roman" w:eastAsia="Times New Roman" w:hAnsi="Times New Roman" w:cs="Times New Roman"/>
          <w:i/>
          <w:sz w:val="24"/>
          <w:szCs w:val="24"/>
          <w:lang w:eastAsia="hr-HR"/>
        </w:rPr>
        <w:t>kvalificirana središnja druga ugovorna strana</w:t>
      </w:r>
      <w:r w:rsidRPr="000479E9">
        <w:rPr>
          <w:rFonts w:ascii="Times New Roman" w:eastAsia="Times New Roman" w:hAnsi="Times New Roman" w:cs="Times New Roman"/>
          <w:sz w:val="24"/>
          <w:szCs w:val="24"/>
          <w:lang w:eastAsia="hr-HR"/>
        </w:rPr>
        <w:t xml:space="preserve"> znači kvalificirana središnja druga ugovorna strana kako je definirana u članku 4. stavku 1. točki 88. Uredbe (EU) br. 575/2013</w:t>
      </w:r>
    </w:p>
    <w:p w14:paraId="22778477" w14:textId="758455DC" w:rsidR="0013566B" w:rsidRPr="000479E9" w:rsidRDefault="0013566B" w:rsidP="0013566B">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146. </w:t>
      </w:r>
      <w:r w:rsidRPr="000479E9">
        <w:rPr>
          <w:rFonts w:ascii="Times New Roman" w:eastAsia="Times New Roman" w:hAnsi="Times New Roman" w:cs="Times New Roman"/>
          <w:i/>
          <w:sz w:val="24"/>
          <w:szCs w:val="24"/>
          <w:lang w:eastAsia="hr-HR"/>
        </w:rPr>
        <w:t>dionica s višestrukim pravom glasa</w:t>
      </w:r>
      <w:r w:rsidRPr="000479E9">
        <w:rPr>
          <w:rFonts w:ascii="Times New Roman" w:eastAsia="Times New Roman" w:hAnsi="Times New Roman" w:cs="Times New Roman"/>
          <w:sz w:val="24"/>
          <w:szCs w:val="24"/>
          <w:lang w:eastAsia="hr-HR"/>
        </w:rPr>
        <w:t xml:space="preserve"> znači dionica koja pripada zasebnom i odvojenom rodu dionica u kojem dionice nose više glasova po dionici od nekog drugog roda dionica s glasačkim pravima u pitanjima o kojima se odlučuje na glavnoj skupštini dioničara</w:t>
      </w:r>
    </w:p>
    <w:p w14:paraId="69250750" w14:textId="18174D97" w:rsidR="0013566B" w:rsidRPr="000479E9" w:rsidRDefault="0013566B" w:rsidP="0013566B">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 xml:space="preserve">147. </w:t>
      </w:r>
      <w:r w:rsidRPr="000479E9">
        <w:rPr>
          <w:rFonts w:ascii="Times New Roman" w:eastAsia="Times New Roman" w:hAnsi="Times New Roman" w:cs="Times New Roman"/>
          <w:i/>
          <w:sz w:val="24"/>
          <w:szCs w:val="24"/>
          <w:lang w:eastAsia="hr-HR"/>
        </w:rPr>
        <w:t>struktura dionica s višestrukim pravom glasa</w:t>
      </w:r>
      <w:r w:rsidRPr="000479E9">
        <w:rPr>
          <w:rFonts w:ascii="Times New Roman" w:eastAsia="Times New Roman" w:hAnsi="Times New Roman" w:cs="Times New Roman"/>
          <w:sz w:val="24"/>
          <w:szCs w:val="24"/>
          <w:lang w:eastAsia="hr-HR"/>
        </w:rPr>
        <w:t xml:space="preserve"> znači dionička struktura društva s najmanje jednim rodom dionica s višestrukim pravom glasa.“</w:t>
      </w:r>
      <w:r w:rsidR="00DD5BAB" w:rsidRPr="000479E9">
        <w:rPr>
          <w:rFonts w:ascii="Times New Roman" w:eastAsia="Times New Roman" w:hAnsi="Times New Roman" w:cs="Times New Roman"/>
          <w:sz w:val="24"/>
          <w:szCs w:val="24"/>
          <w:lang w:eastAsia="hr-HR"/>
        </w:rPr>
        <w:t>.</w:t>
      </w:r>
    </w:p>
    <w:p w14:paraId="6F63CDF5"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45B0872" w14:textId="3B5143F4" w:rsidR="001E57A3" w:rsidRPr="000479E9" w:rsidRDefault="001E57A3"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3.</w:t>
      </w:r>
    </w:p>
    <w:p w14:paraId="37A8C5E7" w14:textId="049604BA" w:rsidR="001E57A3" w:rsidRPr="000479E9" w:rsidRDefault="001E57A3" w:rsidP="00617A00">
      <w:pPr>
        <w:spacing w:after="0" w:line="240" w:lineRule="auto"/>
        <w:jc w:val="center"/>
        <w:rPr>
          <w:rFonts w:ascii="Times New Roman" w:eastAsia="Times New Roman" w:hAnsi="Times New Roman" w:cs="Times New Roman"/>
          <w:b/>
          <w:bCs/>
          <w:sz w:val="24"/>
          <w:szCs w:val="24"/>
          <w:lang w:eastAsia="hr-HR"/>
        </w:rPr>
      </w:pPr>
    </w:p>
    <w:p w14:paraId="3B45C942" w14:textId="455F051B" w:rsidR="001E57A3" w:rsidRPr="000479E9" w:rsidRDefault="001E57A3" w:rsidP="001E57A3">
      <w:pPr>
        <w:spacing w:after="0" w:line="240" w:lineRule="auto"/>
        <w:jc w:val="both"/>
      </w:pPr>
      <w:r w:rsidRPr="000479E9">
        <w:rPr>
          <w:rFonts w:ascii="Times New Roman" w:eastAsia="Times New Roman" w:hAnsi="Times New Roman" w:cs="Times New Roman"/>
          <w:sz w:val="24"/>
          <w:szCs w:val="24"/>
          <w:lang w:eastAsia="hr-HR"/>
        </w:rPr>
        <w:t>U članku 7. stavku 3. točka 1. mijenja se i glasi: „</w:t>
      </w:r>
      <w:r w:rsidR="00C12B17">
        <w:rPr>
          <w:rFonts w:ascii="Times New Roman" w:eastAsia="Times New Roman" w:hAnsi="Times New Roman" w:cs="Times New Roman"/>
          <w:sz w:val="24"/>
          <w:szCs w:val="24"/>
          <w:lang w:eastAsia="hr-HR"/>
        </w:rPr>
        <w:t xml:space="preserve">1. </w:t>
      </w:r>
      <w:r w:rsidRPr="000479E9">
        <w:rPr>
          <w:rFonts w:ascii="Times New Roman" w:eastAsia="Times New Roman" w:hAnsi="Times New Roman" w:cs="Times New Roman"/>
          <w:sz w:val="24"/>
          <w:szCs w:val="24"/>
          <w:lang w:eastAsia="hr-HR"/>
        </w:rPr>
        <w:t>članak 31. stavci 1., 4. i 5. i članak 36. ovoga Zakona“.</w:t>
      </w:r>
    </w:p>
    <w:p w14:paraId="106D18AF" w14:textId="77777777" w:rsidR="001E57A3" w:rsidRPr="000479E9" w:rsidRDefault="001E57A3" w:rsidP="00617A00">
      <w:pPr>
        <w:spacing w:after="0" w:line="240" w:lineRule="auto"/>
        <w:jc w:val="center"/>
        <w:rPr>
          <w:rFonts w:ascii="Times New Roman" w:eastAsia="Times New Roman" w:hAnsi="Times New Roman" w:cs="Times New Roman"/>
          <w:b/>
          <w:bCs/>
          <w:sz w:val="24"/>
          <w:szCs w:val="24"/>
          <w:lang w:eastAsia="hr-HR"/>
        </w:rPr>
      </w:pPr>
    </w:p>
    <w:p w14:paraId="62E119CD" w14:textId="00FF00E1"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3C5517" w:rsidRPr="000479E9">
        <w:rPr>
          <w:rFonts w:ascii="Times New Roman" w:eastAsia="Times New Roman" w:hAnsi="Times New Roman" w:cs="Times New Roman"/>
          <w:b/>
          <w:bCs/>
          <w:sz w:val="24"/>
          <w:szCs w:val="24"/>
          <w:lang w:eastAsia="hr-HR"/>
        </w:rPr>
        <w:t>4</w:t>
      </w:r>
      <w:r w:rsidRPr="000479E9">
        <w:rPr>
          <w:rFonts w:ascii="Times New Roman" w:eastAsia="Times New Roman" w:hAnsi="Times New Roman" w:cs="Times New Roman"/>
          <w:b/>
          <w:bCs/>
          <w:sz w:val="24"/>
          <w:szCs w:val="24"/>
          <w:lang w:eastAsia="hr-HR"/>
        </w:rPr>
        <w:t>.</w:t>
      </w:r>
    </w:p>
    <w:p w14:paraId="70A7B997"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6D87DA2D"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21. stavku 3. iza riječi: „pravomoćnoj osuđivanosti“ dodaju se riječi: „namjeravanog stjecatelja i“.</w:t>
      </w:r>
    </w:p>
    <w:p w14:paraId="0FC9E82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7E8F28F" w14:textId="51D158DB" w:rsidR="02955D69" w:rsidRPr="000479E9" w:rsidRDefault="02955D69" w:rsidP="2307391F">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3C5517" w:rsidRPr="000479E9">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3443ECF1" w14:textId="4D809CA1" w:rsidR="2307391F" w:rsidRPr="000479E9" w:rsidRDefault="2307391F" w:rsidP="000D138D">
      <w:pPr>
        <w:spacing w:after="0" w:line="240" w:lineRule="auto"/>
        <w:jc w:val="both"/>
        <w:rPr>
          <w:rFonts w:ascii="Times New Roman" w:eastAsia="Times New Roman" w:hAnsi="Times New Roman" w:cs="Times New Roman"/>
          <w:b/>
          <w:bCs/>
          <w:sz w:val="24"/>
          <w:szCs w:val="24"/>
          <w:lang w:eastAsia="hr-HR"/>
        </w:rPr>
      </w:pPr>
    </w:p>
    <w:p w14:paraId="0BD5E78D" w14:textId="0DF8E2D4" w:rsidR="02955D69" w:rsidRPr="000479E9" w:rsidRDefault="02955D69" w:rsidP="568DEFC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27. stavak 3. mijenja se i glasi: </w:t>
      </w:r>
    </w:p>
    <w:p w14:paraId="2022944B" w14:textId="77777777" w:rsidR="00715D52" w:rsidRPr="000479E9" w:rsidRDefault="00715D52" w:rsidP="568DEFCA">
      <w:pPr>
        <w:spacing w:after="0" w:line="240" w:lineRule="auto"/>
        <w:jc w:val="both"/>
        <w:rPr>
          <w:rFonts w:ascii="Times New Roman" w:eastAsia="Times New Roman" w:hAnsi="Times New Roman" w:cs="Times New Roman"/>
          <w:sz w:val="24"/>
          <w:szCs w:val="24"/>
          <w:lang w:eastAsia="hr-HR"/>
        </w:rPr>
      </w:pPr>
    </w:p>
    <w:p w14:paraId="44397195" w14:textId="2FBB1845" w:rsidR="02955D69" w:rsidRPr="000479E9" w:rsidRDefault="00715D52" w:rsidP="2307391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2955D69" w:rsidRPr="000479E9">
        <w:rPr>
          <w:rFonts w:ascii="Times New Roman" w:eastAsia="Times New Roman" w:hAnsi="Times New Roman" w:cs="Times New Roman"/>
          <w:sz w:val="24"/>
          <w:szCs w:val="24"/>
          <w:lang w:eastAsia="hr-HR"/>
        </w:rPr>
        <w:t>(3) Čla</w:t>
      </w:r>
      <w:r w:rsidR="2FA63BB6" w:rsidRPr="000479E9">
        <w:rPr>
          <w:rFonts w:ascii="Times New Roman" w:eastAsia="Times New Roman" w:hAnsi="Times New Roman" w:cs="Times New Roman"/>
          <w:sz w:val="24"/>
          <w:szCs w:val="24"/>
          <w:lang w:eastAsia="hr-HR"/>
        </w:rPr>
        <w:t xml:space="preserve">novi uprave moraju </w:t>
      </w:r>
      <w:r w:rsidR="6958D4D3" w:rsidRPr="000479E9">
        <w:rPr>
          <w:rFonts w:ascii="Times New Roman" w:eastAsia="Times New Roman" w:hAnsi="Times New Roman" w:cs="Times New Roman"/>
          <w:sz w:val="24"/>
          <w:szCs w:val="24"/>
          <w:lang w:eastAsia="hr-HR"/>
        </w:rPr>
        <w:t>vođenju</w:t>
      </w:r>
      <w:r w:rsidR="2FA63BB6" w:rsidRPr="000479E9">
        <w:rPr>
          <w:rFonts w:ascii="Times New Roman" w:eastAsia="Times New Roman" w:hAnsi="Times New Roman" w:cs="Times New Roman"/>
          <w:sz w:val="24"/>
          <w:szCs w:val="24"/>
          <w:lang w:eastAsia="hr-HR"/>
        </w:rPr>
        <w:t xml:space="preserve"> poslova investicijskog društva posvetiti dovoljno vremena, a najmanje jedan član uprave mora obavljati poslove upravljanja investicij</w:t>
      </w:r>
      <w:r w:rsidR="293AFA7C" w:rsidRPr="000479E9">
        <w:rPr>
          <w:rFonts w:ascii="Times New Roman" w:eastAsia="Times New Roman" w:hAnsi="Times New Roman" w:cs="Times New Roman"/>
          <w:sz w:val="24"/>
          <w:szCs w:val="24"/>
          <w:lang w:eastAsia="hr-HR"/>
        </w:rPr>
        <w:t>skim društvom najmanje pola radnog vremena.</w:t>
      </w:r>
      <w:r w:rsidR="7D6D3E39"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w:t>
      </w:r>
    </w:p>
    <w:p w14:paraId="7C729B38" w14:textId="3A22F4BE" w:rsidR="1A67AAB9" w:rsidRPr="000479E9" w:rsidRDefault="1A67AAB9" w:rsidP="1A67AAB9">
      <w:pPr>
        <w:spacing w:after="0" w:line="240" w:lineRule="auto"/>
        <w:jc w:val="both"/>
        <w:rPr>
          <w:rFonts w:ascii="Times New Roman" w:eastAsia="Times New Roman" w:hAnsi="Times New Roman" w:cs="Times New Roman"/>
          <w:sz w:val="24"/>
          <w:szCs w:val="24"/>
          <w:lang w:eastAsia="hr-HR"/>
        </w:rPr>
      </w:pPr>
    </w:p>
    <w:p w14:paraId="240E3913" w14:textId="6F5E1CF1" w:rsidR="000D138D" w:rsidRPr="000479E9" w:rsidRDefault="7D6D3E39" w:rsidP="1A67AAB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stavku 10. </w:t>
      </w:r>
      <w:r w:rsidR="00C573FA" w:rsidRPr="000479E9">
        <w:rPr>
          <w:rFonts w:ascii="Times New Roman" w:eastAsia="Times New Roman" w:hAnsi="Times New Roman" w:cs="Times New Roman"/>
          <w:sz w:val="24"/>
          <w:szCs w:val="24"/>
          <w:lang w:eastAsia="hr-HR"/>
        </w:rPr>
        <w:t>iza riječi: „obavlja“</w:t>
      </w:r>
      <w:r w:rsidR="00871FB5" w:rsidRPr="000479E9">
        <w:rPr>
          <w:rFonts w:ascii="Times New Roman" w:eastAsia="Times New Roman" w:hAnsi="Times New Roman" w:cs="Times New Roman"/>
          <w:sz w:val="24"/>
          <w:szCs w:val="24"/>
          <w:lang w:eastAsia="hr-HR"/>
        </w:rPr>
        <w:t xml:space="preserve"> </w:t>
      </w:r>
      <w:r w:rsidR="0056366C" w:rsidRPr="000479E9">
        <w:rPr>
          <w:rFonts w:ascii="Times New Roman" w:eastAsia="Times New Roman" w:hAnsi="Times New Roman" w:cs="Times New Roman"/>
          <w:sz w:val="24"/>
          <w:szCs w:val="24"/>
          <w:lang w:eastAsia="hr-HR"/>
        </w:rPr>
        <w:t>dodaj</w:t>
      </w:r>
      <w:r w:rsidR="00117BD8" w:rsidRPr="000479E9">
        <w:rPr>
          <w:rFonts w:ascii="Times New Roman" w:eastAsia="Times New Roman" w:hAnsi="Times New Roman" w:cs="Times New Roman"/>
          <w:sz w:val="24"/>
          <w:szCs w:val="24"/>
          <w:lang w:eastAsia="hr-HR"/>
        </w:rPr>
        <w:t>u</w:t>
      </w:r>
      <w:r w:rsidR="0056366C" w:rsidRPr="000479E9">
        <w:rPr>
          <w:rFonts w:ascii="Times New Roman" w:eastAsia="Times New Roman" w:hAnsi="Times New Roman" w:cs="Times New Roman"/>
          <w:sz w:val="24"/>
          <w:szCs w:val="24"/>
          <w:lang w:eastAsia="hr-HR"/>
        </w:rPr>
        <w:t xml:space="preserve"> se zarez i </w:t>
      </w:r>
      <w:r w:rsidR="166243A5" w:rsidRPr="000479E9">
        <w:rPr>
          <w:rFonts w:ascii="Times New Roman" w:eastAsia="Times New Roman" w:hAnsi="Times New Roman" w:cs="Times New Roman"/>
          <w:sz w:val="24"/>
          <w:szCs w:val="24"/>
          <w:lang w:eastAsia="hr-HR"/>
        </w:rPr>
        <w:t>riječi</w:t>
      </w:r>
      <w:r w:rsidR="00581533" w:rsidRPr="000479E9">
        <w:rPr>
          <w:rFonts w:ascii="Times New Roman" w:eastAsia="Times New Roman" w:hAnsi="Times New Roman" w:cs="Times New Roman"/>
          <w:sz w:val="24"/>
          <w:szCs w:val="24"/>
          <w:lang w:eastAsia="hr-HR"/>
        </w:rPr>
        <w:t>:</w:t>
      </w:r>
      <w:r w:rsidR="166243A5" w:rsidRPr="000479E9">
        <w:rPr>
          <w:rFonts w:ascii="Times New Roman" w:eastAsia="Times New Roman" w:hAnsi="Times New Roman" w:cs="Times New Roman"/>
          <w:sz w:val="24"/>
          <w:szCs w:val="24"/>
          <w:lang w:eastAsia="hr-HR"/>
        </w:rPr>
        <w:t xml:space="preserve"> </w:t>
      </w:r>
      <w:r w:rsidR="00581533" w:rsidRPr="000479E9">
        <w:rPr>
          <w:rFonts w:ascii="Times New Roman" w:eastAsia="Times New Roman" w:hAnsi="Times New Roman" w:cs="Times New Roman"/>
          <w:sz w:val="24"/>
          <w:szCs w:val="24"/>
          <w:lang w:eastAsia="hr-HR"/>
        </w:rPr>
        <w:t>„</w:t>
      </w:r>
      <w:r w:rsidR="166243A5" w:rsidRPr="000479E9">
        <w:rPr>
          <w:rFonts w:ascii="Times New Roman" w:eastAsia="Times New Roman" w:hAnsi="Times New Roman" w:cs="Times New Roman"/>
          <w:sz w:val="24"/>
          <w:szCs w:val="24"/>
          <w:lang w:eastAsia="hr-HR"/>
        </w:rPr>
        <w:t>pri čemu taj član uprave mora voditi poslove investicijskog društva u punom radnom vremenu”</w:t>
      </w:r>
      <w:r w:rsidR="00715D52" w:rsidRPr="000479E9">
        <w:rPr>
          <w:rFonts w:ascii="Times New Roman" w:eastAsia="Times New Roman" w:hAnsi="Times New Roman" w:cs="Times New Roman"/>
          <w:sz w:val="24"/>
          <w:szCs w:val="24"/>
          <w:lang w:eastAsia="hr-HR"/>
        </w:rPr>
        <w:t>.</w:t>
      </w:r>
    </w:p>
    <w:p w14:paraId="03EF012F" w14:textId="5DF10872" w:rsidR="2307391F" w:rsidRPr="000479E9" w:rsidRDefault="2307391F" w:rsidP="2307391F">
      <w:pPr>
        <w:spacing w:after="0" w:line="240" w:lineRule="auto"/>
        <w:jc w:val="center"/>
        <w:rPr>
          <w:rFonts w:ascii="Times New Roman" w:eastAsia="Times New Roman" w:hAnsi="Times New Roman" w:cs="Times New Roman"/>
          <w:b/>
          <w:bCs/>
          <w:sz w:val="24"/>
          <w:szCs w:val="24"/>
          <w:lang w:eastAsia="hr-HR"/>
        </w:rPr>
      </w:pPr>
    </w:p>
    <w:p w14:paraId="36CA3023" w14:textId="674AAE56" w:rsidR="76B17BEB" w:rsidRPr="000479E9" w:rsidRDefault="76B17BEB" w:rsidP="1A67AAB9">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AA7672"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6C6457A5" w14:textId="1FA90C43" w:rsidR="1A67AAB9" w:rsidRPr="000479E9" w:rsidRDefault="1A67AAB9" w:rsidP="000D138D">
      <w:pPr>
        <w:spacing w:after="0" w:line="240" w:lineRule="auto"/>
        <w:jc w:val="both"/>
        <w:rPr>
          <w:rFonts w:ascii="Times New Roman" w:eastAsia="Times New Roman" w:hAnsi="Times New Roman" w:cs="Times New Roman"/>
          <w:b/>
          <w:bCs/>
          <w:sz w:val="24"/>
          <w:szCs w:val="24"/>
          <w:lang w:eastAsia="hr-HR"/>
        </w:rPr>
      </w:pPr>
    </w:p>
    <w:p w14:paraId="258801F4" w14:textId="77777777" w:rsidR="00B65A7C" w:rsidRPr="000479E9" w:rsidRDefault="00B65A7C"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28. mijenja se i glasi:</w:t>
      </w:r>
    </w:p>
    <w:p w14:paraId="0E9147B3" w14:textId="77777777" w:rsidR="001E615F" w:rsidRPr="000479E9" w:rsidRDefault="001E615F" w:rsidP="00B65A7C">
      <w:pPr>
        <w:spacing w:after="0" w:line="240" w:lineRule="auto"/>
        <w:jc w:val="both"/>
        <w:rPr>
          <w:rFonts w:ascii="Times New Roman" w:eastAsia="Times New Roman" w:hAnsi="Times New Roman" w:cs="Times New Roman"/>
          <w:sz w:val="24"/>
          <w:szCs w:val="24"/>
          <w:lang w:eastAsia="hr-HR"/>
        </w:rPr>
      </w:pPr>
    </w:p>
    <w:p w14:paraId="6374E7AB" w14:textId="75AFE806" w:rsidR="00B65A7C" w:rsidRPr="000479E9" w:rsidRDefault="00E42E8D"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w:t>
      </w:r>
      <w:r w:rsidR="00B65A7C" w:rsidRPr="000479E9">
        <w:rPr>
          <w:rFonts w:ascii="Times New Roman" w:hAnsi="Times New Roman" w:cs="Times New Roman"/>
          <w:sz w:val="24"/>
          <w:szCs w:val="24"/>
        </w:rPr>
        <w:t>(1) Član uprave investicijskog društva može biti osoba koja u svakom trenutku dok obavlja tu dužnost:</w:t>
      </w:r>
    </w:p>
    <w:p w14:paraId="16E86F01"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 ispunjava uvjete za člana uprave propisane zakonom kojim se uređuje osnivanje i ustroj trgovačkih društava</w:t>
      </w:r>
    </w:p>
    <w:p w14:paraId="6DF731B5"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2. ima dobar ugled te postupa pošteno, časno i s neovisnošću mišljenja kako bi mogao učinkovito procjenjivati i preispitivati odluke uprave te učinkovito nadzirati i pratiti donošenje odluka</w:t>
      </w:r>
    </w:p>
    <w:p w14:paraId="3F3ADD5F"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3. ima odgovarajuća stručna znanja, sposobnost i iskustvo potrebno za vođenje poslova investicijskog društva</w:t>
      </w:r>
    </w:p>
    <w:p w14:paraId="504B5FA6"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4. nije u sukobu interesa u odnosu na investicijsko društvo, članove nadzornog odbora ako ih ima, nositelje ključnih funkcija i više rukovodstvo investicijskog društva</w:t>
      </w:r>
    </w:p>
    <w:p w14:paraId="76A150D9"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5. za koju je na osnovi dosadašnjeg ponašanja moguće opravdano zaključiti da će pošteno i savjesno obavljati poslove člana uprave investicijskog društva</w:t>
      </w:r>
    </w:p>
    <w:p w14:paraId="25A7841A" w14:textId="08893C6B"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6. može posvetiti dovoljno vremena ispunjavanju dužnosti iz svoje nadležnosti u investicijskom društvu</w:t>
      </w:r>
      <w:r w:rsidR="00C308CD">
        <w:rPr>
          <w:rFonts w:ascii="Times New Roman" w:hAnsi="Times New Roman" w:cs="Times New Roman"/>
          <w:sz w:val="24"/>
          <w:szCs w:val="24"/>
        </w:rPr>
        <w:t>.</w:t>
      </w:r>
    </w:p>
    <w:p w14:paraId="2683A93F" w14:textId="77777777" w:rsidR="00B65A7C" w:rsidRPr="000479E9" w:rsidRDefault="00B65A7C" w:rsidP="00AD744C">
      <w:pPr>
        <w:jc w:val="both"/>
        <w:rPr>
          <w:rFonts w:ascii="Times New Roman" w:hAnsi="Times New Roman" w:cs="Times New Roman"/>
          <w:sz w:val="24"/>
          <w:szCs w:val="24"/>
        </w:rPr>
      </w:pPr>
      <w:r w:rsidRPr="000479E9">
        <w:rPr>
          <w:rFonts w:ascii="Times New Roman" w:hAnsi="Times New Roman" w:cs="Times New Roman"/>
          <w:sz w:val="24"/>
          <w:szCs w:val="24"/>
        </w:rPr>
        <w:t>(2) Nadzorni odnosno upravni odbor investicijskog društva dužan je donijeti i primjenjivati primjerenu politiku za izbor i procjenu ispunjenja uvjeta za članove uprave investicijskog društva. Ta politika mora kao jedan od kriterija za odabir članova uprave postaviti širok raspon kvaliteta i kompetencija, kao i promicanje raznolikosti uprave i rodne ravnoteže.</w:t>
      </w:r>
    </w:p>
    <w:p w14:paraId="24009A86" w14:textId="77777777" w:rsidR="00B65A7C" w:rsidRPr="000479E9" w:rsidRDefault="00B65A7C" w:rsidP="00B65A7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(3) Investicijsko društvo dužno je osigurati da članovi uprave u svakom trenutku ispunjavaju uvjete iz stavka 1. ovoga članka te provoditi procjenu njihove primjerenosti prije preuzimanja dužnosti i periodično tijekom obavljanja funkcije. </w:t>
      </w:r>
    </w:p>
    <w:p w14:paraId="4634C8D7" w14:textId="77777777" w:rsidR="00B65A7C" w:rsidRPr="000479E9" w:rsidRDefault="00B65A7C" w:rsidP="00B65A7C">
      <w:pPr>
        <w:spacing w:after="0" w:line="240" w:lineRule="auto"/>
        <w:jc w:val="both"/>
        <w:rPr>
          <w:rFonts w:ascii="Times New Roman" w:eastAsia="Times New Roman" w:hAnsi="Times New Roman" w:cs="Times New Roman"/>
          <w:sz w:val="24"/>
          <w:szCs w:val="24"/>
          <w:lang w:eastAsia="hr-HR"/>
        </w:rPr>
      </w:pPr>
    </w:p>
    <w:p w14:paraId="7209C8DA" w14:textId="753F9EEF" w:rsidR="00B65A7C" w:rsidRPr="000479E9" w:rsidRDefault="00B65A7C" w:rsidP="00B65A7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Prilikom procjene</w:t>
      </w:r>
      <w:r w:rsidR="003C5517" w:rsidRPr="000479E9">
        <w:rPr>
          <w:rFonts w:ascii="Times New Roman" w:eastAsia="Times New Roman" w:hAnsi="Times New Roman" w:cs="Times New Roman"/>
          <w:sz w:val="24"/>
          <w:szCs w:val="24"/>
          <w:lang w:eastAsia="hr-HR"/>
        </w:rPr>
        <w:t xml:space="preserve"> uvjeta</w:t>
      </w:r>
      <w:r w:rsidRPr="000479E9">
        <w:rPr>
          <w:rFonts w:ascii="Times New Roman" w:eastAsia="Times New Roman" w:hAnsi="Times New Roman" w:cs="Times New Roman"/>
          <w:sz w:val="24"/>
          <w:szCs w:val="24"/>
          <w:lang w:eastAsia="hr-HR"/>
        </w:rPr>
        <w:t xml:space="preserve"> iz stavka 1. </w:t>
      </w:r>
      <w:r w:rsidR="003C5517" w:rsidRPr="000479E9">
        <w:rPr>
          <w:rFonts w:ascii="Times New Roman" w:eastAsia="Times New Roman" w:hAnsi="Times New Roman" w:cs="Times New Roman"/>
          <w:sz w:val="24"/>
          <w:szCs w:val="24"/>
          <w:lang w:eastAsia="hr-HR"/>
        </w:rPr>
        <w:t xml:space="preserve">ovoga članka </w:t>
      </w:r>
      <w:r w:rsidRPr="000479E9">
        <w:rPr>
          <w:rFonts w:ascii="Times New Roman" w:eastAsia="Times New Roman" w:hAnsi="Times New Roman" w:cs="Times New Roman"/>
          <w:sz w:val="24"/>
          <w:szCs w:val="24"/>
          <w:lang w:eastAsia="hr-HR"/>
        </w:rPr>
        <w:t>u obzir se uzima i to je li član uprave investicijskog društva suradnik osobe osuđene za kazneno djelo za koje se goni po službenoj dužnosti.</w:t>
      </w:r>
    </w:p>
    <w:p w14:paraId="7C6B50D9" w14:textId="77777777" w:rsidR="00B65A7C" w:rsidRPr="000479E9" w:rsidRDefault="00B65A7C" w:rsidP="00B67135">
      <w:pPr>
        <w:spacing w:after="0" w:line="240" w:lineRule="auto"/>
        <w:jc w:val="both"/>
        <w:rPr>
          <w:rFonts w:ascii="Times New Roman" w:eastAsia="Times New Roman" w:hAnsi="Times New Roman" w:cs="Times New Roman"/>
          <w:sz w:val="24"/>
          <w:szCs w:val="24"/>
          <w:lang w:eastAsia="hr-HR"/>
        </w:rPr>
      </w:pPr>
    </w:p>
    <w:p w14:paraId="3C098633" w14:textId="77777777" w:rsidR="00B65A7C" w:rsidRPr="000479E9" w:rsidRDefault="00B65A7C" w:rsidP="000118B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(5) Iznimno od stavka 3. ovoga članka, ako većinu članova uprave istodobno trebaju zamijeniti novoimenovani članovi, a procjenu njihove primjerenosti nije moguće provesti bez sudjelovanja članova uprave koji prestaju obavljati tu dužnost, investicijsko društvo može provesti procjenu primjerenosti nakon što novoimenovani članovi preuzmu dužnost. </w:t>
      </w:r>
    </w:p>
    <w:p w14:paraId="546E259F" w14:textId="77777777" w:rsidR="00B65A7C" w:rsidRPr="000479E9" w:rsidRDefault="00B65A7C" w:rsidP="00F31C96">
      <w:pPr>
        <w:spacing w:after="0" w:line="240" w:lineRule="auto"/>
        <w:jc w:val="both"/>
        <w:rPr>
          <w:rFonts w:ascii="Times New Roman" w:eastAsia="Times New Roman" w:hAnsi="Times New Roman" w:cs="Times New Roman"/>
          <w:sz w:val="24"/>
          <w:szCs w:val="24"/>
          <w:lang w:eastAsia="hr-HR"/>
        </w:rPr>
      </w:pPr>
    </w:p>
    <w:p w14:paraId="20A62F76" w14:textId="77777777" w:rsidR="00B65A7C" w:rsidRPr="000479E9" w:rsidRDefault="00B65A7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(6) Investicijsko društvo dužno je u zahtjevu iz članka 29. ovoga Zakona potvrditi postojanje okolnosti iz stavka 5. ovoga članka. </w:t>
      </w:r>
    </w:p>
    <w:p w14:paraId="22778E85" w14:textId="77777777" w:rsidR="00B65A7C" w:rsidRPr="000479E9" w:rsidRDefault="00B65A7C">
      <w:pPr>
        <w:spacing w:after="0" w:line="240" w:lineRule="auto"/>
        <w:jc w:val="both"/>
        <w:rPr>
          <w:rFonts w:ascii="Times New Roman" w:eastAsia="Calibri" w:hAnsi="Times New Roman" w:cs="Times New Roman"/>
          <w:sz w:val="24"/>
          <w:szCs w:val="24"/>
        </w:rPr>
      </w:pPr>
    </w:p>
    <w:p w14:paraId="5FA3572F" w14:textId="77777777" w:rsidR="00B65A7C" w:rsidRPr="000479E9" w:rsidRDefault="00B65A7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(7) Ako investicijsko društvo na temelju procjene primjerenosti utvrdi da član uprave ili kandidat za člana uprave ne ispunjava uvjete iz stavka 1. ovoga članka, dužno je: </w:t>
      </w:r>
    </w:p>
    <w:p w14:paraId="1854A23C" w14:textId="77777777" w:rsidR="00B65A7C" w:rsidRPr="000479E9" w:rsidRDefault="00B65A7C">
      <w:pPr>
        <w:spacing w:after="0" w:line="240" w:lineRule="auto"/>
        <w:jc w:val="both"/>
        <w:rPr>
          <w:rFonts w:ascii="Times New Roman" w:eastAsia="Calibri" w:hAnsi="Times New Roman" w:cs="Times New Roman"/>
          <w:sz w:val="24"/>
          <w:szCs w:val="24"/>
        </w:rPr>
      </w:pPr>
    </w:p>
    <w:p w14:paraId="01E08A74" w14:textId="13DF99E2" w:rsidR="00B65A7C" w:rsidRPr="000479E9" w:rsidRDefault="00B65A7C">
      <w:pPr>
        <w:spacing w:after="0" w:line="240" w:lineRule="auto"/>
        <w:jc w:val="both"/>
        <w:rPr>
          <w:rFonts w:ascii="Times New Roman" w:eastAsia="Calibri" w:hAnsi="Times New Roman" w:cs="Times New Roman"/>
          <w:sz w:val="24"/>
          <w:szCs w:val="24"/>
        </w:rPr>
      </w:pPr>
      <w:r w:rsidRPr="000479E9">
        <w:rPr>
          <w:rFonts w:ascii="Times New Roman" w:eastAsia="Times New Roman" w:hAnsi="Times New Roman" w:cs="Times New Roman"/>
          <w:sz w:val="24"/>
          <w:szCs w:val="24"/>
          <w:lang w:eastAsia="hr-HR"/>
        </w:rPr>
        <w:t xml:space="preserve">1. osigurati da kandidat ne preuzme dužnost, ako je procjena provedena prije preuzimanja dužnosti ili  </w:t>
      </w:r>
    </w:p>
    <w:p w14:paraId="1E2C2F87" w14:textId="370F0A4F" w:rsidR="00B65A7C" w:rsidRPr="000479E9" w:rsidRDefault="00B65A7C">
      <w:pPr>
        <w:spacing w:after="0" w:line="240" w:lineRule="auto"/>
        <w:jc w:val="both"/>
        <w:rPr>
          <w:rFonts w:ascii="Times New Roman" w:eastAsia="Calibri" w:hAnsi="Times New Roman" w:cs="Times New Roman"/>
          <w:sz w:val="24"/>
          <w:szCs w:val="24"/>
        </w:rPr>
      </w:pPr>
      <w:r w:rsidRPr="000479E9">
        <w:rPr>
          <w:rFonts w:ascii="Times New Roman" w:eastAsia="Times New Roman" w:hAnsi="Times New Roman" w:cs="Times New Roman"/>
          <w:sz w:val="24"/>
          <w:szCs w:val="24"/>
          <w:lang w:eastAsia="hr-HR"/>
        </w:rPr>
        <w:t xml:space="preserve">2. </w:t>
      </w:r>
      <w:r w:rsidR="003C5517" w:rsidRPr="000479E9">
        <w:rPr>
          <w:rFonts w:ascii="Times New Roman" w:eastAsia="Times New Roman" w:hAnsi="Times New Roman" w:cs="Times New Roman"/>
          <w:sz w:val="24"/>
          <w:szCs w:val="24"/>
          <w:lang w:eastAsia="hr-HR"/>
        </w:rPr>
        <w:t xml:space="preserve">pravodobno, a najkasnije u roku od </w:t>
      </w:r>
      <w:r w:rsidR="004A08F6" w:rsidRPr="000479E9">
        <w:rPr>
          <w:rFonts w:ascii="Times New Roman" w:eastAsia="Times New Roman" w:hAnsi="Times New Roman" w:cs="Times New Roman"/>
          <w:sz w:val="24"/>
          <w:szCs w:val="24"/>
          <w:lang w:eastAsia="hr-HR"/>
        </w:rPr>
        <w:t>tri</w:t>
      </w:r>
      <w:r w:rsidR="003C5517" w:rsidRPr="000479E9">
        <w:rPr>
          <w:rFonts w:ascii="Times New Roman" w:eastAsia="Times New Roman" w:hAnsi="Times New Roman" w:cs="Times New Roman"/>
          <w:sz w:val="24"/>
          <w:szCs w:val="24"/>
          <w:lang w:eastAsia="hr-HR"/>
        </w:rPr>
        <w:t xml:space="preserve"> mjeseca od utvrđivanja takvih okolnosti</w:t>
      </w:r>
      <w:r w:rsidRPr="000479E9">
        <w:rPr>
          <w:rFonts w:ascii="Times New Roman" w:eastAsia="Times New Roman" w:hAnsi="Times New Roman" w:cs="Times New Roman"/>
          <w:sz w:val="24"/>
          <w:szCs w:val="24"/>
          <w:lang w:eastAsia="hr-HR"/>
        </w:rPr>
        <w:t xml:space="preserve"> razriješiti </w:t>
      </w:r>
      <w:r w:rsidR="00496863" w:rsidRPr="000479E9">
        <w:rPr>
          <w:rFonts w:ascii="Times New Roman" w:eastAsia="Times New Roman" w:hAnsi="Times New Roman" w:cs="Times New Roman"/>
          <w:sz w:val="24"/>
          <w:szCs w:val="24"/>
          <w:lang w:eastAsia="hr-HR"/>
        </w:rPr>
        <w:t xml:space="preserve">tog </w:t>
      </w:r>
      <w:r w:rsidRPr="000479E9">
        <w:rPr>
          <w:rFonts w:ascii="Times New Roman" w:eastAsia="Times New Roman" w:hAnsi="Times New Roman" w:cs="Times New Roman"/>
          <w:sz w:val="24"/>
          <w:szCs w:val="24"/>
          <w:lang w:eastAsia="hr-HR"/>
        </w:rPr>
        <w:t xml:space="preserve">člana uprave ili  </w:t>
      </w:r>
    </w:p>
    <w:p w14:paraId="2028080B"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eastAsia="Times New Roman" w:hAnsi="Times New Roman" w:cs="Times New Roman"/>
          <w:sz w:val="24"/>
          <w:szCs w:val="24"/>
          <w:lang w:eastAsia="hr-HR"/>
        </w:rPr>
        <w:t>3. poduzeti druge potrebne mjere kako bi član uprave ili kandidat ispunio propisane uvjete.</w:t>
      </w:r>
    </w:p>
    <w:p w14:paraId="3AC948BE"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(8) Član upravljačkog tijela investicijskog društva ne smije istodobno obavljati više od jedne od sljedećih kombinacija funkcija:</w:t>
      </w:r>
    </w:p>
    <w:p w14:paraId="56F86415"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 istodobno biti član uprave odnosno izvršni direktor u jednom i član nadzornog odbora odnosno neizvršni direktor u najviše dva trgovačka društva ili</w:t>
      </w:r>
    </w:p>
    <w:p w14:paraId="12246946"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2. istodobno biti član nadzornog odbora odnosno neizvršni direktor u najviše četiri trgovačka društva, uključujući investicijsko društvo.</w:t>
      </w:r>
    </w:p>
    <w:p w14:paraId="19E76EA2"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(9) Agencija je ovlaštena podatke o pravomoćnoj osuđivanosti suradnika osobe za koje je podnesen zahtjev u skladu s člankom 29. ovoga Zakona, za kaznena djela u Republici Hrvatskoj pribaviti od ministarstva nadležnog za pravosuđe ili iz Europskog sustava kaznenih evidencija u skladu sa zakonom kojim se uređuju pravne posljedice osude, kaznena evidencija i rehabilitacija.</w:t>
      </w:r>
    </w:p>
    <w:p w14:paraId="5E8C0C46"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(10) Ograničenje iz stavka 8. ovoga članka ne primjenjuje se na one osobe koje u nadzornom odboru odnosno kao neizvršni direktori zastupaju Republiku Hrvatsku.</w:t>
      </w:r>
    </w:p>
    <w:p w14:paraId="3DBFC7F3"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(11) Sljedeće pozicije računaju se kao jedna pozicija za potrebe stavka 8. ovoga članka:</w:t>
      </w:r>
    </w:p>
    <w:p w14:paraId="01668C0C"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 član uprave odnosno izvršni direktor ili član nadzornog odbora odnosno neizvršni direktor unutar iste grupe</w:t>
      </w:r>
    </w:p>
    <w:p w14:paraId="561768DF"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2. član uprave odnosno izvršni direktor ili član nadzornog odbora odnosno neizvršni direktor u investicijskom društvu ili kreditnoj instituciji koja je član istog sustava zaštite, ako su ispunjeni uvjeti iz članka 113. stavka 7. Uredbe (EU) br. 575/2013 ili društvima (uključujući nefinancijske subjekte) u kojima investicijsko društvo ima kvalificirani udio.</w:t>
      </w:r>
    </w:p>
    <w:p w14:paraId="5B1F1BE9"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(12) Pozicije u organizacijama koje nemaju pretežno komercijalne ciljeve ne uzimaju se u obzir za potrebe stavka 8. ovoga članka.</w:t>
      </w:r>
    </w:p>
    <w:p w14:paraId="537EAA56" w14:textId="570B5635"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(13) Iznimno od stavka 1. ovoga članka, član uprave investicijskog društva može zadržati jednu dodatnu poziciju člana nadzornog odbora odnosno neizvršnog direktora, za što je potrebno ishoditi prethodno odobrenje Agencije u skladu s pravilnikom iz stavka 1</w:t>
      </w:r>
      <w:r w:rsidR="000137C8" w:rsidRPr="000479E9">
        <w:rPr>
          <w:rFonts w:ascii="Times New Roman" w:hAnsi="Times New Roman" w:cs="Times New Roman"/>
          <w:sz w:val="24"/>
          <w:szCs w:val="24"/>
        </w:rPr>
        <w:t>7</w:t>
      </w:r>
      <w:r w:rsidRPr="000479E9">
        <w:rPr>
          <w:rFonts w:ascii="Times New Roman" w:hAnsi="Times New Roman" w:cs="Times New Roman"/>
          <w:sz w:val="24"/>
          <w:szCs w:val="24"/>
        </w:rPr>
        <w:t>. ovoga članka, o čemu Agencija obavještava ESMA-u.</w:t>
      </w:r>
    </w:p>
    <w:p w14:paraId="3D598646" w14:textId="77777777" w:rsidR="00B65A7C" w:rsidRPr="000479E9" w:rsidRDefault="00B65A7C" w:rsidP="00AD744C">
      <w:pPr>
        <w:jc w:val="both"/>
        <w:rPr>
          <w:rFonts w:ascii="Times New Roman" w:hAnsi="Times New Roman" w:cs="Times New Roman"/>
          <w:sz w:val="24"/>
          <w:szCs w:val="24"/>
        </w:rPr>
      </w:pPr>
      <w:r w:rsidRPr="000479E9">
        <w:rPr>
          <w:rFonts w:ascii="Times New Roman" w:hAnsi="Times New Roman" w:cs="Times New Roman"/>
          <w:sz w:val="24"/>
          <w:szCs w:val="24"/>
        </w:rPr>
        <w:t>(14) Agencija podatke o pravomoćnoj osuđivanosti za kaznena djela i prekršaje u Republici Hrvatskoj za osobe za koje je podnesen zahtjev u skladu s člankom 29. ovoga Zakona pribavlja iz kaznene odnosno prekršajne evidencije na temelju obrazloženog zahtjeva ili iz Europskog sustava kaznenih evidencija u skladu sa zakonom kojim se uređuju pravne posljedice osude, kaznena evidencija i rehabilitacija.</w:t>
      </w:r>
    </w:p>
    <w:p w14:paraId="2E810DE3"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(15) Nepostojanje pravomoćne osuđujuće presude ili kaznenog progona koji je u tijeku za kazneno djelo za koje se kazneni postupak pokreće po službenoj dužnosti, nije samo po sebi dovoljno za ispunjavanje uvjeta dobrog ugleda te poštenog i časnog postupanja iz stavka 1. točke 2. ovoga članka.</w:t>
      </w:r>
    </w:p>
    <w:p w14:paraId="27FE8ADE" w14:textId="6C1881DE"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(16) Agencija će u svrhu provjere uvjeta iz ovoga članka provjeriti podatke o izrečenim sankcijama u evidencijama europskih nadzornih tijela</w:t>
      </w:r>
      <w:r w:rsidR="00AA7672" w:rsidRPr="000479E9">
        <w:rPr>
          <w:rFonts w:ascii="Times New Roman" w:hAnsi="Times New Roman" w:cs="Times New Roman"/>
          <w:sz w:val="24"/>
          <w:szCs w:val="24"/>
        </w:rPr>
        <w:t>, kada iz zahtjeva proizlazi da su ti podaci relevantni za procjenu ispunjavanja pojedinog uvjeta iz ovoga članka.</w:t>
      </w:r>
    </w:p>
    <w:p w14:paraId="6B223279"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(17) Agencija pravilnikom pobliže uređuje:</w:t>
      </w:r>
    </w:p>
    <w:p w14:paraId="19F74545"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1. uvjete iz stavka 1. ovoga članka</w:t>
      </w:r>
    </w:p>
    <w:p w14:paraId="3E291E8A"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kriterije za procjenu ispunjavanja uvjeta za izdavanje suglasnosti</w:t>
      </w:r>
    </w:p>
    <w:p w14:paraId="4A856FFF"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3. dokumentaciju koja se prilaže zahtjevu za izdavanje suglasnosti za imenovanje člana uprave</w:t>
      </w:r>
    </w:p>
    <w:p w14:paraId="7C2657A2" w14:textId="77777777"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4. sadržaj politike iz stavka 2. ovoga članka i dinamiku procjene ispunjenja uvjeta za članove uprave investicijskog društva</w:t>
      </w:r>
    </w:p>
    <w:p w14:paraId="65FCE56C" w14:textId="041F31BF" w:rsidR="00B65A7C" w:rsidRPr="000479E9" w:rsidRDefault="00B65A7C" w:rsidP="00AD744C">
      <w:pPr>
        <w:spacing w:after="160" w:line="259"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 pojam dovoljnog vremena koje član uprave posvećuje obavljanju svojih funkcija, s obzirom na pojedinačne okolnosti i prirodu, opseg i složenost investicijskog društva </w:t>
      </w:r>
    </w:p>
    <w:p w14:paraId="31FA5EF0" w14:textId="77777777" w:rsidR="00B65A7C" w:rsidRPr="000479E9" w:rsidRDefault="00B65A7C" w:rsidP="00AD744C">
      <w:pPr>
        <w:jc w:val="both"/>
        <w:rPr>
          <w:rFonts w:ascii="Times New Roman" w:hAnsi="Times New Roman" w:cs="Times New Roman"/>
          <w:sz w:val="24"/>
          <w:szCs w:val="24"/>
        </w:rPr>
      </w:pPr>
      <w:r w:rsidRPr="000479E9">
        <w:rPr>
          <w:rFonts w:ascii="Times New Roman" w:hAnsi="Times New Roman" w:cs="Times New Roman"/>
          <w:sz w:val="24"/>
          <w:szCs w:val="24"/>
        </w:rPr>
        <w:t>6. pojmove odgovarajućih stručnih znanja, sposobnosti i iskustva potrebnog za vođenje poslova investicijskog društva</w:t>
      </w:r>
    </w:p>
    <w:p w14:paraId="217999F6" w14:textId="4C46A12F" w:rsidR="00B65A7C" w:rsidRPr="000479E9" w:rsidRDefault="00B65A7C" w:rsidP="00AD744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okolnosti iz članka 29. stavka 4. ovoga Zakona u kojima Agencija suglasnost iz članka 29. ovoga Zakona može izdati za mandat kraći od traženoga.</w:t>
      </w:r>
      <w:r w:rsidR="00E42E8D" w:rsidRPr="000479E9">
        <w:rPr>
          <w:rFonts w:ascii="Times New Roman" w:hAnsi="Times New Roman" w:cs="Times New Roman"/>
          <w:sz w:val="24"/>
          <w:szCs w:val="24"/>
        </w:rPr>
        <w:t>“.</w:t>
      </w:r>
    </w:p>
    <w:p w14:paraId="23DC169E" w14:textId="77777777" w:rsidR="00B65A7C" w:rsidRPr="000479E9" w:rsidRDefault="00B65A7C" w:rsidP="00B65A7C">
      <w:pPr>
        <w:spacing w:after="0" w:line="240" w:lineRule="auto"/>
        <w:jc w:val="center"/>
      </w:pPr>
    </w:p>
    <w:p w14:paraId="7A856B5F" w14:textId="033B023C" w:rsidR="00FB7014" w:rsidRPr="000479E9" w:rsidRDefault="00FB7014" w:rsidP="00B65A7C">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AA7672" w:rsidRPr="000479E9">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127FB7F3" w14:textId="497842F9" w:rsidR="00FB7014" w:rsidRPr="000479E9" w:rsidRDefault="00FB7014" w:rsidP="00FB7014">
      <w:pPr>
        <w:spacing w:after="0" w:line="240" w:lineRule="auto"/>
        <w:rPr>
          <w:rFonts w:ascii="Times New Roman" w:eastAsia="Times New Roman" w:hAnsi="Times New Roman" w:cs="Times New Roman"/>
          <w:b/>
          <w:bCs/>
          <w:sz w:val="24"/>
          <w:szCs w:val="24"/>
          <w:lang w:eastAsia="hr-HR"/>
        </w:rPr>
      </w:pPr>
    </w:p>
    <w:p w14:paraId="5BA5B041" w14:textId="3195269C" w:rsidR="00486CA1" w:rsidRPr="000479E9" w:rsidRDefault="00486CA1" w:rsidP="00FB7014">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30</w:t>
      </w:r>
      <w:r w:rsidR="00F05045" w:rsidRPr="000479E9">
        <w:rPr>
          <w:rFonts w:ascii="Times New Roman" w:eastAsia="Times New Roman" w:hAnsi="Times New Roman" w:cs="Times New Roman"/>
          <w:sz w:val="24"/>
          <w:szCs w:val="24"/>
          <w:lang w:eastAsia="hr-HR"/>
        </w:rPr>
        <w:t xml:space="preserve">. stavak 5. mijenja se i glasi: </w:t>
      </w:r>
    </w:p>
    <w:p w14:paraId="7B99F256" w14:textId="77777777" w:rsidR="00F05045" w:rsidRPr="000479E9" w:rsidRDefault="00F05045" w:rsidP="00FB7014">
      <w:pPr>
        <w:spacing w:after="0" w:line="240" w:lineRule="auto"/>
        <w:rPr>
          <w:rFonts w:ascii="Times New Roman" w:eastAsia="Times New Roman" w:hAnsi="Times New Roman" w:cs="Times New Roman"/>
          <w:b/>
          <w:bCs/>
          <w:sz w:val="24"/>
          <w:szCs w:val="24"/>
          <w:lang w:eastAsia="hr-HR"/>
        </w:rPr>
      </w:pPr>
    </w:p>
    <w:p w14:paraId="4BC0EBD7" w14:textId="4EB82D67" w:rsidR="00A90034" w:rsidRPr="000479E9" w:rsidRDefault="00F05045"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b/>
          <w:bCs/>
          <w:sz w:val="24"/>
          <w:szCs w:val="24"/>
          <w:lang w:eastAsia="hr-HR"/>
        </w:rPr>
        <w:t xml:space="preserve"> </w:t>
      </w:r>
      <w:r w:rsidRPr="000479E9">
        <w:rPr>
          <w:rFonts w:ascii="Times New Roman" w:eastAsia="Times New Roman" w:hAnsi="Times New Roman" w:cs="Times New Roman"/>
          <w:sz w:val="24"/>
          <w:szCs w:val="24"/>
          <w:lang w:eastAsia="hr-HR"/>
        </w:rPr>
        <w:t>Uprava je, u skladu s člankom 25. Delegirane uredbe (EU) 2017/565, nadležna za osiguravanje usklađenosti investicijskog društva s relevantnim propisima te je dužna procjenjivati i periodički preispitivati učinkovitost politika, mehanizama i postupaka usvojenih radi ispunjavanja obveza investicijskog društva.</w:t>
      </w:r>
      <w:r w:rsidR="00A90034"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p>
    <w:p w14:paraId="289CB9D9" w14:textId="77777777" w:rsidR="00A90034" w:rsidRPr="000479E9" w:rsidRDefault="00A90034" w:rsidP="00483C20">
      <w:pPr>
        <w:spacing w:after="0" w:line="240" w:lineRule="auto"/>
        <w:jc w:val="both"/>
        <w:rPr>
          <w:rFonts w:ascii="Times New Roman" w:eastAsia="Times New Roman" w:hAnsi="Times New Roman" w:cs="Times New Roman"/>
          <w:sz w:val="24"/>
          <w:szCs w:val="24"/>
          <w:lang w:eastAsia="hr-HR"/>
        </w:rPr>
      </w:pPr>
    </w:p>
    <w:p w14:paraId="008572F3" w14:textId="0E9B2FCD" w:rsidR="00A90034" w:rsidRPr="000479E9" w:rsidRDefault="00DD032E"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stavka 5. d</w:t>
      </w:r>
      <w:r w:rsidR="00A90034" w:rsidRPr="000479E9">
        <w:rPr>
          <w:rFonts w:ascii="Times New Roman" w:eastAsia="Times New Roman" w:hAnsi="Times New Roman" w:cs="Times New Roman"/>
          <w:sz w:val="24"/>
          <w:szCs w:val="24"/>
          <w:lang w:eastAsia="hr-HR"/>
        </w:rPr>
        <w:t>odaje se novi stavak 6. koji glasi:</w:t>
      </w:r>
    </w:p>
    <w:p w14:paraId="4DAF5B4C" w14:textId="77777777" w:rsidR="00A90034" w:rsidRPr="000479E9" w:rsidRDefault="00A90034" w:rsidP="00483C20">
      <w:pPr>
        <w:spacing w:after="0" w:line="240" w:lineRule="auto"/>
        <w:jc w:val="both"/>
        <w:rPr>
          <w:rFonts w:ascii="Times New Roman" w:eastAsia="Times New Roman" w:hAnsi="Times New Roman" w:cs="Times New Roman"/>
          <w:sz w:val="24"/>
          <w:szCs w:val="24"/>
          <w:lang w:eastAsia="hr-HR"/>
        </w:rPr>
      </w:pPr>
    </w:p>
    <w:p w14:paraId="5AA508A2" w14:textId="79A6787F" w:rsidR="00F05045" w:rsidRPr="000479E9" w:rsidRDefault="00A763AE" w:rsidP="00483C20">
      <w:pPr>
        <w:spacing w:after="0" w:line="240" w:lineRule="auto"/>
        <w:jc w:val="both"/>
        <w:rPr>
          <w:rFonts w:ascii="Times New Roman" w:eastAsia="Times New Roman" w:hAnsi="Times New Roman" w:cs="Times New Roman"/>
          <w:b/>
          <w:bCs/>
          <w:sz w:val="24"/>
          <w:szCs w:val="24"/>
          <w:lang w:eastAsia="hr-HR"/>
        </w:rPr>
      </w:pPr>
      <w:r>
        <w:rPr>
          <w:rFonts w:ascii="Times New Roman" w:eastAsia="Times New Roman" w:hAnsi="Times New Roman" w:cs="Times New Roman"/>
          <w:sz w:val="24"/>
          <w:szCs w:val="24"/>
          <w:lang w:eastAsia="hr-HR"/>
        </w:rPr>
        <w:t>„</w:t>
      </w:r>
      <w:r w:rsidR="00A90034" w:rsidRPr="000479E9">
        <w:rPr>
          <w:rFonts w:ascii="Times New Roman" w:eastAsia="Times New Roman" w:hAnsi="Times New Roman" w:cs="Times New Roman"/>
          <w:sz w:val="24"/>
          <w:szCs w:val="24"/>
          <w:lang w:eastAsia="hr-HR"/>
        </w:rPr>
        <w:t xml:space="preserve">(6) </w:t>
      </w:r>
      <w:r w:rsidR="00F05045" w:rsidRPr="000479E9">
        <w:rPr>
          <w:rFonts w:ascii="Times New Roman" w:eastAsia="Times New Roman" w:hAnsi="Times New Roman" w:cs="Times New Roman"/>
          <w:sz w:val="24"/>
          <w:szCs w:val="24"/>
          <w:lang w:eastAsia="hr-HR"/>
        </w:rPr>
        <w:t>Unutarnj</w:t>
      </w:r>
      <w:r w:rsidR="003521D0" w:rsidRPr="000479E9">
        <w:rPr>
          <w:rFonts w:ascii="Times New Roman" w:eastAsia="Times New Roman" w:hAnsi="Times New Roman" w:cs="Times New Roman"/>
          <w:sz w:val="24"/>
          <w:szCs w:val="24"/>
          <w:lang w:eastAsia="hr-HR"/>
        </w:rPr>
        <w:t>a</w:t>
      </w:r>
      <w:r w:rsidR="00F05045" w:rsidRPr="000479E9">
        <w:rPr>
          <w:rFonts w:ascii="Times New Roman" w:eastAsia="Times New Roman" w:hAnsi="Times New Roman" w:cs="Times New Roman"/>
          <w:sz w:val="24"/>
          <w:szCs w:val="24"/>
          <w:lang w:eastAsia="hr-HR"/>
        </w:rPr>
        <w:t xml:space="preserve"> dodjel</w:t>
      </w:r>
      <w:r w:rsidR="003521D0" w:rsidRPr="000479E9">
        <w:rPr>
          <w:rFonts w:ascii="Times New Roman" w:eastAsia="Times New Roman" w:hAnsi="Times New Roman" w:cs="Times New Roman"/>
          <w:sz w:val="24"/>
          <w:szCs w:val="24"/>
          <w:lang w:eastAsia="hr-HR"/>
        </w:rPr>
        <w:t>a</w:t>
      </w:r>
      <w:r w:rsidR="00F05045" w:rsidRPr="000479E9">
        <w:rPr>
          <w:rFonts w:ascii="Times New Roman" w:eastAsia="Times New Roman" w:hAnsi="Times New Roman" w:cs="Times New Roman"/>
          <w:sz w:val="24"/>
          <w:szCs w:val="24"/>
          <w:lang w:eastAsia="hr-HR"/>
        </w:rPr>
        <w:t xml:space="preserve"> funkcija</w:t>
      </w:r>
      <w:r w:rsidR="003521D0" w:rsidRPr="000479E9">
        <w:rPr>
          <w:rFonts w:ascii="Times New Roman" w:eastAsia="Times New Roman" w:hAnsi="Times New Roman" w:cs="Times New Roman"/>
          <w:sz w:val="24"/>
          <w:szCs w:val="24"/>
          <w:lang w:eastAsia="hr-HR"/>
        </w:rPr>
        <w:t>, odnosno raspodjela odgovornosti i ovlasti u investicijskom društvu</w:t>
      </w:r>
      <w:r w:rsidR="00A90034" w:rsidRPr="000479E9">
        <w:rPr>
          <w:rFonts w:ascii="Times New Roman" w:eastAsia="Times New Roman" w:hAnsi="Times New Roman" w:cs="Times New Roman"/>
          <w:sz w:val="24"/>
          <w:szCs w:val="24"/>
          <w:lang w:eastAsia="hr-HR"/>
        </w:rPr>
        <w:t xml:space="preserve"> uređuje se</w:t>
      </w:r>
      <w:r w:rsidR="003521D0" w:rsidRPr="000479E9">
        <w:rPr>
          <w:rFonts w:ascii="Times New Roman" w:eastAsia="Times New Roman" w:hAnsi="Times New Roman" w:cs="Times New Roman"/>
          <w:sz w:val="24"/>
          <w:szCs w:val="24"/>
          <w:lang w:eastAsia="hr-HR"/>
        </w:rPr>
        <w:t xml:space="preserve"> u skladu s člankom 25. Delegirane uredbe (EU) 2017/565</w:t>
      </w:r>
      <w:r w:rsidR="00F05045" w:rsidRPr="000479E9">
        <w:rPr>
          <w:rFonts w:ascii="Times New Roman" w:eastAsia="Times New Roman" w:hAnsi="Times New Roman" w:cs="Times New Roman"/>
          <w:sz w:val="24"/>
          <w:szCs w:val="24"/>
          <w:lang w:eastAsia="hr-HR"/>
        </w:rPr>
        <w:t xml:space="preserve">, pri čemu se time ne </w:t>
      </w:r>
      <w:r w:rsidR="00F972C4" w:rsidRPr="000479E9">
        <w:rPr>
          <w:rFonts w:ascii="Times New Roman" w:eastAsia="Times New Roman" w:hAnsi="Times New Roman" w:cs="Times New Roman"/>
          <w:sz w:val="24"/>
          <w:szCs w:val="24"/>
          <w:lang w:eastAsia="hr-HR"/>
        </w:rPr>
        <w:t>isključuje</w:t>
      </w:r>
      <w:r w:rsidR="00F05045" w:rsidRPr="000479E9">
        <w:rPr>
          <w:rFonts w:ascii="Times New Roman" w:eastAsia="Times New Roman" w:hAnsi="Times New Roman" w:cs="Times New Roman"/>
          <w:sz w:val="24"/>
          <w:szCs w:val="24"/>
          <w:lang w:eastAsia="hr-HR"/>
        </w:rPr>
        <w:t xml:space="preserve"> nadležnost i krajnja odgovornost uprave.“</w:t>
      </w:r>
      <w:r w:rsidR="005669D1" w:rsidRPr="000479E9">
        <w:rPr>
          <w:rFonts w:ascii="Times New Roman" w:eastAsia="Times New Roman" w:hAnsi="Times New Roman" w:cs="Times New Roman"/>
          <w:sz w:val="24"/>
          <w:szCs w:val="24"/>
          <w:lang w:eastAsia="hr-HR"/>
        </w:rPr>
        <w:t>.</w:t>
      </w:r>
    </w:p>
    <w:p w14:paraId="25DBA2E0" w14:textId="77777777" w:rsidR="00486CA1" w:rsidRPr="000479E9" w:rsidRDefault="00486CA1" w:rsidP="00FB7014">
      <w:pPr>
        <w:spacing w:after="0" w:line="240" w:lineRule="auto"/>
        <w:rPr>
          <w:rFonts w:ascii="Times New Roman" w:eastAsia="Times New Roman" w:hAnsi="Times New Roman" w:cs="Times New Roman"/>
          <w:b/>
          <w:bCs/>
          <w:sz w:val="24"/>
          <w:szCs w:val="24"/>
          <w:lang w:eastAsia="hr-HR"/>
        </w:rPr>
      </w:pPr>
    </w:p>
    <w:p w14:paraId="4414A8C9" w14:textId="0EE97BEB" w:rsidR="00A90034" w:rsidRPr="000479E9" w:rsidRDefault="00A90034" w:rsidP="00FB7014">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stavci 6. do 8. postaju stavci 7. do 9.</w:t>
      </w:r>
    </w:p>
    <w:p w14:paraId="61358725" w14:textId="77777777" w:rsidR="00A90034" w:rsidRPr="000479E9" w:rsidRDefault="00A90034" w:rsidP="00FB7014">
      <w:pPr>
        <w:spacing w:after="0" w:line="240" w:lineRule="auto"/>
        <w:rPr>
          <w:rFonts w:ascii="Times New Roman" w:eastAsia="Times New Roman" w:hAnsi="Times New Roman" w:cs="Times New Roman"/>
          <w:sz w:val="24"/>
          <w:szCs w:val="24"/>
          <w:lang w:eastAsia="hr-HR"/>
        </w:rPr>
      </w:pPr>
    </w:p>
    <w:p w14:paraId="373578FB" w14:textId="6D2CBCC9" w:rsidR="00A90034" w:rsidRPr="000479E9" w:rsidRDefault="00A90034" w:rsidP="00FB7014">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9. koji postaje stavak 10. broj:</w:t>
      </w:r>
      <w:r w:rsidR="00DD032E"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8.“ zamjenjuje se brojem: „9.“</w:t>
      </w:r>
    </w:p>
    <w:p w14:paraId="0D133BB2" w14:textId="77777777" w:rsidR="00A90034" w:rsidRPr="000479E9" w:rsidRDefault="00A90034" w:rsidP="00FB7014">
      <w:pPr>
        <w:spacing w:after="0" w:line="240" w:lineRule="auto"/>
        <w:rPr>
          <w:rFonts w:ascii="Times New Roman" w:eastAsia="Times New Roman" w:hAnsi="Times New Roman" w:cs="Times New Roman"/>
          <w:sz w:val="24"/>
          <w:szCs w:val="24"/>
          <w:lang w:eastAsia="hr-HR"/>
        </w:rPr>
      </w:pPr>
    </w:p>
    <w:p w14:paraId="0DC8002C" w14:textId="4A361708" w:rsidR="00A90034" w:rsidRPr="000479E9" w:rsidRDefault="00A90034" w:rsidP="00FB7014">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stavak 10. postaje stavak 11.</w:t>
      </w:r>
    </w:p>
    <w:p w14:paraId="08CA246D" w14:textId="77777777" w:rsidR="00A90034" w:rsidRPr="000479E9" w:rsidRDefault="00A90034" w:rsidP="00FB7014">
      <w:pPr>
        <w:spacing w:after="0" w:line="240" w:lineRule="auto"/>
        <w:rPr>
          <w:rFonts w:ascii="Times New Roman" w:eastAsia="Times New Roman" w:hAnsi="Times New Roman" w:cs="Times New Roman"/>
          <w:b/>
          <w:bCs/>
          <w:sz w:val="24"/>
          <w:szCs w:val="24"/>
          <w:lang w:eastAsia="hr-HR"/>
        </w:rPr>
      </w:pPr>
    </w:p>
    <w:p w14:paraId="73DAC12D" w14:textId="09D17085" w:rsidR="0066347F" w:rsidRPr="000479E9" w:rsidRDefault="0066347F" w:rsidP="0066347F">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4A08F6" w:rsidRPr="000479E9">
        <w:rPr>
          <w:rFonts w:ascii="Times New Roman" w:eastAsia="Times New Roman" w:hAnsi="Times New Roman" w:cs="Times New Roman"/>
          <w:b/>
          <w:sz w:val="24"/>
          <w:szCs w:val="24"/>
          <w:lang w:eastAsia="hr-HR"/>
        </w:rPr>
        <w:t>8</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0E58113B" w14:textId="77777777" w:rsidR="0066347F" w:rsidRPr="000479E9" w:rsidRDefault="0066347F" w:rsidP="00FB7014">
      <w:pPr>
        <w:spacing w:after="0" w:line="240" w:lineRule="auto"/>
        <w:rPr>
          <w:rFonts w:ascii="Times New Roman" w:eastAsia="Times New Roman" w:hAnsi="Times New Roman" w:cs="Times New Roman"/>
          <w:b/>
          <w:bCs/>
          <w:sz w:val="24"/>
          <w:szCs w:val="24"/>
          <w:lang w:eastAsia="hr-HR"/>
        </w:rPr>
      </w:pPr>
    </w:p>
    <w:p w14:paraId="25AE2EF0" w14:textId="2F93E016" w:rsidR="00480D8F" w:rsidRPr="000479E9" w:rsidRDefault="00480D8F"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31. iza stavka 1. dodaju se novi stavci 2. i 3. koji glase:</w:t>
      </w:r>
    </w:p>
    <w:p w14:paraId="2E83D59A" w14:textId="12A63CA8" w:rsidR="00480D8F" w:rsidRPr="000479E9" w:rsidRDefault="00480D8F" w:rsidP="00F01D72">
      <w:pPr>
        <w:spacing w:after="0" w:line="240" w:lineRule="auto"/>
        <w:jc w:val="both"/>
        <w:rPr>
          <w:rFonts w:ascii="Times New Roman" w:eastAsia="Times New Roman" w:hAnsi="Times New Roman" w:cs="Times New Roman"/>
          <w:sz w:val="24"/>
          <w:szCs w:val="24"/>
          <w:lang w:eastAsia="hr-HR"/>
        </w:rPr>
      </w:pPr>
    </w:p>
    <w:p w14:paraId="18398FEF" w14:textId="77777777" w:rsidR="00480D8F" w:rsidRPr="000479E9" w:rsidRDefault="00480D8F"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Investicijsko društvo dužno je sastavljati, održavati i ažurirati pojedinačne izjave kojima se utvrđuju uloge i dužnosti članova uprave, višeg rukovodstva i nositelja </w:t>
      </w:r>
      <w:r w:rsidRPr="000479E9">
        <w:rPr>
          <w:rFonts w:ascii="Times New Roman" w:eastAsia="Times New Roman" w:hAnsi="Times New Roman" w:cs="Times New Roman"/>
          <w:sz w:val="24"/>
          <w:szCs w:val="24"/>
          <w:lang w:eastAsia="hr-HR"/>
        </w:rPr>
        <w:lastRenderedPageBreak/>
        <w:t xml:space="preserve">ključnih funkcija te mapiranje dužnosti, uključujući linije izvještavanja i odgovornosti. </w:t>
      </w:r>
    </w:p>
    <w:p w14:paraId="73539365" w14:textId="77777777" w:rsidR="00480D8F" w:rsidRPr="000479E9" w:rsidRDefault="00480D8F" w:rsidP="00F01D72">
      <w:pPr>
        <w:spacing w:after="0" w:line="240" w:lineRule="auto"/>
        <w:jc w:val="both"/>
        <w:rPr>
          <w:rFonts w:ascii="Times New Roman" w:eastAsia="Times New Roman" w:hAnsi="Times New Roman" w:cs="Times New Roman"/>
          <w:sz w:val="24"/>
          <w:szCs w:val="24"/>
          <w:lang w:eastAsia="hr-HR"/>
        </w:rPr>
      </w:pPr>
    </w:p>
    <w:p w14:paraId="0E71A5FE" w14:textId="086C79B7" w:rsidR="00480D8F" w:rsidRPr="000479E9" w:rsidRDefault="00480D8F" w:rsidP="00F01D72">
      <w:pPr>
        <w:spacing w:after="0" w:line="240" w:lineRule="auto"/>
        <w:jc w:val="both"/>
        <w:rPr>
          <w:rFonts w:ascii="Times New Roman" w:eastAsia="Times New Roman" w:hAnsi="Times New Roman" w:cs="Times New Roman"/>
          <w:sz w:val="24"/>
          <w:szCs w:val="24"/>
          <w:lang w:eastAsia="hr-HR"/>
        </w:rPr>
      </w:pPr>
      <w:bookmarkStart w:id="0" w:name="_Hlk231226814"/>
      <w:r w:rsidRPr="000479E9">
        <w:rPr>
          <w:rFonts w:ascii="Times New Roman" w:eastAsia="Times New Roman" w:hAnsi="Times New Roman" w:cs="Times New Roman"/>
          <w:sz w:val="24"/>
          <w:szCs w:val="24"/>
          <w:lang w:eastAsia="hr-HR"/>
        </w:rPr>
        <w:t>(3) Investicijsko društvo dužno je dokumentaciju iz stavka 2. ovoga članka na zahtjev</w:t>
      </w:r>
      <w:r w:rsidR="004A6F4F"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bez odgode</w:t>
      </w:r>
      <w:r w:rsidR="004A6F4F"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dostaviti Agenciji.“</w:t>
      </w:r>
      <w:r w:rsidR="00C61488" w:rsidRPr="000479E9">
        <w:rPr>
          <w:rFonts w:ascii="Times New Roman" w:eastAsia="Times New Roman" w:hAnsi="Times New Roman" w:cs="Times New Roman"/>
          <w:sz w:val="24"/>
          <w:szCs w:val="24"/>
          <w:lang w:eastAsia="hr-HR"/>
        </w:rPr>
        <w:t>.</w:t>
      </w:r>
    </w:p>
    <w:bookmarkEnd w:id="0"/>
    <w:p w14:paraId="5A202230" w14:textId="1DCC807A" w:rsidR="00480D8F" w:rsidRPr="000479E9" w:rsidRDefault="00480D8F" w:rsidP="00F01D72">
      <w:pPr>
        <w:spacing w:after="0" w:line="240" w:lineRule="auto"/>
        <w:jc w:val="both"/>
        <w:rPr>
          <w:rFonts w:ascii="Times New Roman" w:eastAsia="Times New Roman" w:hAnsi="Times New Roman" w:cs="Times New Roman"/>
          <w:sz w:val="24"/>
          <w:szCs w:val="24"/>
          <w:lang w:eastAsia="hr-HR"/>
        </w:rPr>
      </w:pPr>
    </w:p>
    <w:p w14:paraId="49699785" w14:textId="30519DBA" w:rsidR="00480D8F" w:rsidRPr="000479E9" w:rsidRDefault="00480D8F"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stavci 2. i 3. postaju stavci 4. i 5. </w:t>
      </w:r>
    </w:p>
    <w:p w14:paraId="461CC5B5" w14:textId="58D98220" w:rsidR="00480D8F" w:rsidRPr="000479E9" w:rsidRDefault="00480D8F" w:rsidP="00480D8F">
      <w:pPr>
        <w:spacing w:after="0" w:line="240" w:lineRule="auto"/>
        <w:rPr>
          <w:rFonts w:ascii="Times New Roman" w:eastAsia="Times New Roman" w:hAnsi="Times New Roman" w:cs="Times New Roman"/>
          <w:sz w:val="24"/>
          <w:szCs w:val="24"/>
          <w:lang w:eastAsia="hr-HR"/>
        </w:rPr>
      </w:pPr>
    </w:p>
    <w:p w14:paraId="2B61E982" w14:textId="42D6650D" w:rsidR="00480D8F" w:rsidRPr="000479E9" w:rsidRDefault="00480D8F" w:rsidP="00480D8F">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4A08F6" w:rsidRPr="000479E9">
        <w:rPr>
          <w:rFonts w:ascii="Times New Roman" w:eastAsia="Times New Roman" w:hAnsi="Times New Roman" w:cs="Times New Roman"/>
          <w:b/>
          <w:sz w:val="24"/>
          <w:szCs w:val="24"/>
          <w:lang w:eastAsia="hr-HR"/>
        </w:rPr>
        <w:t>9</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51A06DE8" w14:textId="48CF7291" w:rsidR="00FB7014" w:rsidRPr="000479E9" w:rsidRDefault="00FB7014" w:rsidP="00480D8F">
      <w:pPr>
        <w:spacing w:after="0" w:line="240" w:lineRule="auto"/>
        <w:jc w:val="both"/>
        <w:rPr>
          <w:rFonts w:ascii="Times New Roman" w:eastAsia="Times New Roman" w:hAnsi="Times New Roman" w:cs="Times New Roman"/>
          <w:b/>
          <w:bCs/>
          <w:sz w:val="24"/>
          <w:szCs w:val="24"/>
          <w:lang w:eastAsia="hr-HR"/>
        </w:rPr>
      </w:pPr>
    </w:p>
    <w:p w14:paraId="596B09FA" w14:textId="0ECB17E8"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35. stav</w:t>
      </w:r>
      <w:r w:rsidR="004A08F6" w:rsidRPr="000479E9">
        <w:rPr>
          <w:rFonts w:ascii="Times New Roman" w:eastAsia="Times New Roman" w:hAnsi="Times New Roman" w:cs="Times New Roman"/>
          <w:sz w:val="24"/>
          <w:szCs w:val="24"/>
          <w:lang w:eastAsia="hr-HR"/>
        </w:rPr>
        <w:t>ak</w:t>
      </w:r>
      <w:r w:rsidRPr="000479E9">
        <w:rPr>
          <w:rFonts w:ascii="Times New Roman" w:eastAsia="Times New Roman" w:hAnsi="Times New Roman" w:cs="Times New Roman"/>
          <w:sz w:val="24"/>
          <w:szCs w:val="24"/>
          <w:lang w:eastAsia="hr-HR"/>
        </w:rPr>
        <w:t xml:space="preserve"> 2.</w:t>
      </w:r>
      <w:r w:rsidR="001816EB" w:rsidRPr="000479E9">
        <w:rPr>
          <w:rFonts w:ascii="Times New Roman" w:eastAsia="Times New Roman" w:hAnsi="Times New Roman" w:cs="Times New Roman"/>
          <w:sz w:val="24"/>
          <w:szCs w:val="24"/>
          <w:lang w:eastAsia="hr-HR"/>
        </w:rPr>
        <w:t xml:space="preserve"> </w:t>
      </w:r>
      <w:r w:rsidR="004A08F6" w:rsidRPr="000479E9">
        <w:rPr>
          <w:rFonts w:ascii="Times New Roman" w:eastAsia="Times New Roman" w:hAnsi="Times New Roman" w:cs="Times New Roman"/>
          <w:sz w:val="24"/>
          <w:szCs w:val="24"/>
          <w:lang w:eastAsia="hr-HR"/>
        </w:rPr>
        <w:t>mijenja se i</w:t>
      </w:r>
      <w:r w:rsidRPr="000479E9">
        <w:rPr>
          <w:rFonts w:ascii="Times New Roman" w:eastAsia="Times New Roman" w:hAnsi="Times New Roman" w:cs="Times New Roman"/>
          <w:sz w:val="24"/>
          <w:szCs w:val="24"/>
          <w:lang w:eastAsia="hr-HR"/>
        </w:rPr>
        <w:t xml:space="preserve"> glas</w:t>
      </w:r>
      <w:r w:rsidR="004A08F6" w:rsidRPr="000479E9">
        <w:rPr>
          <w:rFonts w:ascii="Times New Roman" w:eastAsia="Times New Roman" w:hAnsi="Times New Roman" w:cs="Times New Roman"/>
          <w:sz w:val="24"/>
          <w:szCs w:val="24"/>
          <w:lang w:eastAsia="hr-HR"/>
        </w:rPr>
        <w:t>i</w:t>
      </w:r>
      <w:r w:rsidRPr="000479E9">
        <w:rPr>
          <w:rFonts w:ascii="Times New Roman" w:eastAsia="Times New Roman" w:hAnsi="Times New Roman" w:cs="Times New Roman"/>
          <w:sz w:val="24"/>
          <w:szCs w:val="24"/>
          <w:lang w:eastAsia="hr-HR"/>
        </w:rPr>
        <w:t xml:space="preserve">: </w:t>
      </w:r>
    </w:p>
    <w:p w14:paraId="289340D0" w14:textId="342A28DB"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04A176B8" w14:textId="2E9ED039"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Uprava investicijskog društva dužna je donijeti i primjenjivati primjerene politike za izbor i procjenu primjerenosti nositelja ključnih funkcija te osigurati da nositelji ključnih funkcija</w:t>
      </w:r>
      <w:r w:rsidR="007D04CB"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u svakom trenutku imaju dobar ugled, postupaju pošteno i časno te posjeduju odgovarajuća stručna znanja, sposobnosti i iskustvo potrebno za obavljanje njihovih dužnosti.</w:t>
      </w:r>
      <w:r w:rsidR="004A08F6"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p>
    <w:p w14:paraId="41542D76"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0F41838B" w14:textId="68534AB3" w:rsidR="004A08F6" w:rsidRPr="000479E9" w:rsidRDefault="004A08F6"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stavka 2. dodaju se novi stavci 3. </w:t>
      </w:r>
      <w:r w:rsidR="00496863" w:rsidRPr="000479E9">
        <w:rPr>
          <w:rFonts w:ascii="Times New Roman" w:eastAsia="Times New Roman" w:hAnsi="Times New Roman" w:cs="Times New Roman"/>
          <w:sz w:val="24"/>
          <w:szCs w:val="24"/>
          <w:lang w:eastAsia="hr-HR"/>
        </w:rPr>
        <w:t xml:space="preserve">i 4. </w:t>
      </w:r>
      <w:r w:rsidR="00A763AE">
        <w:rPr>
          <w:rFonts w:ascii="Times New Roman" w:eastAsia="Times New Roman" w:hAnsi="Times New Roman" w:cs="Times New Roman"/>
          <w:sz w:val="24"/>
          <w:szCs w:val="24"/>
          <w:lang w:eastAsia="hr-HR"/>
        </w:rPr>
        <w:t>i</w:t>
      </w:r>
      <w:r w:rsidR="00A763AE" w:rsidRPr="000479E9">
        <w:rPr>
          <w:rFonts w:ascii="Times New Roman" w:eastAsia="Times New Roman" w:hAnsi="Times New Roman" w:cs="Times New Roman"/>
          <w:sz w:val="24"/>
          <w:szCs w:val="24"/>
          <w:lang w:eastAsia="hr-HR"/>
        </w:rPr>
        <w:t xml:space="preserve"> </w:t>
      </w:r>
      <w:r w:rsidR="00496863" w:rsidRPr="000479E9">
        <w:rPr>
          <w:rFonts w:ascii="Times New Roman" w:eastAsia="Times New Roman" w:hAnsi="Times New Roman" w:cs="Times New Roman"/>
          <w:sz w:val="24"/>
          <w:szCs w:val="24"/>
          <w:lang w:eastAsia="hr-HR"/>
        </w:rPr>
        <w:t>stavci 5. i</w:t>
      </w:r>
      <w:r w:rsidRPr="000479E9">
        <w:rPr>
          <w:rFonts w:ascii="Times New Roman" w:eastAsia="Times New Roman" w:hAnsi="Times New Roman" w:cs="Times New Roman"/>
          <w:sz w:val="24"/>
          <w:szCs w:val="24"/>
          <w:lang w:eastAsia="hr-HR"/>
        </w:rPr>
        <w:t xml:space="preserve"> 6. koji glase:</w:t>
      </w:r>
    </w:p>
    <w:p w14:paraId="2D195885" w14:textId="77777777" w:rsidR="004A08F6" w:rsidRPr="000479E9" w:rsidRDefault="004A08F6" w:rsidP="00480D8F">
      <w:pPr>
        <w:spacing w:after="0" w:line="240" w:lineRule="auto"/>
        <w:jc w:val="both"/>
        <w:rPr>
          <w:rFonts w:ascii="Times New Roman" w:eastAsia="Times New Roman" w:hAnsi="Times New Roman" w:cs="Times New Roman"/>
          <w:sz w:val="24"/>
          <w:szCs w:val="24"/>
          <w:lang w:eastAsia="hr-HR"/>
        </w:rPr>
      </w:pPr>
    </w:p>
    <w:p w14:paraId="5560DFAF" w14:textId="7EC7FBE9" w:rsidR="00480D8F" w:rsidRPr="000479E9" w:rsidRDefault="004A08F6"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480D8F" w:rsidRPr="000479E9">
        <w:rPr>
          <w:rFonts w:ascii="Times New Roman" w:eastAsia="Times New Roman" w:hAnsi="Times New Roman" w:cs="Times New Roman"/>
          <w:sz w:val="24"/>
          <w:szCs w:val="24"/>
          <w:lang w:eastAsia="hr-HR"/>
        </w:rPr>
        <w:t xml:space="preserve">(3) Investicijsko društvo dužno je osigurati da nositelji ključnih funkcija u svakom trenutku ispunjavaju uvjete iz stavka 2. ovoga članka te provodi procjenu njihove primjerenosti prije preuzimanja dužnosti i periodično tijekom obavljanja funkcije.  </w:t>
      </w:r>
    </w:p>
    <w:p w14:paraId="007211EC"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332639F1" w14:textId="464D2F14"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investicijsko društvo</w:t>
      </w:r>
      <w:r w:rsidR="00630CA9"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na temelju procjene primjerenosti</w:t>
      </w:r>
      <w:r w:rsidR="00630CA9"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utvrdi da nositelj ključne funkcije ne ispunjava uvjete iz stavka 2. ovoga članka, dužno je: </w:t>
      </w:r>
    </w:p>
    <w:p w14:paraId="5C8996A9"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2565BB02" w14:textId="4E403B8D"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w:t>
      </w:r>
      <w:r w:rsidR="00715D52"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osigurati da osoba ne preuzme dužnost, ako je procjena provedena prije preuzimanja dužnosti </w:t>
      </w:r>
    </w:p>
    <w:p w14:paraId="4AC40335"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5CBBED08" w14:textId="2060CD4A"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w:t>
      </w:r>
      <w:r w:rsidR="00715D52" w:rsidRPr="000479E9">
        <w:rPr>
          <w:rFonts w:ascii="Times New Roman" w:eastAsia="Times New Roman" w:hAnsi="Times New Roman" w:cs="Times New Roman"/>
          <w:sz w:val="24"/>
          <w:szCs w:val="24"/>
          <w:lang w:eastAsia="hr-HR"/>
        </w:rPr>
        <w:t xml:space="preserve"> </w:t>
      </w:r>
      <w:r w:rsidR="004A08F6" w:rsidRPr="000479E9">
        <w:rPr>
          <w:rFonts w:ascii="Times New Roman" w:eastAsia="Times New Roman" w:hAnsi="Times New Roman" w:cs="Times New Roman"/>
          <w:sz w:val="24"/>
          <w:szCs w:val="24"/>
          <w:lang w:eastAsia="hr-HR"/>
        </w:rPr>
        <w:t xml:space="preserve">pravodobno, a najkasnije u roku od tri mjeseca od utvrđivanja takvih okolnosti </w:t>
      </w:r>
      <w:r w:rsidRPr="000479E9">
        <w:rPr>
          <w:rFonts w:ascii="Times New Roman" w:eastAsia="Times New Roman" w:hAnsi="Times New Roman" w:cs="Times New Roman"/>
          <w:sz w:val="24"/>
          <w:szCs w:val="24"/>
          <w:lang w:eastAsia="hr-HR"/>
        </w:rPr>
        <w:t xml:space="preserve">razriješiti nositelja ključne funkcije ili </w:t>
      </w:r>
    </w:p>
    <w:p w14:paraId="30813183"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67552DC1"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3. poduzeti druge potrebne mjere kako bi nositelj ključne funkcije ispunio propisane uvjete. </w:t>
      </w:r>
    </w:p>
    <w:p w14:paraId="49C923AC"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446A602A" w14:textId="78CA699C" w:rsidR="00480D8F" w:rsidRPr="000479E9" w:rsidRDefault="00532BFD"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(5) </w:t>
      </w:r>
      <w:r w:rsidR="00480D8F" w:rsidRPr="000479E9">
        <w:rPr>
          <w:rFonts w:ascii="Times New Roman" w:eastAsia="Times New Roman" w:hAnsi="Times New Roman" w:cs="Times New Roman"/>
          <w:sz w:val="24"/>
          <w:szCs w:val="24"/>
          <w:lang w:eastAsia="hr-HR"/>
        </w:rPr>
        <w:t>Investicijsko društvo dužno je poduzeti potrebne mjere radi osiguranja kontinuiranog i urednog obavljanja ključnih funkcija, uključujući zamjenu nositelja ključne funkcije</w:t>
      </w:r>
      <w:r w:rsidR="008439D1" w:rsidRPr="000479E9">
        <w:rPr>
          <w:rFonts w:ascii="Times New Roman" w:eastAsia="Times New Roman" w:hAnsi="Times New Roman" w:cs="Times New Roman"/>
          <w:sz w:val="24"/>
          <w:szCs w:val="24"/>
          <w:lang w:eastAsia="hr-HR"/>
        </w:rPr>
        <w:t>,</w:t>
      </w:r>
      <w:r w:rsidR="00480D8F" w:rsidRPr="000479E9">
        <w:rPr>
          <w:rFonts w:ascii="Times New Roman" w:eastAsia="Times New Roman" w:hAnsi="Times New Roman" w:cs="Times New Roman"/>
          <w:sz w:val="24"/>
          <w:szCs w:val="24"/>
          <w:lang w:eastAsia="hr-HR"/>
        </w:rPr>
        <w:t xml:space="preserve"> kada je to potrebno. </w:t>
      </w:r>
    </w:p>
    <w:p w14:paraId="3FF80D90"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506E235D" w14:textId="7DD07713"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532BFD"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Investicijsko društvo dužno je osigurati ažurnost informacija o primjerenosti nositelja ključnih funkcija te ih</w:t>
      </w:r>
      <w:r w:rsidR="00D045EF"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na zahtjev</w:t>
      </w:r>
      <w:r w:rsidR="00D045EF"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dostaviti Agenciji.</w:t>
      </w:r>
      <w:r w:rsidR="23249E09" w:rsidRPr="000479E9">
        <w:rPr>
          <w:rFonts w:ascii="Times New Roman" w:eastAsia="Times New Roman" w:hAnsi="Times New Roman" w:cs="Times New Roman"/>
          <w:sz w:val="24"/>
          <w:szCs w:val="24"/>
          <w:lang w:eastAsia="hr-HR"/>
        </w:rPr>
        <w:t>”</w:t>
      </w:r>
      <w:r w:rsidR="00715D52" w:rsidRPr="000479E9">
        <w:rPr>
          <w:rFonts w:ascii="Times New Roman" w:eastAsia="Times New Roman" w:hAnsi="Times New Roman" w:cs="Times New Roman"/>
          <w:sz w:val="24"/>
          <w:szCs w:val="24"/>
          <w:lang w:eastAsia="hr-HR"/>
        </w:rPr>
        <w:t>.</w:t>
      </w:r>
    </w:p>
    <w:p w14:paraId="7B0B400A" w14:textId="79A4BF62"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404F0744" w14:textId="46DD0629" w:rsidR="00480D8F" w:rsidRPr="000479E9" w:rsidRDefault="00532BFD"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w:t>
      </w:r>
      <w:r w:rsidR="00480D8F" w:rsidRPr="000479E9">
        <w:rPr>
          <w:rFonts w:ascii="Times New Roman" w:eastAsia="Times New Roman" w:hAnsi="Times New Roman" w:cs="Times New Roman"/>
          <w:sz w:val="24"/>
          <w:szCs w:val="24"/>
          <w:lang w:eastAsia="hr-HR"/>
        </w:rPr>
        <w:t>tav</w:t>
      </w:r>
      <w:r w:rsidR="004A08F6" w:rsidRPr="000479E9">
        <w:rPr>
          <w:rFonts w:ascii="Times New Roman" w:eastAsia="Times New Roman" w:hAnsi="Times New Roman" w:cs="Times New Roman"/>
          <w:sz w:val="24"/>
          <w:szCs w:val="24"/>
          <w:lang w:eastAsia="hr-HR"/>
        </w:rPr>
        <w:t>ak</w:t>
      </w:r>
      <w:r w:rsidR="00480D8F" w:rsidRPr="000479E9">
        <w:rPr>
          <w:rFonts w:ascii="Times New Roman" w:eastAsia="Times New Roman" w:hAnsi="Times New Roman" w:cs="Times New Roman"/>
          <w:sz w:val="24"/>
          <w:szCs w:val="24"/>
          <w:lang w:eastAsia="hr-HR"/>
        </w:rPr>
        <w:t xml:space="preserve"> 3. </w:t>
      </w:r>
      <w:r w:rsidR="004A08F6" w:rsidRPr="000479E9">
        <w:rPr>
          <w:rFonts w:ascii="Times New Roman" w:eastAsia="Times New Roman" w:hAnsi="Times New Roman" w:cs="Times New Roman"/>
          <w:sz w:val="24"/>
          <w:szCs w:val="24"/>
          <w:lang w:eastAsia="hr-HR"/>
        </w:rPr>
        <w:t xml:space="preserve">postaje stavak </w:t>
      </w:r>
      <w:r w:rsidR="00165910">
        <w:rPr>
          <w:rFonts w:ascii="Times New Roman" w:eastAsia="Times New Roman" w:hAnsi="Times New Roman" w:cs="Times New Roman"/>
          <w:sz w:val="24"/>
          <w:szCs w:val="24"/>
          <w:lang w:eastAsia="hr-HR"/>
        </w:rPr>
        <w:t>7</w:t>
      </w:r>
      <w:r w:rsidR="00480D8F" w:rsidRPr="000479E9">
        <w:rPr>
          <w:rFonts w:ascii="Times New Roman" w:eastAsia="Times New Roman" w:hAnsi="Times New Roman" w:cs="Times New Roman"/>
          <w:sz w:val="24"/>
          <w:szCs w:val="24"/>
          <w:lang w:eastAsia="hr-HR"/>
        </w:rPr>
        <w:t>.</w:t>
      </w:r>
    </w:p>
    <w:p w14:paraId="291F7C3D" w14:textId="37EDE669"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03B666CE" w14:textId="10218D8C" w:rsidR="00480D8F" w:rsidRPr="000479E9" w:rsidRDefault="00230391"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Dosadašnji s</w:t>
      </w:r>
      <w:r w:rsidR="00480D8F" w:rsidRPr="000479E9">
        <w:rPr>
          <w:rFonts w:ascii="Times New Roman" w:eastAsia="Times New Roman" w:hAnsi="Times New Roman" w:cs="Times New Roman"/>
          <w:sz w:val="24"/>
          <w:szCs w:val="24"/>
          <w:lang w:eastAsia="hr-HR"/>
        </w:rPr>
        <w:t xml:space="preserve">tavak 4. </w:t>
      </w:r>
      <w:r w:rsidRPr="000479E9">
        <w:rPr>
          <w:rFonts w:ascii="Times New Roman" w:eastAsia="Times New Roman" w:hAnsi="Times New Roman" w:cs="Times New Roman"/>
          <w:sz w:val="24"/>
          <w:szCs w:val="24"/>
          <w:lang w:eastAsia="hr-HR"/>
        </w:rPr>
        <w:t xml:space="preserve">koji </w:t>
      </w:r>
      <w:r w:rsidR="00480D8F" w:rsidRPr="000479E9">
        <w:rPr>
          <w:rFonts w:ascii="Times New Roman" w:eastAsia="Times New Roman" w:hAnsi="Times New Roman" w:cs="Times New Roman"/>
          <w:sz w:val="24"/>
          <w:szCs w:val="24"/>
          <w:lang w:eastAsia="hr-HR"/>
        </w:rPr>
        <w:t xml:space="preserve">postaje stavak </w:t>
      </w:r>
      <w:r w:rsidR="00165910">
        <w:rPr>
          <w:rFonts w:ascii="Times New Roman" w:eastAsia="Times New Roman" w:hAnsi="Times New Roman" w:cs="Times New Roman"/>
          <w:sz w:val="24"/>
          <w:szCs w:val="24"/>
          <w:lang w:eastAsia="hr-HR"/>
        </w:rPr>
        <w:t>8</w:t>
      </w:r>
      <w:r w:rsidR="00480D8F" w:rsidRPr="000479E9">
        <w:rPr>
          <w:rFonts w:ascii="Times New Roman" w:eastAsia="Times New Roman" w:hAnsi="Times New Roman" w:cs="Times New Roman"/>
          <w:sz w:val="24"/>
          <w:szCs w:val="24"/>
          <w:lang w:eastAsia="hr-HR"/>
        </w:rPr>
        <w:t>. mijenja se i glasi:</w:t>
      </w:r>
    </w:p>
    <w:p w14:paraId="1F50AC69" w14:textId="77777777"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p>
    <w:p w14:paraId="3CAD111A" w14:textId="4B470A9D" w:rsidR="00480D8F" w:rsidRPr="000479E9" w:rsidRDefault="00480D8F" w:rsidP="00480D8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165910">
        <w:rPr>
          <w:rFonts w:ascii="Times New Roman" w:eastAsia="Times New Roman" w:hAnsi="Times New Roman" w:cs="Times New Roman"/>
          <w:sz w:val="24"/>
          <w:szCs w:val="24"/>
          <w:lang w:eastAsia="hr-HR"/>
        </w:rPr>
        <w:t>8</w:t>
      </w:r>
      <w:bookmarkStart w:id="1" w:name="_GoBack"/>
      <w:bookmarkEnd w:id="1"/>
      <w:r w:rsidRPr="000479E9">
        <w:rPr>
          <w:rFonts w:ascii="Times New Roman" w:eastAsia="Times New Roman" w:hAnsi="Times New Roman" w:cs="Times New Roman"/>
          <w:sz w:val="24"/>
          <w:szCs w:val="24"/>
          <w:lang w:eastAsia="hr-HR"/>
        </w:rPr>
        <w:t>) Agencija pravilnikom iz članka 28. stavka 1</w:t>
      </w:r>
      <w:r w:rsidR="004A08F6"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xml:space="preserve">. ovoga Zakona detaljnije propisuje kriterije za procjenu primjerenosti nositelja ključnih funkcija iz stavka 2. ovoga </w:t>
      </w:r>
      <w:r w:rsidR="00422784" w:rsidRPr="000479E9">
        <w:rPr>
          <w:rFonts w:ascii="Times New Roman" w:eastAsia="Times New Roman" w:hAnsi="Times New Roman" w:cs="Times New Roman"/>
          <w:sz w:val="24"/>
          <w:szCs w:val="24"/>
          <w:lang w:eastAsia="hr-HR"/>
        </w:rPr>
        <w:t>članka</w:t>
      </w:r>
      <w:r w:rsidR="005C4473"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dokumentaciju i informacije koje se dostavljaju Agenciji na zahtjev te način provjere ispunjavanja uvjeta iz ovoga članka.“</w:t>
      </w:r>
      <w:r w:rsidR="00715D52" w:rsidRPr="000479E9">
        <w:rPr>
          <w:rFonts w:ascii="Times New Roman" w:eastAsia="Times New Roman" w:hAnsi="Times New Roman" w:cs="Times New Roman"/>
          <w:sz w:val="24"/>
          <w:szCs w:val="24"/>
          <w:lang w:eastAsia="hr-HR"/>
        </w:rPr>
        <w:t>.</w:t>
      </w:r>
    </w:p>
    <w:p w14:paraId="4F7B5096" w14:textId="77777777" w:rsidR="00480D8F" w:rsidRPr="000479E9" w:rsidRDefault="00480D8F" w:rsidP="00617A00">
      <w:pPr>
        <w:spacing w:after="0" w:line="240" w:lineRule="auto"/>
        <w:jc w:val="center"/>
        <w:rPr>
          <w:rFonts w:ascii="Times New Roman" w:eastAsia="Times New Roman" w:hAnsi="Times New Roman" w:cs="Times New Roman"/>
          <w:b/>
          <w:bCs/>
          <w:sz w:val="24"/>
          <w:szCs w:val="24"/>
          <w:lang w:eastAsia="hr-HR"/>
        </w:rPr>
      </w:pPr>
    </w:p>
    <w:p w14:paraId="513F6509" w14:textId="545019AC" w:rsidR="000B3A64" w:rsidRPr="000479E9" w:rsidRDefault="0013566B" w:rsidP="000B3A64">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FE6ACC" w:rsidRPr="000479E9">
        <w:rPr>
          <w:rFonts w:ascii="Times New Roman" w:eastAsia="Times New Roman" w:hAnsi="Times New Roman" w:cs="Times New Roman"/>
          <w:b/>
          <w:bCs/>
          <w:sz w:val="24"/>
          <w:szCs w:val="24"/>
          <w:lang w:eastAsia="hr-HR"/>
        </w:rPr>
        <w:t>10.</w:t>
      </w:r>
    </w:p>
    <w:p w14:paraId="2CA0AB1F" w14:textId="04ECFE59" w:rsidR="000B3A64" w:rsidRPr="000479E9" w:rsidRDefault="000B3A64" w:rsidP="000B3A64">
      <w:pPr>
        <w:spacing w:after="0" w:line="240" w:lineRule="auto"/>
        <w:rPr>
          <w:rFonts w:ascii="Times New Roman" w:eastAsia="Times New Roman" w:hAnsi="Times New Roman" w:cs="Times New Roman"/>
          <w:b/>
          <w:bCs/>
          <w:sz w:val="24"/>
          <w:szCs w:val="24"/>
          <w:lang w:eastAsia="hr-HR"/>
        </w:rPr>
      </w:pPr>
    </w:p>
    <w:p w14:paraId="12E64D90" w14:textId="0A2CEC0F" w:rsidR="000B3A64" w:rsidRPr="000479E9" w:rsidRDefault="000B3A64" w:rsidP="0065340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50. stavku 2. točki 2. iza riječi</w:t>
      </w:r>
      <w:r w:rsidR="00706A5D"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„druge“ dodaju se riječi: „uključujući koncentracijski rizik koji proizlazi iz izloženosti prema središnjim drugim ugovornim stranama, uzimajući u obzir uvjete iz članka 7.a Uredbe (EU) br. 648/2012”</w:t>
      </w:r>
      <w:r w:rsidR="00DD5BAB" w:rsidRPr="000479E9">
        <w:rPr>
          <w:rFonts w:ascii="Times New Roman" w:eastAsia="Times New Roman" w:hAnsi="Times New Roman" w:cs="Times New Roman"/>
          <w:sz w:val="24"/>
          <w:szCs w:val="24"/>
          <w:lang w:eastAsia="hr-HR"/>
        </w:rPr>
        <w:t>.</w:t>
      </w:r>
    </w:p>
    <w:p w14:paraId="1D52DBE8" w14:textId="77777777" w:rsidR="0013566B" w:rsidRPr="000479E9" w:rsidRDefault="0013566B" w:rsidP="00617A00">
      <w:pPr>
        <w:spacing w:after="0" w:line="240" w:lineRule="auto"/>
        <w:jc w:val="center"/>
        <w:rPr>
          <w:rFonts w:ascii="Times New Roman" w:eastAsia="Times New Roman" w:hAnsi="Times New Roman" w:cs="Times New Roman"/>
          <w:b/>
          <w:bCs/>
          <w:sz w:val="24"/>
          <w:szCs w:val="24"/>
          <w:lang w:eastAsia="hr-HR"/>
        </w:rPr>
      </w:pPr>
    </w:p>
    <w:p w14:paraId="22F15FC4" w14:textId="77777777" w:rsidR="00480D8F" w:rsidRPr="000479E9" w:rsidRDefault="00480D8F" w:rsidP="00617A00">
      <w:pPr>
        <w:spacing w:after="0" w:line="240" w:lineRule="auto"/>
        <w:jc w:val="center"/>
        <w:rPr>
          <w:rFonts w:ascii="Times New Roman" w:eastAsia="Times New Roman" w:hAnsi="Times New Roman" w:cs="Times New Roman"/>
          <w:b/>
          <w:bCs/>
          <w:sz w:val="24"/>
          <w:szCs w:val="24"/>
          <w:lang w:eastAsia="hr-HR"/>
        </w:rPr>
      </w:pPr>
    </w:p>
    <w:p w14:paraId="3FB5D85C" w14:textId="1FF5AD4F" w:rsidR="00480D8F" w:rsidRPr="000479E9" w:rsidRDefault="00480D8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1</w:t>
      </w:r>
      <w:r w:rsidR="00FE6ACC" w:rsidRPr="000479E9">
        <w:rPr>
          <w:rFonts w:ascii="Times New Roman" w:eastAsia="Times New Roman" w:hAnsi="Times New Roman" w:cs="Times New Roman"/>
          <w:b/>
          <w:sz w:val="24"/>
          <w:szCs w:val="24"/>
          <w:lang w:eastAsia="hr-HR"/>
        </w:rPr>
        <w:t>1</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11C407BA" w14:textId="286921CB" w:rsidR="00480D8F" w:rsidRPr="000479E9" w:rsidRDefault="00480D8F" w:rsidP="00480D8F">
      <w:pPr>
        <w:spacing w:after="0" w:line="240" w:lineRule="auto"/>
        <w:rPr>
          <w:rFonts w:ascii="Times New Roman" w:eastAsia="Times New Roman" w:hAnsi="Times New Roman" w:cs="Times New Roman"/>
          <w:b/>
          <w:bCs/>
          <w:sz w:val="24"/>
          <w:szCs w:val="24"/>
          <w:lang w:eastAsia="hr-HR"/>
        </w:rPr>
      </w:pPr>
    </w:p>
    <w:p w14:paraId="64423D90" w14:textId="7609C7E4" w:rsidR="00480D8F" w:rsidRPr="000479E9" w:rsidRDefault="00480D8F" w:rsidP="00480D8F">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54. </w:t>
      </w:r>
      <w:r w:rsidR="007D04CB" w:rsidRPr="000479E9">
        <w:rPr>
          <w:rFonts w:ascii="Times New Roman" w:eastAsia="Times New Roman" w:hAnsi="Times New Roman" w:cs="Times New Roman"/>
          <w:sz w:val="24"/>
          <w:szCs w:val="24"/>
          <w:lang w:eastAsia="hr-HR"/>
        </w:rPr>
        <w:t>stavci 6. i 7.</w:t>
      </w:r>
      <w:r w:rsidR="002F27E0" w:rsidRPr="000479E9">
        <w:rPr>
          <w:rFonts w:ascii="Times New Roman" w:eastAsia="Times New Roman" w:hAnsi="Times New Roman" w:cs="Times New Roman"/>
          <w:sz w:val="24"/>
          <w:szCs w:val="24"/>
          <w:lang w:eastAsia="hr-HR"/>
        </w:rPr>
        <w:t xml:space="preserve"> mijenjaju se i glase:</w:t>
      </w:r>
    </w:p>
    <w:p w14:paraId="107EB9B0" w14:textId="68A65500" w:rsidR="002F27E0" w:rsidRPr="000479E9" w:rsidRDefault="002F27E0" w:rsidP="00480D8F">
      <w:pPr>
        <w:spacing w:after="0" w:line="240" w:lineRule="auto"/>
        <w:rPr>
          <w:rFonts w:ascii="Times New Roman" w:eastAsia="Times New Roman" w:hAnsi="Times New Roman" w:cs="Times New Roman"/>
          <w:sz w:val="24"/>
          <w:szCs w:val="24"/>
          <w:lang w:eastAsia="hr-HR"/>
        </w:rPr>
      </w:pPr>
    </w:p>
    <w:p w14:paraId="3C344E03" w14:textId="14D2E88D" w:rsidR="002F27E0" w:rsidRPr="000479E9" w:rsidRDefault="002F27E0" w:rsidP="00E11A0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Investicijsko društvo dužno je</w:t>
      </w:r>
      <w:r w:rsidR="0027684C" w:rsidRPr="000479E9">
        <w:rPr>
          <w:rFonts w:ascii="Times New Roman" w:eastAsia="Times New Roman" w:hAnsi="Times New Roman" w:cs="Times New Roman"/>
          <w:sz w:val="24"/>
          <w:szCs w:val="24"/>
          <w:lang w:eastAsia="hr-HR"/>
        </w:rPr>
        <w:t>, na zahtjev</w:t>
      </w:r>
      <w:r w:rsidR="007D04CB" w:rsidRPr="000479E9">
        <w:rPr>
          <w:rFonts w:ascii="Times New Roman" w:eastAsia="Times New Roman" w:hAnsi="Times New Roman" w:cs="Times New Roman"/>
          <w:sz w:val="24"/>
          <w:szCs w:val="24"/>
          <w:lang w:eastAsia="hr-HR"/>
        </w:rPr>
        <w:t xml:space="preserve"> Agencije, dostaviti </w:t>
      </w:r>
      <w:r w:rsidRPr="000479E9">
        <w:rPr>
          <w:rFonts w:ascii="Times New Roman" w:eastAsia="Times New Roman" w:hAnsi="Times New Roman" w:cs="Times New Roman"/>
          <w:sz w:val="24"/>
          <w:szCs w:val="24"/>
          <w:lang w:eastAsia="hr-HR"/>
        </w:rPr>
        <w:t xml:space="preserve">izvješće o radu funkcije usklađenosti. </w:t>
      </w:r>
    </w:p>
    <w:p w14:paraId="1517C20A" w14:textId="77777777" w:rsidR="00715D52" w:rsidRPr="000479E9" w:rsidRDefault="00715D52" w:rsidP="00E11A02">
      <w:pPr>
        <w:spacing w:after="0" w:line="240" w:lineRule="auto"/>
        <w:jc w:val="both"/>
        <w:rPr>
          <w:rFonts w:ascii="Times New Roman" w:eastAsia="Times New Roman" w:hAnsi="Times New Roman" w:cs="Times New Roman"/>
          <w:sz w:val="24"/>
          <w:szCs w:val="24"/>
          <w:lang w:eastAsia="hr-HR"/>
        </w:rPr>
      </w:pPr>
    </w:p>
    <w:p w14:paraId="5017C674" w14:textId="7A303426" w:rsidR="002F27E0" w:rsidRPr="000479E9" w:rsidRDefault="002F27E0" w:rsidP="00E11A0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(7) Agencija pravilnikom detaljnije </w:t>
      </w:r>
      <w:r w:rsidR="004F3A2D" w:rsidRPr="000479E9">
        <w:rPr>
          <w:rFonts w:ascii="Times New Roman" w:eastAsia="Times New Roman" w:hAnsi="Times New Roman" w:cs="Times New Roman"/>
          <w:sz w:val="24"/>
          <w:szCs w:val="24"/>
          <w:lang w:eastAsia="hr-HR"/>
        </w:rPr>
        <w:t>propisuje</w:t>
      </w:r>
      <w:r w:rsidRPr="000479E9">
        <w:rPr>
          <w:rFonts w:ascii="Times New Roman" w:eastAsia="Times New Roman" w:hAnsi="Times New Roman" w:cs="Times New Roman"/>
          <w:sz w:val="24"/>
          <w:szCs w:val="24"/>
          <w:lang w:eastAsia="hr-HR"/>
        </w:rPr>
        <w:t xml:space="preserve"> minimalni sadržaj izvješća iz stavka 6. ovoga članka.“</w:t>
      </w:r>
      <w:r w:rsidR="00715D52" w:rsidRPr="000479E9">
        <w:rPr>
          <w:rFonts w:ascii="Times New Roman" w:eastAsia="Times New Roman" w:hAnsi="Times New Roman" w:cs="Times New Roman"/>
          <w:sz w:val="24"/>
          <w:szCs w:val="24"/>
          <w:lang w:eastAsia="hr-HR"/>
        </w:rPr>
        <w:t>.</w:t>
      </w:r>
    </w:p>
    <w:p w14:paraId="4BC17085" w14:textId="5706857E" w:rsidR="002F27E0" w:rsidRPr="000479E9" w:rsidRDefault="002F27E0" w:rsidP="002F27E0">
      <w:pPr>
        <w:spacing w:after="0" w:line="240" w:lineRule="auto"/>
        <w:rPr>
          <w:rFonts w:ascii="Times New Roman" w:eastAsia="Times New Roman" w:hAnsi="Times New Roman" w:cs="Times New Roman"/>
          <w:sz w:val="24"/>
          <w:szCs w:val="24"/>
          <w:lang w:eastAsia="hr-HR"/>
        </w:rPr>
      </w:pPr>
    </w:p>
    <w:p w14:paraId="303C112F" w14:textId="2F0670AA" w:rsidR="002F27E0" w:rsidRPr="000479E9" w:rsidRDefault="002F27E0" w:rsidP="002F27E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1</w:t>
      </w:r>
      <w:r w:rsidR="00FE6ACC" w:rsidRPr="000479E9">
        <w:rPr>
          <w:rFonts w:ascii="Times New Roman" w:eastAsia="Times New Roman" w:hAnsi="Times New Roman" w:cs="Times New Roman"/>
          <w:b/>
          <w:sz w:val="24"/>
          <w:szCs w:val="24"/>
          <w:lang w:eastAsia="hr-HR"/>
        </w:rPr>
        <w:t>2</w:t>
      </w:r>
      <w:r w:rsidRPr="000479E9">
        <w:rPr>
          <w:rFonts w:ascii="Times New Roman" w:eastAsia="Times New Roman" w:hAnsi="Times New Roman" w:cs="Times New Roman"/>
          <w:b/>
          <w:sz w:val="24"/>
          <w:szCs w:val="24"/>
          <w:lang w:eastAsia="hr-HR"/>
        </w:rPr>
        <w:t>.</w:t>
      </w:r>
    </w:p>
    <w:p w14:paraId="70288E98" w14:textId="5EF3546E" w:rsidR="002F27E0" w:rsidRPr="000479E9" w:rsidRDefault="002F27E0" w:rsidP="002F27E0">
      <w:pPr>
        <w:spacing w:after="0" w:line="240" w:lineRule="auto"/>
        <w:rPr>
          <w:rFonts w:ascii="Times New Roman" w:eastAsia="Times New Roman" w:hAnsi="Times New Roman" w:cs="Times New Roman"/>
          <w:b/>
          <w:bCs/>
          <w:sz w:val="24"/>
          <w:szCs w:val="24"/>
          <w:lang w:eastAsia="hr-HR"/>
        </w:rPr>
      </w:pPr>
    </w:p>
    <w:p w14:paraId="37FAD980" w14:textId="5DA544BA" w:rsidR="002F27E0" w:rsidRPr="000479E9" w:rsidRDefault="002F27E0" w:rsidP="002F27E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63. stavak 3. briše se.</w:t>
      </w:r>
    </w:p>
    <w:p w14:paraId="284A6BEA" w14:textId="4A1AA967" w:rsidR="002F27E0" w:rsidRPr="000479E9" w:rsidRDefault="002F27E0" w:rsidP="002F27E0">
      <w:pPr>
        <w:spacing w:after="0" w:line="240" w:lineRule="auto"/>
        <w:rPr>
          <w:rFonts w:ascii="Times New Roman" w:eastAsia="Times New Roman" w:hAnsi="Times New Roman" w:cs="Times New Roman"/>
          <w:sz w:val="24"/>
          <w:szCs w:val="24"/>
          <w:lang w:eastAsia="hr-HR"/>
        </w:rPr>
      </w:pPr>
    </w:p>
    <w:p w14:paraId="7BE1B380" w14:textId="251CEFBE" w:rsidR="002F27E0" w:rsidRPr="000479E9" w:rsidRDefault="00FC79EA" w:rsidP="002F27E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1</w:t>
      </w:r>
      <w:r w:rsidR="00FE6ACC" w:rsidRPr="000479E9">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3EB109B7" w14:textId="28CE821B" w:rsidR="00FC79EA" w:rsidRPr="000479E9" w:rsidRDefault="00FC79EA" w:rsidP="002F27E0">
      <w:pPr>
        <w:spacing w:after="0" w:line="240" w:lineRule="auto"/>
        <w:jc w:val="center"/>
        <w:rPr>
          <w:rFonts w:ascii="Times New Roman" w:eastAsia="Times New Roman" w:hAnsi="Times New Roman" w:cs="Times New Roman"/>
          <w:sz w:val="24"/>
          <w:szCs w:val="24"/>
          <w:lang w:eastAsia="hr-HR"/>
        </w:rPr>
      </w:pPr>
    </w:p>
    <w:p w14:paraId="15620A5F" w14:textId="2713A970" w:rsidR="00FC79EA" w:rsidRPr="000479E9" w:rsidRDefault="00FC79EA" w:rsidP="00FC79EA">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71. stavak 3. briše se.</w:t>
      </w:r>
    </w:p>
    <w:p w14:paraId="3857E61C" w14:textId="1F239165" w:rsidR="00FC79EA" w:rsidRPr="000479E9" w:rsidRDefault="00FC79EA" w:rsidP="00FC79EA">
      <w:pPr>
        <w:spacing w:after="0" w:line="240" w:lineRule="auto"/>
        <w:rPr>
          <w:rFonts w:ascii="Times New Roman" w:eastAsia="Times New Roman" w:hAnsi="Times New Roman" w:cs="Times New Roman"/>
          <w:sz w:val="24"/>
          <w:szCs w:val="24"/>
          <w:lang w:eastAsia="hr-HR"/>
        </w:rPr>
      </w:pPr>
    </w:p>
    <w:p w14:paraId="328DA5A3" w14:textId="77777777" w:rsidR="00FC79EA" w:rsidRPr="000479E9" w:rsidRDefault="00FC79EA" w:rsidP="00FC79EA">
      <w:pPr>
        <w:spacing w:after="0" w:line="240" w:lineRule="auto"/>
        <w:rPr>
          <w:rFonts w:ascii="Times New Roman" w:eastAsia="Times New Roman" w:hAnsi="Times New Roman" w:cs="Times New Roman"/>
          <w:sz w:val="24"/>
          <w:szCs w:val="24"/>
          <w:lang w:eastAsia="hr-HR"/>
        </w:rPr>
      </w:pPr>
    </w:p>
    <w:p w14:paraId="53D670B5" w14:textId="05DB7D12" w:rsidR="00FE6ACC" w:rsidRPr="000479E9" w:rsidRDefault="00FE6ACC"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14.</w:t>
      </w:r>
    </w:p>
    <w:p w14:paraId="724DC58A" w14:textId="72A6FE94" w:rsidR="00FE6ACC" w:rsidRPr="000479E9" w:rsidRDefault="00FE6ACC" w:rsidP="000479E9">
      <w:pPr>
        <w:spacing w:after="0" w:line="240" w:lineRule="auto"/>
        <w:rPr>
          <w:rFonts w:ascii="Times New Roman" w:eastAsia="Times New Roman" w:hAnsi="Times New Roman" w:cs="Times New Roman"/>
          <w:b/>
          <w:bCs/>
          <w:sz w:val="24"/>
          <w:szCs w:val="24"/>
          <w:lang w:eastAsia="hr-HR"/>
        </w:rPr>
      </w:pPr>
    </w:p>
    <w:p w14:paraId="0B8175D8" w14:textId="7ED1F95D" w:rsidR="00FE6ACC" w:rsidRPr="000479E9" w:rsidRDefault="00FE6ACC" w:rsidP="000479E9">
      <w:pPr>
        <w:spacing w:after="0" w:line="240" w:lineRule="auto"/>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članku 72. stavku 2. riječi: „podatke o izvješćima iz članka 71. stavka 3.” brišu se.</w:t>
      </w:r>
    </w:p>
    <w:p w14:paraId="740CE4F2" w14:textId="77777777" w:rsidR="00FE6ACC" w:rsidRPr="000479E9" w:rsidRDefault="00FE6ACC" w:rsidP="000479E9">
      <w:pPr>
        <w:spacing w:after="0" w:line="240" w:lineRule="auto"/>
        <w:rPr>
          <w:rFonts w:ascii="Times New Roman" w:eastAsia="Times New Roman" w:hAnsi="Times New Roman" w:cs="Times New Roman"/>
          <w:bCs/>
          <w:sz w:val="24"/>
          <w:szCs w:val="24"/>
          <w:lang w:eastAsia="hr-HR"/>
        </w:rPr>
      </w:pPr>
    </w:p>
    <w:p w14:paraId="767864AF" w14:textId="62261886"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1</w:t>
      </w:r>
      <w:r w:rsidR="0085456E" w:rsidRPr="000479E9">
        <w:rPr>
          <w:rFonts w:ascii="Times New Roman" w:eastAsia="Times New Roman" w:hAnsi="Times New Roman" w:cs="Times New Roman"/>
          <w:b/>
          <w:bCs/>
          <w:sz w:val="24"/>
          <w:szCs w:val="24"/>
          <w:lang w:eastAsia="hr-HR"/>
        </w:rPr>
        <w:t>5</w:t>
      </w:r>
      <w:r w:rsidRPr="000479E9">
        <w:rPr>
          <w:rFonts w:ascii="Times New Roman" w:eastAsia="Times New Roman" w:hAnsi="Times New Roman" w:cs="Times New Roman"/>
          <w:b/>
          <w:bCs/>
          <w:sz w:val="24"/>
          <w:szCs w:val="24"/>
          <w:lang w:eastAsia="hr-HR"/>
        </w:rPr>
        <w:t>.</w:t>
      </w:r>
    </w:p>
    <w:p w14:paraId="03BB726F"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4921AC52" w14:textId="594E8720"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članka 87. dodaju se naslov </w:t>
      </w:r>
      <w:r w:rsidR="00A67B11" w:rsidRPr="000479E9">
        <w:rPr>
          <w:rFonts w:ascii="Times New Roman" w:eastAsia="Times New Roman" w:hAnsi="Times New Roman" w:cs="Times New Roman"/>
          <w:sz w:val="24"/>
          <w:szCs w:val="24"/>
          <w:lang w:eastAsia="hr-HR"/>
        </w:rPr>
        <w:t xml:space="preserve">iznad članka </w:t>
      </w:r>
      <w:r w:rsidRPr="000479E9">
        <w:rPr>
          <w:rFonts w:ascii="Times New Roman" w:eastAsia="Times New Roman" w:hAnsi="Times New Roman" w:cs="Times New Roman"/>
          <w:sz w:val="24"/>
          <w:szCs w:val="24"/>
          <w:lang w:eastAsia="hr-HR"/>
        </w:rPr>
        <w:t>i članak 87.a koji glase:</w:t>
      </w:r>
    </w:p>
    <w:p w14:paraId="2BDC8EC5"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75DF242" w14:textId="77777777" w:rsidR="001E615F" w:rsidRPr="000479E9" w:rsidRDefault="001E615F" w:rsidP="00617A00">
      <w:pPr>
        <w:spacing w:after="0" w:line="240" w:lineRule="auto"/>
        <w:jc w:val="center"/>
        <w:rPr>
          <w:rFonts w:ascii="Times New Roman" w:eastAsia="Times New Roman" w:hAnsi="Times New Roman" w:cs="Times New Roman"/>
          <w:i/>
          <w:sz w:val="24"/>
          <w:szCs w:val="24"/>
          <w:lang w:eastAsia="hr-HR"/>
        </w:rPr>
      </w:pPr>
      <w:r w:rsidRPr="000479E9">
        <w:rPr>
          <w:rFonts w:ascii="Times New Roman" w:eastAsia="Times New Roman" w:hAnsi="Times New Roman" w:cs="Times New Roman"/>
          <w:i/>
          <w:sz w:val="24"/>
          <w:szCs w:val="24"/>
          <w:lang w:eastAsia="hr-HR"/>
        </w:rPr>
        <w:t>„Istraživanje i istraživanje koje financira izdavatelj</w:t>
      </w:r>
    </w:p>
    <w:p w14:paraId="7A23ADE2" w14:textId="77777777" w:rsidR="001E615F" w:rsidRPr="000479E9" w:rsidRDefault="001E615F" w:rsidP="00617A00">
      <w:pPr>
        <w:spacing w:after="0" w:line="240" w:lineRule="auto"/>
        <w:jc w:val="center"/>
        <w:rPr>
          <w:rFonts w:ascii="Times New Roman" w:eastAsia="Times New Roman" w:hAnsi="Times New Roman" w:cs="Times New Roman"/>
          <w:sz w:val="24"/>
          <w:szCs w:val="24"/>
          <w:lang w:eastAsia="hr-HR"/>
        </w:rPr>
      </w:pPr>
    </w:p>
    <w:p w14:paraId="45D2A41F" w14:textId="77777777" w:rsidR="001E615F" w:rsidRPr="000479E9" w:rsidRDefault="001E615F" w:rsidP="00617A00">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87.a</w:t>
      </w:r>
    </w:p>
    <w:p w14:paraId="3CEF1E31" w14:textId="77777777" w:rsidR="001E615F" w:rsidRPr="000479E9" w:rsidRDefault="001E615F" w:rsidP="00617A00">
      <w:pPr>
        <w:spacing w:after="0" w:line="240" w:lineRule="auto"/>
        <w:jc w:val="center"/>
        <w:rPr>
          <w:rFonts w:ascii="Times New Roman" w:eastAsia="Times New Roman" w:hAnsi="Times New Roman" w:cs="Times New Roman"/>
          <w:sz w:val="24"/>
          <w:szCs w:val="24"/>
          <w:lang w:eastAsia="hr-HR"/>
        </w:rPr>
      </w:pPr>
    </w:p>
    <w:p w14:paraId="3C660AFA" w14:textId="28644DCE"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bookmarkStart w:id="2" w:name="_Hlk222405930"/>
      <w:r w:rsidRPr="000479E9">
        <w:rPr>
          <w:rFonts w:ascii="Times New Roman" w:eastAsia="Times New Roman" w:hAnsi="Times New Roman" w:cs="Times New Roman"/>
          <w:sz w:val="24"/>
          <w:szCs w:val="24"/>
          <w:lang w:eastAsia="hr-HR"/>
        </w:rPr>
        <w:t>(1) Istraživanje koje pripremi investicijsko društvo ili treća strana i koj</w:t>
      </w:r>
      <w:r w:rsidR="00287CB4" w:rsidRPr="000479E9">
        <w:rPr>
          <w:rFonts w:ascii="Times New Roman" w:eastAsia="Times New Roman" w:hAnsi="Times New Roman" w:cs="Times New Roman"/>
          <w:sz w:val="24"/>
          <w:szCs w:val="24"/>
          <w:lang w:eastAsia="hr-HR"/>
        </w:rPr>
        <w:t>e</w:t>
      </w:r>
      <w:r w:rsidRPr="000479E9">
        <w:rPr>
          <w:rFonts w:ascii="Times New Roman" w:eastAsia="Times New Roman" w:hAnsi="Times New Roman" w:cs="Times New Roman"/>
          <w:sz w:val="24"/>
          <w:szCs w:val="24"/>
          <w:lang w:eastAsia="hr-HR"/>
        </w:rPr>
        <w:t xml:space="preserve"> investicijsko društvo, njegovi klijenti ili potencijalni klijenti korist</w:t>
      </w:r>
      <w:r w:rsidR="00F05BAD" w:rsidRPr="000479E9">
        <w:rPr>
          <w:rFonts w:ascii="Times New Roman" w:eastAsia="Times New Roman" w:hAnsi="Times New Roman" w:cs="Times New Roman"/>
          <w:sz w:val="24"/>
          <w:szCs w:val="24"/>
          <w:lang w:eastAsia="hr-HR"/>
        </w:rPr>
        <w:t>e</w:t>
      </w:r>
      <w:r w:rsidRPr="000479E9">
        <w:rPr>
          <w:rFonts w:ascii="Times New Roman" w:eastAsia="Times New Roman" w:hAnsi="Times New Roman" w:cs="Times New Roman"/>
          <w:sz w:val="24"/>
          <w:szCs w:val="24"/>
          <w:lang w:eastAsia="hr-HR"/>
        </w:rPr>
        <w:t>, ili im se distribuira, mora biti korektn</w:t>
      </w:r>
      <w:r w:rsidR="00287CB4" w:rsidRPr="000479E9">
        <w:rPr>
          <w:rFonts w:ascii="Times New Roman" w:eastAsia="Times New Roman" w:hAnsi="Times New Roman" w:cs="Times New Roman"/>
          <w:sz w:val="24"/>
          <w:szCs w:val="24"/>
          <w:lang w:eastAsia="hr-HR"/>
        </w:rPr>
        <w:t>o</w:t>
      </w:r>
      <w:r w:rsidRPr="000479E9">
        <w:rPr>
          <w:rFonts w:ascii="Times New Roman" w:eastAsia="Times New Roman" w:hAnsi="Times New Roman" w:cs="Times New Roman"/>
          <w:sz w:val="24"/>
          <w:szCs w:val="24"/>
          <w:lang w:eastAsia="hr-HR"/>
        </w:rPr>
        <w:t>, jasn</w:t>
      </w:r>
      <w:r w:rsidR="00287CB4" w:rsidRPr="000479E9">
        <w:rPr>
          <w:rFonts w:ascii="Times New Roman" w:eastAsia="Times New Roman" w:hAnsi="Times New Roman" w:cs="Times New Roman"/>
          <w:sz w:val="24"/>
          <w:szCs w:val="24"/>
          <w:lang w:eastAsia="hr-HR"/>
        </w:rPr>
        <w:t>o</w:t>
      </w:r>
      <w:r w:rsidRPr="000479E9">
        <w:rPr>
          <w:rFonts w:ascii="Times New Roman" w:eastAsia="Times New Roman" w:hAnsi="Times New Roman" w:cs="Times New Roman"/>
          <w:sz w:val="24"/>
          <w:szCs w:val="24"/>
          <w:lang w:eastAsia="hr-HR"/>
        </w:rPr>
        <w:t xml:space="preserve"> i ne smij</w:t>
      </w:r>
      <w:r w:rsidR="00287CB4" w:rsidRPr="000479E9">
        <w:rPr>
          <w:rFonts w:ascii="Times New Roman" w:eastAsia="Times New Roman" w:hAnsi="Times New Roman" w:cs="Times New Roman"/>
          <w:sz w:val="24"/>
          <w:szCs w:val="24"/>
          <w:lang w:eastAsia="hr-HR"/>
        </w:rPr>
        <w:t>e</w:t>
      </w:r>
      <w:r w:rsidRPr="000479E9">
        <w:rPr>
          <w:rFonts w:ascii="Times New Roman" w:eastAsia="Times New Roman" w:hAnsi="Times New Roman" w:cs="Times New Roman"/>
          <w:sz w:val="24"/>
          <w:szCs w:val="24"/>
          <w:lang w:eastAsia="hr-HR"/>
        </w:rPr>
        <w:t xml:space="preserve"> dovoditi u zabludu</w:t>
      </w:r>
      <w:r w:rsidR="005E4032" w:rsidRPr="000479E9">
        <w:rPr>
          <w:rFonts w:ascii="Times New Roman" w:eastAsia="Times New Roman" w:hAnsi="Times New Roman" w:cs="Times New Roman"/>
          <w:sz w:val="24"/>
          <w:szCs w:val="24"/>
          <w:lang w:eastAsia="hr-HR"/>
        </w:rPr>
        <w:t xml:space="preserve"> te </w:t>
      </w:r>
      <w:r w:rsidRPr="000479E9">
        <w:rPr>
          <w:rFonts w:ascii="Times New Roman" w:eastAsia="Times New Roman" w:hAnsi="Times New Roman" w:cs="Times New Roman"/>
          <w:sz w:val="24"/>
          <w:szCs w:val="24"/>
          <w:lang w:eastAsia="hr-HR"/>
        </w:rPr>
        <w:t xml:space="preserve">mora biti jasno prepoznatljivo kao </w:t>
      </w:r>
      <w:r w:rsidR="005E4032" w:rsidRPr="000479E9">
        <w:rPr>
          <w:rFonts w:ascii="Times New Roman" w:eastAsia="Times New Roman" w:hAnsi="Times New Roman" w:cs="Times New Roman"/>
          <w:sz w:val="24"/>
          <w:szCs w:val="24"/>
          <w:lang w:eastAsia="hr-HR"/>
        </w:rPr>
        <w:t xml:space="preserve">istraživanje </w:t>
      </w:r>
      <w:r w:rsidRPr="000479E9">
        <w:rPr>
          <w:rFonts w:ascii="Times New Roman" w:eastAsia="Times New Roman" w:hAnsi="Times New Roman" w:cs="Times New Roman"/>
          <w:sz w:val="24"/>
          <w:szCs w:val="24"/>
          <w:lang w:eastAsia="hr-HR"/>
        </w:rPr>
        <w:t>ili opisano sličnim izrazima ako su ispunjeni svi uvjeti iz Delegirane uredbe (EU) 2017/565 koji se primjenjuju na to istraživanje.</w:t>
      </w:r>
    </w:p>
    <w:p w14:paraId="31BFF61B"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bookmarkEnd w:id="2"/>
    <w:p w14:paraId="2C51491E" w14:textId="055309DF"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Investicijsko društvo koje pruža uslugu upravljanja portfeljem ili druge investicijske usluge ili pomoćne usluge dužno je osigurati da je istraživanje koje distribuira klijentima ili potencijalnim klijentima i koje u cijelosti ili djelomično plaća izdavatelj označeno kao „istraživanje koje financira izdavatelj“ samo ako je pripremljeno u skladu s EU-ovim kodeksom ponašanja za istraživanje koje financira izdavatelj, koji regulatornim tehničkim standardnom propisuje Europska komisija.</w:t>
      </w:r>
    </w:p>
    <w:p w14:paraId="456EDF8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9826A3A" w14:textId="5AD86D74"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Na prvoj stranici istraživanja koje je označeno kao „istraživanje koje financira izdavatelj“ mora biti jasno i vidljivo naznačeno da je ono pripremljeno u skladu s EU-ovim kodeksom ponašanja za istraživanja koja financira izdavatelj</w:t>
      </w:r>
      <w:r w:rsidR="005E4032" w:rsidRPr="000479E9">
        <w:rPr>
          <w:rFonts w:ascii="Times New Roman" w:eastAsia="Times New Roman" w:hAnsi="Times New Roman" w:cs="Times New Roman"/>
          <w:sz w:val="24"/>
          <w:szCs w:val="24"/>
          <w:lang w:eastAsia="hr-HR"/>
        </w:rPr>
        <w:t>, a</w:t>
      </w:r>
      <w:r w:rsidRPr="000479E9">
        <w:rPr>
          <w:rFonts w:ascii="Times New Roman" w:eastAsia="Times New Roman" w:hAnsi="Times New Roman" w:cs="Times New Roman"/>
          <w:sz w:val="24"/>
          <w:szCs w:val="24"/>
          <w:lang w:eastAsia="hr-HR"/>
        </w:rPr>
        <w:t xml:space="preserve"> </w:t>
      </w:r>
      <w:r w:rsidR="005E4032" w:rsidRPr="000479E9">
        <w:rPr>
          <w:rFonts w:ascii="Times New Roman" w:eastAsia="Times New Roman" w:hAnsi="Times New Roman" w:cs="Times New Roman"/>
          <w:sz w:val="24"/>
          <w:szCs w:val="24"/>
          <w:lang w:eastAsia="hr-HR"/>
        </w:rPr>
        <w:t>i</w:t>
      </w:r>
      <w:r w:rsidRPr="000479E9">
        <w:rPr>
          <w:rFonts w:ascii="Times New Roman" w:eastAsia="Times New Roman" w:hAnsi="Times New Roman" w:cs="Times New Roman"/>
          <w:sz w:val="24"/>
          <w:szCs w:val="24"/>
          <w:lang w:eastAsia="hr-HR"/>
        </w:rPr>
        <w:t>straživački materijali koje je u cijelosti ili djelomično platio izdavatelj, ali koji nisu pripremljeni u skladu s navedenim EU-ovim kodeksom ponašanja za istraživanja koja financira izdavatelj, moraju biti označeni kao promidžbeni sadržaj.</w:t>
      </w:r>
    </w:p>
    <w:p w14:paraId="2B321CA5"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3C81BD2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Investicijsko društvo koje priprema ili distribuira istraživanje koje financira izdavatelj dužno je uspostaviti organizacijske aranžmane kojima se osigurava da je takvo istraživanje pripremljeno u skladu s EU-ovim kodeksom ponašanja za istraživanja koja financira izdavatelj i da je ono u skladu sa stavcima 1. do 3. ovoga članka.</w:t>
      </w:r>
    </w:p>
    <w:p w14:paraId="584291D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0CE24EBC" w14:textId="7868A6D4"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Izdavatelj može istraživanje iz stavka 2. ovoga članka koje je financirao, podnijeti relevantnom tijelu za prikupljanje kako je definirano u članku 2. točki 2. Uredbe (EU) 2023/2859.</w:t>
      </w:r>
    </w:p>
    <w:p w14:paraId="60F34368"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3FBB69E6" w14:textId="77777777" w:rsidR="00581C3D"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(6) Pri podnošenju istraživanja iz stavka 2. ovoga članka tijelu za prikupljanje iz stavka 5. ovoga članka izdavatelj osigurava da su uz njega priloženi metapodaci koji pokazuju da su informacije usklađene s EU-ovom kodeksom ponašanja za istraživanja koja financira izdavatelj. </w:t>
      </w:r>
    </w:p>
    <w:p w14:paraId="1FB18415" w14:textId="77777777" w:rsidR="00581C3D" w:rsidRPr="000479E9" w:rsidRDefault="00581C3D" w:rsidP="00617A00">
      <w:pPr>
        <w:spacing w:after="0" w:line="240" w:lineRule="auto"/>
        <w:jc w:val="both"/>
        <w:rPr>
          <w:rFonts w:ascii="Times New Roman" w:eastAsia="Times New Roman" w:hAnsi="Times New Roman" w:cs="Times New Roman"/>
          <w:sz w:val="24"/>
          <w:szCs w:val="24"/>
          <w:lang w:eastAsia="hr-HR"/>
        </w:rPr>
      </w:pPr>
    </w:p>
    <w:p w14:paraId="6F6DE710" w14:textId="64029413" w:rsidR="001E615F" w:rsidRPr="000479E9" w:rsidRDefault="00581C3D"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I</w:t>
      </w:r>
      <w:r w:rsidR="001E615F" w:rsidRPr="000479E9">
        <w:rPr>
          <w:rFonts w:ascii="Times New Roman" w:eastAsia="Times New Roman" w:hAnsi="Times New Roman" w:cs="Times New Roman"/>
          <w:sz w:val="24"/>
          <w:szCs w:val="24"/>
          <w:lang w:eastAsia="hr-HR"/>
        </w:rPr>
        <w:t xml:space="preserve">straživanje </w:t>
      </w:r>
      <w:r w:rsidRPr="000479E9">
        <w:rPr>
          <w:rFonts w:ascii="Times New Roman" w:eastAsia="Times New Roman" w:hAnsi="Times New Roman" w:cs="Times New Roman"/>
          <w:sz w:val="24"/>
          <w:szCs w:val="24"/>
          <w:lang w:eastAsia="hr-HR"/>
        </w:rPr>
        <w:t xml:space="preserve">iz stavka 2. ovoga članka </w:t>
      </w:r>
      <w:r w:rsidR="001E615F" w:rsidRPr="000479E9">
        <w:rPr>
          <w:rFonts w:ascii="Times New Roman" w:eastAsia="Times New Roman" w:hAnsi="Times New Roman" w:cs="Times New Roman"/>
          <w:sz w:val="24"/>
          <w:szCs w:val="24"/>
          <w:lang w:eastAsia="hr-HR"/>
        </w:rPr>
        <w:t>ne smatra se propisanim informacijama niti investicijskim istraživanjem u smislu ovoga Zakona te ne podliježe istoj razini regulatornog nadzora kao propisane informacije ili investicijsko istraživanje.“.</w:t>
      </w:r>
    </w:p>
    <w:p w14:paraId="66463B6F"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F62FD72" w14:textId="6A87B7FA"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1</w:t>
      </w:r>
      <w:r w:rsidR="0085456E" w:rsidRPr="000479E9">
        <w:rPr>
          <w:rFonts w:ascii="Times New Roman" w:eastAsia="Times New Roman" w:hAnsi="Times New Roman" w:cs="Times New Roman"/>
          <w:b/>
          <w:bCs/>
          <w:sz w:val="24"/>
          <w:szCs w:val="24"/>
          <w:lang w:eastAsia="hr-HR"/>
        </w:rPr>
        <w:t>6</w:t>
      </w:r>
      <w:r w:rsidRPr="000479E9">
        <w:rPr>
          <w:rFonts w:ascii="Times New Roman" w:eastAsia="Times New Roman" w:hAnsi="Times New Roman" w:cs="Times New Roman"/>
          <w:b/>
          <w:bCs/>
          <w:sz w:val="24"/>
          <w:szCs w:val="24"/>
          <w:lang w:eastAsia="hr-HR"/>
        </w:rPr>
        <w:t>.</w:t>
      </w:r>
    </w:p>
    <w:p w14:paraId="03A1DC61"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7390202B"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93. stavku 2. iza riječi: „u cijelosti“ dodaju se riječi: „što je prije moguće, a najkasnije 15 dana od dana primitka poticaja“.</w:t>
      </w:r>
    </w:p>
    <w:p w14:paraId="7B2F14E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8417805" w14:textId="73A9CFDA"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1</w:t>
      </w:r>
      <w:r w:rsidR="0085456E" w:rsidRPr="000479E9">
        <w:rPr>
          <w:rFonts w:ascii="Times New Roman" w:eastAsia="Times New Roman" w:hAnsi="Times New Roman" w:cs="Times New Roman"/>
          <w:b/>
          <w:bCs/>
          <w:sz w:val="24"/>
          <w:szCs w:val="24"/>
          <w:lang w:eastAsia="hr-HR"/>
        </w:rPr>
        <w:t>7</w:t>
      </w:r>
      <w:r w:rsidR="00697CB0" w:rsidRPr="000479E9">
        <w:rPr>
          <w:rFonts w:ascii="Times New Roman" w:eastAsia="Times New Roman" w:hAnsi="Times New Roman" w:cs="Times New Roman"/>
          <w:b/>
          <w:bCs/>
          <w:sz w:val="24"/>
          <w:szCs w:val="24"/>
          <w:lang w:eastAsia="hr-HR"/>
        </w:rPr>
        <w:t>.</w:t>
      </w:r>
    </w:p>
    <w:p w14:paraId="62A64822"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02A24E8"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94. stavak 3. mijenja se i glasi:</w:t>
      </w:r>
    </w:p>
    <w:p w14:paraId="0BD6A8FC"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51D70B6"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„(3) </w:t>
      </w:r>
      <w:bookmarkStart w:id="3" w:name="_Hlk222408931"/>
      <w:r w:rsidRPr="000479E9">
        <w:rPr>
          <w:rFonts w:ascii="Times New Roman" w:eastAsia="Times New Roman" w:hAnsi="Times New Roman" w:cs="Times New Roman"/>
          <w:sz w:val="24"/>
          <w:szCs w:val="24"/>
          <w:lang w:eastAsia="hr-HR"/>
        </w:rPr>
        <w:t>Investicijska društva koja vode zaseban račun za istraživanja iz stavka 6. točke 4. podtočke b) ovoga članka dužna su u vezi s vođenjem tog računa ispunjavati sljedeće uvjete:</w:t>
      </w:r>
      <w:bookmarkEnd w:id="3"/>
    </w:p>
    <w:p w14:paraId="1579D38E"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DB5B577"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a) račun za istraživanja financira se posebnim troškom za istraživanje koji se naplaćuje klijentu</w:t>
      </w:r>
    </w:p>
    <w:p w14:paraId="3EFF8FFD"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D43BD31"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b) kao dio uspostave računa za istraživanja i dogovora s klijentima o trošku istraživanja, investicijsko društvo utvrđuje i redovito preispituje proračun za istraživanje kao internu administrativnu mjeru</w:t>
      </w:r>
    </w:p>
    <w:p w14:paraId="5ABDEA4C"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2D25C3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c) investicijsko društvo odgovorno je za račun za istraživanja.“.</w:t>
      </w:r>
    </w:p>
    <w:p w14:paraId="1B28BEC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3A576399" w14:textId="20C26370"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Stavak 6. mijenja se i glasi:</w:t>
      </w:r>
    </w:p>
    <w:p w14:paraId="4594A672"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2C2304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Kada treća osoba pruža istraživanja investicijskom društvu koje upravlja portfeljem ili pruža druge ili investicijske ili pomoćne usluge klijentima, smatra se da su u odnosu na te poticaje ispunjeni uvjeti iz stavaka 3. do 5. ovoga članka ako su kumulativno ispunjeni svi sljedeći uvjeti:</w:t>
      </w:r>
    </w:p>
    <w:p w14:paraId="1EC36EA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A7912E6"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ako su prije pružanja usluga izvršavanja naloga ili istraživanja, investicijsko društvo i pružatelj usluga istraživanja sklopili sporazum kojim se utvrđuje metodologija za naknade, uključujući način na koji se ukupni trošak istraživanja općenito uzima u obzir pri određivanju ukupnih naknada za investicijske usluge</w:t>
      </w:r>
    </w:p>
    <w:p w14:paraId="21D6E2A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BC256D1"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investicijsko društvo obavijesti klijente o svojoj odluci da zajednički ili odvojeno plaća usluge izvršavanja naloga i istraživanje, kao i o svojoj politici plaćanja za usluge izvršavanja naloga i istraživanje, što uključuje vrstu informacija koje se mogu pružiti ovisno o načinu plaćanja društva i, prema potrebi, objašnjenje na koji način investicijsko društvo sprječava sukobe interesa ili upravlja sukobima interesa u skladu s člankom 58. ovoga Zakona kada primjenjuje zajedničko plaćanje za usluge izvršavanja naloga i istraživanje</w:t>
      </w:r>
    </w:p>
    <w:p w14:paraId="79897F91"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AEFD03E"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3. investicijsko društvo na godišnjoj osnovi procjenjuje kvalitetu, upotrebljivost i vrijednost korištenog istraživanja, kao i mogućnost da to istraživanje doprinese boljim odlukama o ulaganjima </w:t>
      </w:r>
    </w:p>
    <w:p w14:paraId="4D14AA06"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2CCB774E"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u slučaju da investicijsko društvo odluči platiti odvojeno za usluge izvršavanja naloga i istraživanje koje provodi treća strana, treća strana pruža to istraživanje investicijskom društvu u zamjenu za jedno od sljedećeg:</w:t>
      </w:r>
    </w:p>
    <w:p w14:paraId="14ACBDFC"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42012D6F"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a) izravna plaćanja za koja se investicijsko društvo koristi vlastitim sredstvima</w:t>
      </w:r>
    </w:p>
    <w:p w14:paraId="4238E0B4"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1B112A0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b) plaćanja sa zasebnog računa za istraživanje koji kontrolira investicijsko društvo.“.</w:t>
      </w:r>
    </w:p>
    <w:p w14:paraId="7C85A002"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D5874A6" w14:textId="51F786ED"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stavka 6. dodaju se stavci 7. do </w:t>
      </w:r>
      <w:r w:rsidR="00793CF9" w:rsidRPr="000479E9">
        <w:rPr>
          <w:rFonts w:ascii="Times New Roman" w:eastAsia="Times New Roman" w:hAnsi="Times New Roman" w:cs="Times New Roman"/>
          <w:sz w:val="24"/>
          <w:szCs w:val="24"/>
          <w:lang w:eastAsia="hr-HR"/>
        </w:rPr>
        <w:t>10</w:t>
      </w:r>
      <w:r w:rsidRPr="000479E9">
        <w:rPr>
          <w:rFonts w:ascii="Times New Roman" w:eastAsia="Times New Roman" w:hAnsi="Times New Roman" w:cs="Times New Roman"/>
          <w:sz w:val="24"/>
          <w:szCs w:val="24"/>
          <w:lang w:eastAsia="hr-HR"/>
        </w:rPr>
        <w:t>. koji glase:</w:t>
      </w:r>
    </w:p>
    <w:p w14:paraId="357FCAF7"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029A243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U smislu ovoga članka, izvješće o trgovanju i druge ciljane savjetodavne usluge o trgovini koje su neodvojivo povezane s izvršavanjem transakcije financijskim instrumentima ne smatraju se istraživanjem.</w:t>
      </w:r>
    </w:p>
    <w:p w14:paraId="6E6C64E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F68466B" w14:textId="5497DCD3"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Ako investicijsko društvo primi istraživanje od pružatelja istraživanja koji se ne bavi uslugama izvršavanja naloga i nije dio grupe za pružanje financijskih usluga koja uključuje investicijsko društvo koje nudi usluge izvršavanja ili posredovanja, smatra se da se pružanjem takvog istraživanja investicijskom društvu ispunjavaju obveze iz stavka 6. ovoga članka</w:t>
      </w:r>
      <w:r w:rsidR="00FE04D3" w:rsidRPr="000479E9">
        <w:rPr>
          <w:rFonts w:ascii="Times New Roman" w:eastAsia="Times New Roman" w:hAnsi="Times New Roman" w:cs="Times New Roman"/>
          <w:sz w:val="24"/>
          <w:szCs w:val="24"/>
          <w:lang w:eastAsia="hr-HR"/>
        </w:rPr>
        <w:t xml:space="preserve">, pri čemu je </w:t>
      </w:r>
      <w:r w:rsidRPr="000479E9">
        <w:rPr>
          <w:rFonts w:ascii="Times New Roman" w:eastAsia="Times New Roman" w:hAnsi="Times New Roman" w:cs="Times New Roman"/>
          <w:sz w:val="24"/>
          <w:szCs w:val="24"/>
          <w:lang w:eastAsia="hr-HR"/>
        </w:rPr>
        <w:t>investicijsko društvo dužno provesti procjenu iz stavka 6. točke 3. ovoga članka.</w:t>
      </w:r>
    </w:p>
    <w:p w14:paraId="6E62468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0D82604" w14:textId="77777777" w:rsidR="00793CF9" w:rsidRPr="000479E9" w:rsidRDefault="001E615F" w:rsidP="00617A00">
      <w:pPr>
        <w:spacing w:after="0" w:line="240" w:lineRule="auto"/>
        <w:jc w:val="both"/>
        <w:rPr>
          <w:rFonts w:ascii="Times New Roman" w:eastAsia="Times New Roman" w:hAnsi="Times New Roman" w:cs="Times New Roman"/>
          <w:sz w:val="24"/>
          <w:szCs w:val="24"/>
          <w:lang w:eastAsia="hr-HR"/>
        </w:rPr>
      </w:pPr>
      <w:bookmarkStart w:id="4" w:name="_Hlk222409065"/>
      <w:r w:rsidRPr="000479E9">
        <w:rPr>
          <w:rFonts w:ascii="Times New Roman" w:eastAsia="Times New Roman" w:hAnsi="Times New Roman" w:cs="Times New Roman"/>
          <w:sz w:val="24"/>
          <w:szCs w:val="24"/>
          <w:lang w:eastAsia="hr-HR"/>
        </w:rPr>
        <w:t xml:space="preserve">(9) Investicijsko društvo dužno je voditi evidenciju o ukupnim troškovima koji su mu poznati, a koji se mogu pripisati istraživanju koje je za njega provela treća strana. </w:t>
      </w:r>
    </w:p>
    <w:p w14:paraId="37EE284E" w14:textId="77777777" w:rsidR="00793CF9" w:rsidRPr="000479E9" w:rsidRDefault="00793CF9" w:rsidP="00617A00">
      <w:pPr>
        <w:spacing w:after="0" w:line="240" w:lineRule="auto"/>
        <w:jc w:val="both"/>
        <w:rPr>
          <w:rFonts w:ascii="Times New Roman" w:eastAsia="Times New Roman" w:hAnsi="Times New Roman" w:cs="Times New Roman"/>
          <w:sz w:val="24"/>
          <w:szCs w:val="24"/>
          <w:lang w:eastAsia="hr-HR"/>
        </w:rPr>
      </w:pPr>
    </w:p>
    <w:p w14:paraId="4B383961" w14:textId="3A986985" w:rsidR="001E615F" w:rsidRPr="000479E9" w:rsidRDefault="00793CF9"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I</w:t>
      </w:r>
      <w:r w:rsidR="001E615F" w:rsidRPr="000479E9">
        <w:rPr>
          <w:rFonts w:ascii="Times New Roman" w:eastAsia="Times New Roman" w:hAnsi="Times New Roman" w:cs="Times New Roman"/>
          <w:sz w:val="24"/>
          <w:szCs w:val="24"/>
          <w:lang w:eastAsia="hr-HR"/>
        </w:rPr>
        <w:t>nvesticijsko društvo dužno</w:t>
      </w:r>
      <w:r w:rsidRPr="000479E9">
        <w:rPr>
          <w:rFonts w:ascii="Times New Roman" w:eastAsia="Times New Roman" w:hAnsi="Times New Roman" w:cs="Times New Roman"/>
          <w:sz w:val="24"/>
          <w:szCs w:val="24"/>
          <w:lang w:eastAsia="hr-HR"/>
        </w:rPr>
        <w:t xml:space="preserve"> je informacije iz stavka 9. ovoga članka</w:t>
      </w:r>
      <w:r w:rsidR="001E615F" w:rsidRPr="000479E9">
        <w:rPr>
          <w:rFonts w:ascii="Times New Roman" w:eastAsia="Times New Roman" w:hAnsi="Times New Roman" w:cs="Times New Roman"/>
          <w:sz w:val="24"/>
          <w:szCs w:val="24"/>
          <w:lang w:eastAsia="hr-HR"/>
        </w:rPr>
        <w:t xml:space="preserve"> staviti na raspolaganje klijentima na godišnjoj osnovi, na zahtjev klijenata.“.</w:t>
      </w:r>
    </w:p>
    <w:p w14:paraId="65D440E0" w14:textId="3059E66A" w:rsidR="2B3481CE" w:rsidRPr="000479E9" w:rsidRDefault="2B3481CE" w:rsidP="2B3481CE">
      <w:pPr>
        <w:spacing w:after="0" w:line="240" w:lineRule="auto"/>
        <w:jc w:val="center"/>
        <w:rPr>
          <w:rFonts w:ascii="Times New Roman" w:eastAsia="Times New Roman" w:hAnsi="Times New Roman" w:cs="Times New Roman"/>
          <w:b/>
          <w:bCs/>
          <w:sz w:val="24"/>
          <w:szCs w:val="24"/>
          <w:lang w:eastAsia="hr-HR"/>
        </w:rPr>
      </w:pPr>
    </w:p>
    <w:p w14:paraId="46FE08CB" w14:textId="60FF6397" w:rsidR="001E615F" w:rsidRPr="000479E9" w:rsidRDefault="00FC79EA" w:rsidP="00FC79EA">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1</w:t>
      </w:r>
      <w:r w:rsidR="0085456E" w:rsidRPr="000479E9">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w:t>
      </w:r>
    </w:p>
    <w:bookmarkEnd w:id="4"/>
    <w:p w14:paraId="6E28A450" w14:textId="77777777" w:rsidR="00FC79EA" w:rsidRPr="000479E9" w:rsidRDefault="00FC79EA" w:rsidP="00617A00">
      <w:pPr>
        <w:spacing w:after="0" w:line="240" w:lineRule="auto"/>
        <w:jc w:val="center"/>
        <w:rPr>
          <w:rFonts w:ascii="Times New Roman" w:eastAsia="Times New Roman" w:hAnsi="Times New Roman" w:cs="Times New Roman"/>
          <w:b/>
          <w:bCs/>
          <w:sz w:val="24"/>
          <w:szCs w:val="24"/>
          <w:lang w:eastAsia="hr-HR"/>
        </w:rPr>
      </w:pPr>
    </w:p>
    <w:p w14:paraId="00239894" w14:textId="057E7B71" w:rsidR="00FC79EA" w:rsidRPr="000479E9" w:rsidRDefault="00FC79EA" w:rsidP="00FC79E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103. iza stavka 7. dodaje se stavak 8. koji glasi:</w:t>
      </w:r>
    </w:p>
    <w:p w14:paraId="571EA12C" w14:textId="4D1A041A" w:rsidR="00FC79EA" w:rsidRPr="000479E9" w:rsidRDefault="00FC79EA" w:rsidP="00FC79EA">
      <w:pPr>
        <w:spacing w:after="0" w:line="240" w:lineRule="auto"/>
        <w:jc w:val="both"/>
        <w:rPr>
          <w:rFonts w:ascii="Times New Roman" w:eastAsia="Times New Roman" w:hAnsi="Times New Roman" w:cs="Times New Roman"/>
          <w:sz w:val="24"/>
          <w:szCs w:val="24"/>
          <w:lang w:eastAsia="hr-HR"/>
        </w:rPr>
      </w:pPr>
    </w:p>
    <w:p w14:paraId="7A1C4198" w14:textId="55F2DFA0" w:rsidR="00FC79EA" w:rsidRPr="000479E9" w:rsidRDefault="00FC79EA" w:rsidP="00FC79E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„(8) Agencija pravilnikom </w:t>
      </w:r>
      <w:r w:rsidR="006F04C0" w:rsidRPr="000479E9">
        <w:rPr>
          <w:rFonts w:ascii="Times New Roman" w:eastAsia="Times New Roman" w:hAnsi="Times New Roman" w:cs="Times New Roman"/>
          <w:sz w:val="24"/>
          <w:szCs w:val="24"/>
          <w:lang w:eastAsia="hr-HR"/>
        </w:rPr>
        <w:t>detaljnije</w:t>
      </w:r>
      <w:r w:rsidR="00E3300F"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propis</w:t>
      </w:r>
      <w:r w:rsidR="00C74615" w:rsidRPr="000479E9">
        <w:rPr>
          <w:rFonts w:ascii="Times New Roman" w:eastAsia="Times New Roman" w:hAnsi="Times New Roman" w:cs="Times New Roman"/>
          <w:sz w:val="24"/>
          <w:szCs w:val="24"/>
          <w:lang w:eastAsia="hr-HR"/>
        </w:rPr>
        <w:t>uje</w:t>
      </w:r>
      <w:r w:rsidRPr="000479E9">
        <w:rPr>
          <w:rFonts w:ascii="Times New Roman" w:eastAsia="Times New Roman" w:hAnsi="Times New Roman" w:cs="Times New Roman"/>
          <w:sz w:val="24"/>
          <w:szCs w:val="24"/>
          <w:lang w:eastAsia="hr-HR"/>
        </w:rPr>
        <w:t xml:space="preserve"> kriterije za stjecanje statusa profesionalnog ulagatelja za jedinice lokalne ili područne (regionalne) samouprave.“</w:t>
      </w:r>
      <w:r w:rsidR="00715D52" w:rsidRPr="000479E9">
        <w:rPr>
          <w:rFonts w:ascii="Times New Roman" w:eastAsia="Times New Roman" w:hAnsi="Times New Roman" w:cs="Times New Roman"/>
          <w:sz w:val="24"/>
          <w:szCs w:val="24"/>
          <w:lang w:eastAsia="hr-HR"/>
        </w:rPr>
        <w:t>.</w:t>
      </w:r>
    </w:p>
    <w:p w14:paraId="7137FB57" w14:textId="77777777" w:rsidR="00FC79EA" w:rsidRPr="000479E9" w:rsidRDefault="00FC79EA" w:rsidP="00617A00">
      <w:pPr>
        <w:spacing w:after="0" w:line="240" w:lineRule="auto"/>
        <w:jc w:val="center"/>
        <w:rPr>
          <w:rFonts w:ascii="Times New Roman" w:eastAsia="Times New Roman" w:hAnsi="Times New Roman" w:cs="Times New Roman"/>
          <w:b/>
          <w:bCs/>
          <w:sz w:val="24"/>
          <w:szCs w:val="24"/>
          <w:lang w:eastAsia="hr-HR"/>
        </w:rPr>
      </w:pPr>
    </w:p>
    <w:p w14:paraId="099A6F6D" w14:textId="6179F323" w:rsidR="00A1252F" w:rsidRPr="000479E9" w:rsidRDefault="00A1252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1</w:t>
      </w:r>
      <w:r w:rsidR="0085456E" w:rsidRPr="000479E9">
        <w:rPr>
          <w:rFonts w:ascii="Times New Roman" w:eastAsia="Times New Roman" w:hAnsi="Times New Roman" w:cs="Times New Roman"/>
          <w:b/>
          <w:bCs/>
          <w:sz w:val="24"/>
          <w:szCs w:val="24"/>
          <w:lang w:eastAsia="hr-HR"/>
        </w:rPr>
        <w:t>9</w:t>
      </w:r>
      <w:r w:rsidRPr="000479E9">
        <w:rPr>
          <w:rFonts w:ascii="Times New Roman" w:eastAsia="Times New Roman" w:hAnsi="Times New Roman" w:cs="Times New Roman"/>
          <w:b/>
          <w:bCs/>
          <w:sz w:val="24"/>
          <w:szCs w:val="24"/>
          <w:lang w:eastAsia="hr-HR"/>
        </w:rPr>
        <w:t>.</w:t>
      </w:r>
    </w:p>
    <w:p w14:paraId="4ACC3C52" w14:textId="76DD770F" w:rsidR="00A1252F" w:rsidRPr="000479E9" w:rsidRDefault="00A1252F" w:rsidP="00A1252F">
      <w:pPr>
        <w:spacing w:after="0" w:line="240" w:lineRule="auto"/>
        <w:rPr>
          <w:rFonts w:ascii="Times New Roman" w:eastAsia="Times New Roman" w:hAnsi="Times New Roman" w:cs="Times New Roman"/>
          <w:b/>
          <w:bCs/>
          <w:sz w:val="24"/>
          <w:szCs w:val="24"/>
          <w:lang w:eastAsia="hr-HR"/>
        </w:rPr>
      </w:pPr>
    </w:p>
    <w:p w14:paraId="292D6DFE" w14:textId="5142EC07" w:rsidR="00A1252F" w:rsidRPr="000479E9" w:rsidRDefault="00A1252F" w:rsidP="00A1252F">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159. iza stavka 2. dodaje se novi stavak 3. koji glasi: </w:t>
      </w:r>
    </w:p>
    <w:p w14:paraId="0F659FFD" w14:textId="48B75F69" w:rsidR="00A1252F" w:rsidRPr="000479E9" w:rsidRDefault="00A1252F" w:rsidP="00A1252F">
      <w:pPr>
        <w:spacing w:after="0" w:line="240" w:lineRule="auto"/>
        <w:rPr>
          <w:rFonts w:ascii="Times New Roman" w:eastAsia="Times New Roman" w:hAnsi="Times New Roman" w:cs="Times New Roman"/>
          <w:sz w:val="24"/>
          <w:szCs w:val="24"/>
          <w:lang w:eastAsia="hr-HR"/>
        </w:rPr>
      </w:pPr>
    </w:p>
    <w:p w14:paraId="3DD42952" w14:textId="7A03B8E1" w:rsidR="00A1252F" w:rsidRPr="000479E9" w:rsidRDefault="00A1252F" w:rsidP="00A1252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Iznimno od stavka 1. ovoga članka, malo i nepovezano investicijsko društvo iz članka 12. stavka 1. Uredbe (EU) br. 2019/2033 obvezno je izrađivati samo godišnje financijske izvještaje.“</w:t>
      </w:r>
      <w:r w:rsidR="00715D52"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p>
    <w:p w14:paraId="19AD8314" w14:textId="308A5056" w:rsidR="00A1252F" w:rsidRPr="000479E9" w:rsidRDefault="00A1252F" w:rsidP="00A1252F">
      <w:pPr>
        <w:spacing w:after="0" w:line="240" w:lineRule="auto"/>
        <w:jc w:val="both"/>
        <w:rPr>
          <w:rFonts w:ascii="Times New Roman" w:eastAsia="Times New Roman" w:hAnsi="Times New Roman" w:cs="Times New Roman"/>
          <w:sz w:val="24"/>
          <w:szCs w:val="24"/>
          <w:lang w:eastAsia="hr-HR"/>
        </w:rPr>
      </w:pPr>
    </w:p>
    <w:p w14:paraId="4538C451" w14:textId="4B4C13A0" w:rsidR="00A1252F" w:rsidRPr="000479E9" w:rsidRDefault="00A1252F" w:rsidP="00A1252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stavak 3. postaje stavak 4. </w:t>
      </w:r>
    </w:p>
    <w:p w14:paraId="76C37247" w14:textId="2CF83319" w:rsidR="00A1252F" w:rsidRPr="000479E9" w:rsidRDefault="00A1252F" w:rsidP="00617A00">
      <w:pPr>
        <w:spacing w:after="0" w:line="240" w:lineRule="auto"/>
        <w:jc w:val="center"/>
        <w:rPr>
          <w:rFonts w:ascii="Times New Roman" w:eastAsia="Times New Roman" w:hAnsi="Times New Roman" w:cs="Times New Roman"/>
          <w:b/>
          <w:bCs/>
          <w:sz w:val="24"/>
          <w:szCs w:val="24"/>
          <w:lang w:eastAsia="hr-HR"/>
        </w:rPr>
      </w:pPr>
    </w:p>
    <w:p w14:paraId="686586C3" w14:textId="1E7162C7" w:rsidR="00071C5C" w:rsidRPr="000479E9" w:rsidRDefault="00071C5C"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85456E" w:rsidRPr="000479E9">
        <w:rPr>
          <w:rFonts w:ascii="Times New Roman" w:eastAsia="Times New Roman" w:hAnsi="Times New Roman" w:cs="Times New Roman"/>
          <w:b/>
          <w:bCs/>
          <w:sz w:val="24"/>
          <w:szCs w:val="24"/>
          <w:lang w:eastAsia="hr-HR"/>
        </w:rPr>
        <w:t>20</w:t>
      </w:r>
      <w:r w:rsidRPr="000479E9">
        <w:rPr>
          <w:rFonts w:ascii="Times New Roman" w:eastAsia="Times New Roman" w:hAnsi="Times New Roman" w:cs="Times New Roman"/>
          <w:b/>
          <w:bCs/>
          <w:sz w:val="24"/>
          <w:szCs w:val="24"/>
          <w:lang w:eastAsia="hr-HR"/>
        </w:rPr>
        <w:t>.</w:t>
      </w:r>
    </w:p>
    <w:p w14:paraId="74B9E449" w14:textId="77777777" w:rsidR="00071C5C" w:rsidRPr="000479E9" w:rsidRDefault="00071C5C" w:rsidP="00071C5C">
      <w:pPr>
        <w:spacing w:after="0" w:line="240" w:lineRule="auto"/>
        <w:rPr>
          <w:rFonts w:ascii="Times New Roman" w:eastAsia="Times New Roman" w:hAnsi="Times New Roman" w:cs="Times New Roman"/>
          <w:b/>
          <w:bCs/>
          <w:sz w:val="24"/>
          <w:szCs w:val="24"/>
          <w:lang w:eastAsia="hr-HR"/>
        </w:rPr>
      </w:pPr>
    </w:p>
    <w:p w14:paraId="0BD8648E" w14:textId="4F43D79D" w:rsidR="00071C5C" w:rsidRPr="000479E9" w:rsidRDefault="00071C5C" w:rsidP="00483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162. stavku 1. riječ:</w:t>
      </w:r>
      <w:r w:rsidRPr="000479E9">
        <w:t xml:space="preserve"> </w:t>
      </w:r>
      <w:r w:rsidRPr="000479E9">
        <w:rPr>
          <w:rFonts w:ascii="Times New Roman" w:eastAsia="Times New Roman" w:hAnsi="Times New Roman" w:cs="Times New Roman"/>
          <w:sz w:val="24"/>
          <w:szCs w:val="24"/>
          <w:lang w:eastAsia="hr-HR"/>
        </w:rPr>
        <w:t>„sedam“ zamjenjuje se riječju: „deset“.</w:t>
      </w:r>
    </w:p>
    <w:p w14:paraId="5C6B5A37" w14:textId="77777777" w:rsidR="00071C5C" w:rsidRPr="000479E9" w:rsidRDefault="00071C5C" w:rsidP="00617A00">
      <w:pPr>
        <w:spacing w:after="0" w:line="240" w:lineRule="auto"/>
        <w:jc w:val="center"/>
        <w:rPr>
          <w:rFonts w:ascii="Times New Roman" w:eastAsia="Times New Roman" w:hAnsi="Times New Roman" w:cs="Times New Roman"/>
          <w:b/>
          <w:bCs/>
          <w:sz w:val="24"/>
          <w:szCs w:val="24"/>
          <w:lang w:eastAsia="hr-HR"/>
        </w:rPr>
      </w:pPr>
    </w:p>
    <w:p w14:paraId="1E495D63" w14:textId="072A32AB" w:rsidR="00697CB0" w:rsidRPr="000479E9" w:rsidRDefault="00697CB0"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85456E" w:rsidRPr="000479E9">
        <w:rPr>
          <w:rFonts w:ascii="Times New Roman" w:eastAsia="Times New Roman" w:hAnsi="Times New Roman" w:cs="Times New Roman"/>
          <w:b/>
          <w:bCs/>
          <w:sz w:val="24"/>
          <w:szCs w:val="24"/>
          <w:lang w:eastAsia="hr-HR"/>
        </w:rPr>
        <w:t>21</w:t>
      </w:r>
      <w:r w:rsidRPr="000479E9">
        <w:rPr>
          <w:rFonts w:ascii="Times New Roman" w:eastAsia="Times New Roman" w:hAnsi="Times New Roman" w:cs="Times New Roman"/>
          <w:b/>
          <w:bCs/>
          <w:sz w:val="24"/>
          <w:szCs w:val="24"/>
          <w:lang w:eastAsia="hr-HR"/>
        </w:rPr>
        <w:t xml:space="preserve">. </w:t>
      </w:r>
    </w:p>
    <w:p w14:paraId="0F7D9584" w14:textId="73D62096" w:rsidR="00697CB0" w:rsidRPr="000479E9" w:rsidRDefault="00697CB0" w:rsidP="00697CB0">
      <w:pPr>
        <w:spacing w:after="0" w:line="240" w:lineRule="auto"/>
        <w:jc w:val="both"/>
        <w:rPr>
          <w:rFonts w:ascii="Times New Roman" w:eastAsia="Times New Roman" w:hAnsi="Times New Roman" w:cs="Times New Roman"/>
          <w:b/>
          <w:bCs/>
          <w:sz w:val="24"/>
          <w:szCs w:val="24"/>
          <w:lang w:eastAsia="hr-HR"/>
        </w:rPr>
      </w:pPr>
    </w:p>
    <w:p w14:paraId="78ACFE72" w14:textId="474931EA" w:rsidR="00697CB0" w:rsidRPr="000479E9" w:rsidRDefault="00697CB0" w:rsidP="00697CB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U članku 167. stavku 2.</w:t>
      </w:r>
      <w:r w:rsidR="00042112" w:rsidRPr="000479E9">
        <w:rPr>
          <w:rFonts w:ascii="Times New Roman" w:eastAsia="Times New Roman" w:hAnsi="Times New Roman" w:cs="Times New Roman"/>
          <w:sz w:val="24"/>
          <w:szCs w:val="24"/>
          <w:lang w:eastAsia="hr-HR"/>
        </w:rPr>
        <w:t xml:space="preserve"> točk</w:t>
      </w:r>
      <w:r w:rsidR="00A775B1" w:rsidRPr="000479E9">
        <w:rPr>
          <w:rFonts w:ascii="Times New Roman" w:eastAsia="Times New Roman" w:hAnsi="Times New Roman" w:cs="Times New Roman"/>
          <w:sz w:val="24"/>
          <w:szCs w:val="24"/>
          <w:lang w:eastAsia="hr-HR"/>
        </w:rPr>
        <w:t>i</w:t>
      </w:r>
      <w:r w:rsidR="00042112" w:rsidRPr="000479E9">
        <w:rPr>
          <w:rFonts w:ascii="Times New Roman" w:eastAsia="Times New Roman" w:hAnsi="Times New Roman" w:cs="Times New Roman"/>
          <w:sz w:val="24"/>
          <w:szCs w:val="24"/>
          <w:lang w:eastAsia="hr-HR"/>
        </w:rPr>
        <w:t xml:space="preserve"> 4. </w:t>
      </w:r>
      <w:r w:rsidR="00A775B1" w:rsidRPr="000479E9">
        <w:rPr>
          <w:rFonts w:ascii="Times New Roman" w:eastAsia="Times New Roman" w:hAnsi="Times New Roman" w:cs="Times New Roman"/>
          <w:sz w:val="24"/>
          <w:szCs w:val="24"/>
          <w:lang w:eastAsia="hr-HR"/>
        </w:rPr>
        <w:t xml:space="preserve">na kraju rečenice </w:t>
      </w:r>
      <w:r w:rsidR="00042112" w:rsidRPr="000479E9">
        <w:rPr>
          <w:rFonts w:ascii="Times New Roman" w:eastAsia="Times New Roman" w:hAnsi="Times New Roman" w:cs="Times New Roman"/>
          <w:sz w:val="24"/>
          <w:szCs w:val="24"/>
          <w:lang w:eastAsia="hr-HR"/>
        </w:rPr>
        <w:t xml:space="preserve">briše se točka i </w:t>
      </w:r>
      <w:r w:rsidRPr="000479E9">
        <w:rPr>
          <w:rFonts w:ascii="Times New Roman" w:eastAsia="Times New Roman" w:hAnsi="Times New Roman" w:cs="Times New Roman"/>
          <w:sz w:val="24"/>
          <w:szCs w:val="24"/>
          <w:lang w:eastAsia="hr-HR"/>
        </w:rPr>
        <w:t>dodaje se točka 5. koja glasi:</w:t>
      </w:r>
    </w:p>
    <w:p w14:paraId="2FC846CF" w14:textId="77777777" w:rsidR="00AB3A7F" w:rsidRPr="000479E9" w:rsidRDefault="00AB3A7F" w:rsidP="00697CB0">
      <w:pPr>
        <w:spacing w:after="0" w:line="240" w:lineRule="auto"/>
        <w:jc w:val="both"/>
        <w:rPr>
          <w:rFonts w:ascii="Times New Roman" w:eastAsia="Times New Roman" w:hAnsi="Times New Roman" w:cs="Times New Roman"/>
          <w:sz w:val="24"/>
          <w:szCs w:val="24"/>
          <w:lang w:eastAsia="hr-HR"/>
        </w:rPr>
      </w:pPr>
    </w:p>
    <w:p w14:paraId="0DB0A3C6" w14:textId="34C2D591" w:rsidR="00697CB0" w:rsidRPr="000479E9" w:rsidRDefault="00697CB0" w:rsidP="00697CB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bitnih izvora i učinaka koncentracijskog rizika koji proizlazi iz izloženosti prema središnjim drugim ugovornim stranama i svakog znatnog utjecaja na regulatorni kapital.“</w:t>
      </w:r>
      <w:r w:rsidR="00042112" w:rsidRPr="000479E9">
        <w:rPr>
          <w:rFonts w:ascii="Times New Roman" w:eastAsia="Times New Roman" w:hAnsi="Times New Roman" w:cs="Times New Roman"/>
          <w:sz w:val="24"/>
          <w:szCs w:val="24"/>
          <w:lang w:eastAsia="hr-HR"/>
        </w:rPr>
        <w:t>.</w:t>
      </w:r>
    </w:p>
    <w:p w14:paraId="4E8EBF42" w14:textId="155293A0" w:rsidR="00697CB0" w:rsidRPr="000479E9" w:rsidRDefault="00697CB0" w:rsidP="00697CB0">
      <w:pPr>
        <w:spacing w:after="0" w:line="240" w:lineRule="auto"/>
        <w:jc w:val="both"/>
        <w:rPr>
          <w:rFonts w:ascii="Times New Roman" w:eastAsia="Times New Roman" w:hAnsi="Times New Roman" w:cs="Times New Roman"/>
          <w:sz w:val="24"/>
          <w:szCs w:val="24"/>
          <w:lang w:eastAsia="hr-HR"/>
        </w:rPr>
      </w:pPr>
    </w:p>
    <w:p w14:paraId="1BF60DEF" w14:textId="6B2DDC35" w:rsidR="00697CB0" w:rsidRPr="000479E9" w:rsidRDefault="00697CB0" w:rsidP="00697CB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stavka 3. dodaje se novi stavak 4. koji glasi:</w:t>
      </w:r>
    </w:p>
    <w:p w14:paraId="5965CD92" w14:textId="77777777" w:rsidR="00AB3A7F" w:rsidRPr="000479E9" w:rsidRDefault="00AB3A7F" w:rsidP="00697CB0">
      <w:pPr>
        <w:spacing w:after="0" w:line="240" w:lineRule="auto"/>
        <w:jc w:val="both"/>
        <w:rPr>
          <w:rFonts w:ascii="Times New Roman" w:eastAsia="Times New Roman" w:hAnsi="Times New Roman" w:cs="Times New Roman"/>
          <w:sz w:val="24"/>
          <w:szCs w:val="24"/>
          <w:lang w:eastAsia="hr-HR"/>
        </w:rPr>
      </w:pPr>
    </w:p>
    <w:p w14:paraId="466DACC2" w14:textId="782EF097" w:rsidR="00697CB0" w:rsidRPr="000479E9" w:rsidRDefault="00697CB0" w:rsidP="00697CB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„(4) </w:t>
      </w:r>
      <w:r w:rsidR="00E34710" w:rsidRPr="000479E9">
        <w:rPr>
          <w:rFonts w:ascii="Times New Roman" w:eastAsia="Times New Roman" w:hAnsi="Times New Roman" w:cs="Times New Roman"/>
          <w:sz w:val="24"/>
          <w:szCs w:val="24"/>
          <w:lang w:eastAsia="hr-HR"/>
        </w:rPr>
        <w:t>U</w:t>
      </w:r>
      <w:r w:rsidRPr="000479E9">
        <w:rPr>
          <w:rFonts w:ascii="Times New Roman" w:eastAsia="Times New Roman" w:hAnsi="Times New Roman" w:cs="Times New Roman"/>
          <w:sz w:val="24"/>
          <w:szCs w:val="24"/>
          <w:lang w:eastAsia="hr-HR"/>
        </w:rPr>
        <w:t xml:space="preserve"> smislu stavka 2. točke 5. ovoga članka društvo je dužno izraditi posebne planove i mjerljive ciljeve u skladu sa zahtjevima utvrđenima u skladu s člankom 7.a Uredbe (EU) br. 648/2012 radi praćenja i </w:t>
      </w:r>
      <w:r w:rsidR="0085456E" w:rsidRPr="000479E9">
        <w:rPr>
          <w:rFonts w:ascii="Times New Roman" w:eastAsia="Times New Roman" w:hAnsi="Times New Roman" w:cs="Times New Roman"/>
          <w:sz w:val="24"/>
          <w:szCs w:val="24"/>
          <w:lang w:eastAsia="hr-HR"/>
        </w:rPr>
        <w:t xml:space="preserve">upravljanja koncentracijskim </w:t>
      </w:r>
      <w:r w:rsidRPr="000479E9">
        <w:rPr>
          <w:rFonts w:ascii="Times New Roman" w:eastAsia="Times New Roman" w:hAnsi="Times New Roman" w:cs="Times New Roman"/>
          <w:sz w:val="24"/>
          <w:szCs w:val="24"/>
          <w:lang w:eastAsia="hr-HR"/>
        </w:rPr>
        <w:t>rizik</w:t>
      </w:r>
      <w:r w:rsidR="0085456E" w:rsidRPr="000479E9">
        <w:rPr>
          <w:rFonts w:ascii="Times New Roman" w:eastAsia="Times New Roman" w:hAnsi="Times New Roman" w:cs="Times New Roman"/>
          <w:sz w:val="24"/>
          <w:szCs w:val="24"/>
          <w:lang w:eastAsia="hr-HR"/>
        </w:rPr>
        <w:t>om</w:t>
      </w:r>
      <w:r w:rsidRPr="000479E9">
        <w:rPr>
          <w:rFonts w:ascii="Times New Roman" w:eastAsia="Times New Roman" w:hAnsi="Times New Roman" w:cs="Times New Roman"/>
          <w:sz w:val="24"/>
          <w:szCs w:val="24"/>
          <w:lang w:eastAsia="hr-HR"/>
        </w:rPr>
        <w:t xml:space="preserve"> koji proizlazi iz izloženosti prema središnjim drugim ugovornim stranama koje nude usluge od znatne sistemske važnosti za Uniju odnosno jednu ili više njezinih država članica.“</w:t>
      </w:r>
      <w:r w:rsidR="00042112" w:rsidRPr="000479E9">
        <w:rPr>
          <w:rFonts w:ascii="Times New Roman" w:eastAsia="Times New Roman" w:hAnsi="Times New Roman" w:cs="Times New Roman"/>
          <w:sz w:val="24"/>
          <w:szCs w:val="24"/>
          <w:lang w:eastAsia="hr-HR"/>
        </w:rPr>
        <w:t>.</w:t>
      </w:r>
    </w:p>
    <w:p w14:paraId="4ECF42FC" w14:textId="0246970B" w:rsidR="00697CB0" w:rsidRPr="000479E9" w:rsidRDefault="00697CB0" w:rsidP="00697CB0">
      <w:pPr>
        <w:spacing w:after="0" w:line="240" w:lineRule="auto"/>
        <w:jc w:val="both"/>
        <w:rPr>
          <w:rFonts w:ascii="Times New Roman" w:eastAsia="Times New Roman" w:hAnsi="Times New Roman" w:cs="Times New Roman"/>
          <w:sz w:val="24"/>
          <w:szCs w:val="24"/>
          <w:lang w:eastAsia="hr-HR"/>
        </w:rPr>
      </w:pPr>
    </w:p>
    <w:p w14:paraId="46FA197C" w14:textId="52E8B5AE" w:rsidR="0085456E" w:rsidRPr="000479E9" w:rsidRDefault="00697CB0" w:rsidP="00697CB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stavci 4. do </w:t>
      </w:r>
      <w:r w:rsidR="0085456E"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xml:space="preserve">. postaju stavci 5. do </w:t>
      </w:r>
      <w:r w:rsidR="0085456E" w:rsidRPr="000479E9">
        <w:rPr>
          <w:rFonts w:ascii="Times New Roman" w:eastAsia="Times New Roman" w:hAnsi="Times New Roman" w:cs="Times New Roman"/>
          <w:sz w:val="24"/>
          <w:szCs w:val="24"/>
          <w:lang w:eastAsia="hr-HR"/>
        </w:rPr>
        <w:t>8</w:t>
      </w:r>
      <w:r w:rsidRPr="000479E9">
        <w:rPr>
          <w:rFonts w:ascii="Times New Roman" w:eastAsia="Times New Roman" w:hAnsi="Times New Roman" w:cs="Times New Roman"/>
          <w:sz w:val="24"/>
          <w:szCs w:val="24"/>
          <w:lang w:eastAsia="hr-HR"/>
        </w:rPr>
        <w:t xml:space="preserve">. </w:t>
      </w:r>
    </w:p>
    <w:p w14:paraId="257237E7" w14:textId="77777777" w:rsidR="0085456E" w:rsidRPr="000479E9" w:rsidRDefault="0085456E" w:rsidP="00697CB0">
      <w:pPr>
        <w:spacing w:after="0" w:line="240" w:lineRule="auto"/>
        <w:jc w:val="both"/>
        <w:rPr>
          <w:rFonts w:ascii="Times New Roman" w:eastAsia="Times New Roman" w:hAnsi="Times New Roman" w:cs="Times New Roman"/>
          <w:sz w:val="24"/>
          <w:szCs w:val="24"/>
          <w:lang w:eastAsia="hr-HR"/>
        </w:rPr>
      </w:pPr>
    </w:p>
    <w:p w14:paraId="691D3033" w14:textId="51359A85" w:rsidR="00697CB0" w:rsidRPr="000479E9" w:rsidRDefault="00EB3510" w:rsidP="00697CB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w:t>
      </w:r>
      <w:r w:rsidR="0085456E" w:rsidRPr="000479E9">
        <w:rPr>
          <w:rFonts w:ascii="Times New Roman" w:eastAsia="Times New Roman" w:hAnsi="Times New Roman" w:cs="Times New Roman"/>
          <w:sz w:val="24"/>
          <w:szCs w:val="24"/>
          <w:lang w:eastAsia="hr-HR"/>
        </w:rPr>
        <w:t xml:space="preserve"> dosadašnjem stavku 8. koji postaje stavak 9. broj: „7.” zamjenjuje se brojem: „8.”.  </w:t>
      </w:r>
    </w:p>
    <w:p w14:paraId="11ECA56E" w14:textId="5755F2C2" w:rsidR="00A1252F" w:rsidRPr="000479E9" w:rsidRDefault="00A1252F" w:rsidP="00A1252F">
      <w:pPr>
        <w:spacing w:after="0" w:line="240" w:lineRule="auto"/>
        <w:jc w:val="both"/>
        <w:rPr>
          <w:rFonts w:ascii="Times New Roman" w:eastAsia="Times New Roman" w:hAnsi="Times New Roman" w:cs="Times New Roman"/>
          <w:sz w:val="24"/>
          <w:szCs w:val="24"/>
          <w:lang w:eastAsia="hr-HR"/>
        </w:rPr>
      </w:pPr>
    </w:p>
    <w:p w14:paraId="1AA42353" w14:textId="2F8A27FA"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2</w:t>
      </w:r>
      <w:r w:rsidR="00EB3510" w:rsidRPr="000479E9">
        <w:rPr>
          <w:rFonts w:ascii="Times New Roman" w:eastAsia="Times New Roman" w:hAnsi="Times New Roman" w:cs="Times New Roman"/>
          <w:b/>
          <w:bCs/>
          <w:sz w:val="24"/>
          <w:szCs w:val="24"/>
          <w:lang w:eastAsia="hr-HR"/>
        </w:rPr>
        <w:t>2</w:t>
      </w:r>
      <w:r w:rsidRPr="000479E9">
        <w:rPr>
          <w:rFonts w:ascii="Times New Roman" w:eastAsia="Times New Roman" w:hAnsi="Times New Roman" w:cs="Times New Roman"/>
          <w:b/>
          <w:bCs/>
          <w:sz w:val="24"/>
          <w:szCs w:val="24"/>
          <w:lang w:eastAsia="hr-HR"/>
        </w:rPr>
        <w:t>.</w:t>
      </w:r>
    </w:p>
    <w:p w14:paraId="25EBD6E2"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639F6AA0" w14:textId="3F9D3D2D"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192. stavku 8. točki 4. na kraju rečenice briše se točka i dodaje se točka 5. koja glasi:</w:t>
      </w:r>
    </w:p>
    <w:p w14:paraId="75CA63BF"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0619E9B" w14:textId="3DBB1782"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poduzeti sve potrebne mjere kako bi se provjerilo je li investicijsko društvo uspostavilo organizacijske aranžmane kojima se osigurava da je istraživanje koje financira izdavatelj, a koje ono priprema ili distribuira, u skladu s EU-ovim kodeksom ponašanja za istraživanja koja financira izdavatelj.“</w:t>
      </w:r>
      <w:r w:rsidR="007B4D43" w:rsidRPr="000479E9">
        <w:rPr>
          <w:rFonts w:ascii="Times New Roman" w:eastAsia="Times New Roman" w:hAnsi="Times New Roman" w:cs="Times New Roman"/>
          <w:sz w:val="24"/>
          <w:szCs w:val="24"/>
          <w:lang w:eastAsia="hr-HR"/>
        </w:rPr>
        <w:t>.</w:t>
      </w:r>
    </w:p>
    <w:p w14:paraId="65568B42" w14:textId="3365E02D" w:rsidR="00697CB0" w:rsidRPr="000479E9" w:rsidRDefault="00697CB0" w:rsidP="00617A00">
      <w:pPr>
        <w:spacing w:after="0" w:line="240" w:lineRule="auto"/>
        <w:jc w:val="both"/>
        <w:rPr>
          <w:rFonts w:ascii="Times New Roman" w:eastAsia="Times New Roman" w:hAnsi="Times New Roman" w:cs="Times New Roman"/>
          <w:sz w:val="24"/>
          <w:szCs w:val="24"/>
          <w:lang w:eastAsia="hr-HR"/>
        </w:rPr>
      </w:pPr>
    </w:p>
    <w:p w14:paraId="6655E5AD" w14:textId="4CBA6646" w:rsidR="00697CB0" w:rsidRPr="000479E9" w:rsidRDefault="00697CB0"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stavka 12. dodaje se novi stavak 13. koji glasi: </w:t>
      </w:r>
    </w:p>
    <w:p w14:paraId="25F26725" w14:textId="77777777" w:rsidR="00AB3A7F" w:rsidRPr="000479E9" w:rsidRDefault="00AB3A7F" w:rsidP="00617A00">
      <w:pPr>
        <w:spacing w:after="0" w:line="240" w:lineRule="auto"/>
        <w:jc w:val="both"/>
        <w:rPr>
          <w:rFonts w:ascii="Times New Roman" w:eastAsia="Times New Roman" w:hAnsi="Times New Roman" w:cs="Times New Roman"/>
          <w:sz w:val="24"/>
          <w:szCs w:val="24"/>
          <w:lang w:eastAsia="hr-HR"/>
        </w:rPr>
      </w:pPr>
    </w:p>
    <w:p w14:paraId="3BC23C6C" w14:textId="7670EBED" w:rsidR="00697CB0" w:rsidRPr="000479E9" w:rsidRDefault="00697CB0"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„(13) U svrhu provjere iz stavka 2. točke 3. </w:t>
      </w:r>
      <w:r w:rsidR="00A775B1" w:rsidRPr="000479E9">
        <w:rPr>
          <w:rFonts w:ascii="Times New Roman" w:eastAsia="Times New Roman" w:hAnsi="Times New Roman" w:cs="Times New Roman"/>
          <w:sz w:val="24"/>
          <w:szCs w:val="24"/>
          <w:lang w:eastAsia="hr-HR"/>
        </w:rPr>
        <w:t xml:space="preserve">podtočke </w:t>
      </w:r>
      <w:r w:rsidRPr="000479E9">
        <w:rPr>
          <w:rFonts w:ascii="Times New Roman" w:eastAsia="Times New Roman" w:hAnsi="Times New Roman" w:cs="Times New Roman"/>
          <w:sz w:val="24"/>
          <w:szCs w:val="24"/>
          <w:lang w:eastAsia="hr-HR"/>
        </w:rPr>
        <w:t>a) ovoga članka, Agencija prati razvoj praksi investicijskih društava koje se odnose na upravljanje njihovim koncentracijskim rizikom koji proizlazi iz izloženosti prema središnjim drugim ugovornim stranama, uključujući planove izrađene u skladu s člankom 167. stavkom 2. ovoga Zakona te napredak koji su postigle u prilagodbi svojih poslovnih modela zahtjevima iz članka 7.a Uredbe (EU) br. 648/2012.“</w:t>
      </w:r>
      <w:r w:rsidR="007B4D43" w:rsidRPr="000479E9">
        <w:rPr>
          <w:rFonts w:ascii="Times New Roman" w:eastAsia="Times New Roman" w:hAnsi="Times New Roman" w:cs="Times New Roman"/>
          <w:sz w:val="24"/>
          <w:szCs w:val="24"/>
          <w:lang w:eastAsia="hr-HR"/>
        </w:rPr>
        <w:t>.</w:t>
      </w:r>
    </w:p>
    <w:p w14:paraId="6C0E82D6" w14:textId="641E0E8C"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0210392" w14:textId="2AC90F7B" w:rsidR="00697CB0" w:rsidRPr="000479E9" w:rsidRDefault="00697CB0"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stavci 13. i 14. postaju stavci 14. i 15. </w:t>
      </w:r>
    </w:p>
    <w:p w14:paraId="3617A501" w14:textId="77777777" w:rsidR="00697CB0" w:rsidRPr="000479E9" w:rsidRDefault="00697CB0" w:rsidP="00617A00">
      <w:pPr>
        <w:spacing w:after="0" w:line="240" w:lineRule="auto"/>
        <w:jc w:val="both"/>
        <w:rPr>
          <w:rFonts w:ascii="Times New Roman" w:eastAsia="Times New Roman" w:hAnsi="Times New Roman" w:cs="Times New Roman"/>
          <w:sz w:val="24"/>
          <w:szCs w:val="24"/>
          <w:lang w:eastAsia="hr-HR"/>
        </w:rPr>
      </w:pPr>
    </w:p>
    <w:p w14:paraId="03BE468E" w14:textId="622C5F8F"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2</w:t>
      </w:r>
      <w:r w:rsidR="009B4587" w:rsidRPr="000479E9">
        <w:rPr>
          <w:rFonts w:ascii="Times New Roman" w:eastAsia="Times New Roman" w:hAnsi="Times New Roman" w:cs="Times New Roman"/>
          <w:b/>
          <w:bCs/>
          <w:sz w:val="24"/>
          <w:szCs w:val="24"/>
          <w:lang w:eastAsia="hr-HR"/>
        </w:rPr>
        <w:t>3</w:t>
      </w:r>
      <w:r w:rsidRPr="000479E9">
        <w:rPr>
          <w:rFonts w:ascii="Times New Roman" w:eastAsia="Times New Roman" w:hAnsi="Times New Roman" w:cs="Times New Roman"/>
          <w:b/>
          <w:bCs/>
          <w:sz w:val="24"/>
          <w:szCs w:val="24"/>
          <w:lang w:eastAsia="hr-HR"/>
        </w:rPr>
        <w:t>.</w:t>
      </w:r>
    </w:p>
    <w:p w14:paraId="35A55DF9"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412EFA0" w14:textId="3CAE7EC2"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201. stavku 1. iza točke 8. dodaju se nov</w:t>
      </w:r>
      <w:r w:rsidR="003E6EC6"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točk</w:t>
      </w:r>
      <w:r w:rsidR="00A859AB"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9. i </w:t>
      </w:r>
      <w:r w:rsidR="003E6EC6" w:rsidRPr="000479E9">
        <w:rPr>
          <w:rFonts w:ascii="Times New Roman" w:eastAsia="Times New Roman" w:hAnsi="Times New Roman" w:cs="Times New Roman"/>
          <w:sz w:val="24"/>
          <w:szCs w:val="24"/>
          <w:lang w:eastAsia="hr-HR"/>
        </w:rPr>
        <w:t xml:space="preserve">točka </w:t>
      </w:r>
      <w:r w:rsidRPr="000479E9">
        <w:rPr>
          <w:rFonts w:ascii="Times New Roman" w:eastAsia="Times New Roman" w:hAnsi="Times New Roman" w:cs="Times New Roman"/>
          <w:sz w:val="24"/>
          <w:szCs w:val="24"/>
          <w:lang w:eastAsia="hr-HR"/>
        </w:rPr>
        <w:t>10. koje glase:</w:t>
      </w:r>
    </w:p>
    <w:p w14:paraId="057FA29F"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0C8E6AE8"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„9. privremena ili trajna zabrana distribucije svih istraživanja koja financira izdavatelj koja nisu pripremljena u skladu s EU-ovim kodeksom ponašanja za istraživanja koja financira izdavatelj</w:t>
      </w:r>
    </w:p>
    <w:p w14:paraId="4EA80226"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E674AAB" w14:textId="0E40CAB5"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ako istraživanje, koje je označeno kao „istraživanje koje financira izdavatelj“ i koje distribuira investicijsko društvo, nije pripremljeno u skladu s EU-ovim kodeksom ponašanja za istraživanja koja financira izdavatelj, izreći i objaviti upozorenje kako bi se javnost obavijestilo da to istraživanje nije pripremljeno u skladu s navedenim kodeksom“.</w:t>
      </w:r>
    </w:p>
    <w:p w14:paraId="7BA833F2"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EDDC318"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Dosadašnja točka 9. postaje točka 11.</w:t>
      </w:r>
    </w:p>
    <w:p w14:paraId="1C927D6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AA890F1" w14:textId="5B5AE490" w:rsidR="00D6689E" w:rsidRPr="000479E9" w:rsidRDefault="00D6689E"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2</w:t>
      </w:r>
      <w:r w:rsidR="009B4587" w:rsidRPr="000479E9">
        <w:rPr>
          <w:rFonts w:ascii="Times New Roman" w:eastAsia="Times New Roman" w:hAnsi="Times New Roman" w:cs="Times New Roman"/>
          <w:b/>
          <w:bCs/>
          <w:sz w:val="24"/>
          <w:szCs w:val="24"/>
          <w:lang w:eastAsia="hr-HR"/>
        </w:rPr>
        <w:t>4</w:t>
      </w:r>
      <w:r w:rsidRPr="000479E9">
        <w:rPr>
          <w:rFonts w:ascii="Times New Roman" w:eastAsia="Times New Roman" w:hAnsi="Times New Roman" w:cs="Times New Roman"/>
          <w:b/>
          <w:bCs/>
          <w:sz w:val="24"/>
          <w:szCs w:val="24"/>
          <w:lang w:eastAsia="hr-HR"/>
        </w:rPr>
        <w:t>.</w:t>
      </w:r>
    </w:p>
    <w:p w14:paraId="0C4C9EC8" w14:textId="6C836FA8" w:rsidR="00D6689E" w:rsidRPr="000479E9" w:rsidRDefault="00D6689E" w:rsidP="00D6689E">
      <w:pPr>
        <w:spacing w:after="0" w:line="240" w:lineRule="auto"/>
        <w:jc w:val="both"/>
        <w:rPr>
          <w:rFonts w:ascii="Times New Roman" w:eastAsia="Times New Roman" w:hAnsi="Times New Roman" w:cs="Times New Roman"/>
          <w:sz w:val="24"/>
          <w:szCs w:val="24"/>
          <w:lang w:eastAsia="hr-HR"/>
        </w:rPr>
      </w:pPr>
    </w:p>
    <w:p w14:paraId="095F6351" w14:textId="5CF7D439" w:rsidR="00D6689E" w:rsidRPr="000479E9" w:rsidRDefault="00D6689E" w:rsidP="00D6689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205. stavku 2. </w:t>
      </w:r>
      <w:r w:rsidR="00253419" w:rsidRPr="000479E9">
        <w:rPr>
          <w:rFonts w:ascii="Times New Roman" w:eastAsia="Times New Roman" w:hAnsi="Times New Roman" w:cs="Times New Roman"/>
          <w:sz w:val="24"/>
          <w:szCs w:val="24"/>
          <w:lang w:eastAsia="hr-HR"/>
        </w:rPr>
        <w:t>u uvodnoj rečenici iza riječi: „U smislu“</w:t>
      </w:r>
      <w:r w:rsidRPr="000479E9">
        <w:rPr>
          <w:rFonts w:ascii="Times New Roman" w:eastAsia="Times New Roman" w:hAnsi="Times New Roman" w:cs="Times New Roman"/>
          <w:sz w:val="24"/>
          <w:szCs w:val="24"/>
          <w:lang w:eastAsia="hr-HR"/>
        </w:rPr>
        <w:t xml:space="preserve"> </w:t>
      </w:r>
      <w:r w:rsidR="00253419" w:rsidRPr="000479E9">
        <w:rPr>
          <w:rFonts w:ascii="Times New Roman" w:eastAsia="Times New Roman" w:hAnsi="Times New Roman" w:cs="Times New Roman"/>
          <w:sz w:val="24"/>
          <w:szCs w:val="24"/>
          <w:lang w:eastAsia="hr-HR"/>
        </w:rPr>
        <w:t xml:space="preserve">dodaju se riječi: </w:t>
      </w:r>
      <w:r w:rsidR="00706A5D" w:rsidRPr="000479E9">
        <w:rPr>
          <w:rFonts w:ascii="Times New Roman" w:eastAsia="Times New Roman" w:hAnsi="Times New Roman" w:cs="Times New Roman"/>
          <w:sz w:val="24"/>
          <w:szCs w:val="24"/>
          <w:lang w:eastAsia="hr-HR"/>
        </w:rPr>
        <w:t>„</w:t>
      </w:r>
      <w:r w:rsidR="00253419" w:rsidRPr="000479E9">
        <w:rPr>
          <w:rFonts w:ascii="Times New Roman" w:eastAsia="Times New Roman" w:hAnsi="Times New Roman" w:cs="Times New Roman"/>
          <w:sz w:val="24"/>
          <w:szCs w:val="24"/>
          <w:lang w:eastAsia="hr-HR"/>
        </w:rPr>
        <w:t>članka 167.,“</w:t>
      </w:r>
      <w:r w:rsidR="00AB3A7F" w:rsidRPr="000479E9">
        <w:rPr>
          <w:rFonts w:ascii="Times New Roman" w:eastAsia="Times New Roman" w:hAnsi="Times New Roman" w:cs="Times New Roman"/>
          <w:sz w:val="24"/>
          <w:szCs w:val="24"/>
          <w:lang w:eastAsia="hr-HR"/>
        </w:rPr>
        <w:t>.</w:t>
      </w:r>
    </w:p>
    <w:p w14:paraId="0C85C3FE" w14:textId="346D6EA4" w:rsidR="00D6689E" w:rsidRPr="000479E9" w:rsidRDefault="00D6689E" w:rsidP="00D6689E">
      <w:pPr>
        <w:spacing w:after="0" w:line="240" w:lineRule="auto"/>
        <w:jc w:val="both"/>
        <w:rPr>
          <w:rFonts w:ascii="Times New Roman" w:eastAsia="Times New Roman" w:hAnsi="Times New Roman" w:cs="Times New Roman"/>
          <w:sz w:val="24"/>
          <w:szCs w:val="24"/>
          <w:lang w:eastAsia="hr-HR"/>
        </w:rPr>
      </w:pPr>
    </w:p>
    <w:p w14:paraId="653A4CA3" w14:textId="46FC7218" w:rsidR="00D6689E" w:rsidRPr="000479E9" w:rsidRDefault="00A775B1" w:rsidP="00D6689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w:t>
      </w:r>
      <w:r w:rsidR="00451C79" w:rsidRPr="000479E9">
        <w:rPr>
          <w:rFonts w:ascii="Times New Roman" w:eastAsia="Times New Roman" w:hAnsi="Times New Roman" w:cs="Times New Roman"/>
          <w:sz w:val="24"/>
          <w:szCs w:val="24"/>
          <w:lang w:eastAsia="hr-HR"/>
        </w:rPr>
        <w:t xml:space="preserve"> točk</w:t>
      </w:r>
      <w:r w:rsidRPr="000479E9">
        <w:rPr>
          <w:rFonts w:ascii="Times New Roman" w:eastAsia="Times New Roman" w:hAnsi="Times New Roman" w:cs="Times New Roman"/>
          <w:sz w:val="24"/>
          <w:szCs w:val="24"/>
          <w:lang w:eastAsia="hr-HR"/>
        </w:rPr>
        <w:t>i</w:t>
      </w:r>
      <w:r w:rsidR="00451C79" w:rsidRPr="000479E9">
        <w:rPr>
          <w:rFonts w:ascii="Times New Roman" w:eastAsia="Times New Roman" w:hAnsi="Times New Roman" w:cs="Times New Roman"/>
          <w:sz w:val="24"/>
          <w:szCs w:val="24"/>
          <w:lang w:eastAsia="hr-HR"/>
        </w:rPr>
        <w:t xml:space="preserve"> 13. </w:t>
      </w:r>
      <w:r w:rsidRPr="000479E9">
        <w:rPr>
          <w:rFonts w:ascii="Times New Roman" w:eastAsia="Times New Roman" w:hAnsi="Times New Roman" w:cs="Times New Roman"/>
          <w:sz w:val="24"/>
          <w:szCs w:val="24"/>
          <w:lang w:eastAsia="hr-HR"/>
        </w:rPr>
        <w:t xml:space="preserve">na kraju rečenice </w:t>
      </w:r>
      <w:r w:rsidR="00451C79" w:rsidRPr="000479E9">
        <w:rPr>
          <w:rFonts w:ascii="Times New Roman" w:eastAsia="Times New Roman" w:hAnsi="Times New Roman" w:cs="Times New Roman"/>
          <w:sz w:val="24"/>
          <w:szCs w:val="24"/>
          <w:lang w:eastAsia="hr-HR"/>
        </w:rPr>
        <w:t>briše se točka i d</w:t>
      </w:r>
      <w:r w:rsidR="00D6689E" w:rsidRPr="000479E9">
        <w:rPr>
          <w:rFonts w:ascii="Times New Roman" w:eastAsia="Times New Roman" w:hAnsi="Times New Roman" w:cs="Times New Roman"/>
          <w:sz w:val="24"/>
          <w:szCs w:val="24"/>
          <w:lang w:eastAsia="hr-HR"/>
        </w:rPr>
        <w:t>odaje se točka 14. koja glasi:</w:t>
      </w:r>
    </w:p>
    <w:p w14:paraId="638ED565" w14:textId="2C8D7ED1" w:rsidR="00D6689E" w:rsidRPr="000479E9" w:rsidRDefault="00D6689E" w:rsidP="00D6689E">
      <w:pPr>
        <w:spacing w:after="0" w:line="240" w:lineRule="auto"/>
        <w:jc w:val="both"/>
        <w:rPr>
          <w:rFonts w:ascii="Times New Roman" w:eastAsia="Times New Roman" w:hAnsi="Times New Roman" w:cs="Times New Roman"/>
          <w:sz w:val="24"/>
          <w:szCs w:val="24"/>
          <w:lang w:eastAsia="hr-HR"/>
        </w:rPr>
      </w:pPr>
    </w:p>
    <w:p w14:paraId="4B46DD4F" w14:textId="4F1DBAEB" w:rsidR="00D6689E" w:rsidRPr="000479E9" w:rsidRDefault="00D6689E" w:rsidP="00D6689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naložiti investicijskom društvu da smanji izloženost prema središnjoj drugoj ugovornoj strani ili da uskladi izloženosti na svim svojim računima za poravnanje u skladu s člankom 7.a Uredbe (EU) br. 648/2012 ako nadležno tijelo smatra da postoji prekomjeran koncentracijski rizik koji proizlazi iz izloženosti prema toj središnjoj drugoj ugovornoj strani.“.</w:t>
      </w:r>
    </w:p>
    <w:p w14:paraId="7DBA49C9" w14:textId="77777777" w:rsidR="00D6689E" w:rsidRPr="000479E9" w:rsidRDefault="00D6689E" w:rsidP="00D6689E">
      <w:pPr>
        <w:spacing w:after="0" w:line="240" w:lineRule="auto"/>
        <w:jc w:val="both"/>
        <w:rPr>
          <w:rFonts w:ascii="Times New Roman" w:eastAsia="Times New Roman" w:hAnsi="Times New Roman" w:cs="Times New Roman"/>
          <w:sz w:val="24"/>
          <w:szCs w:val="24"/>
          <w:lang w:eastAsia="hr-HR"/>
        </w:rPr>
      </w:pPr>
    </w:p>
    <w:p w14:paraId="5A47C1C6" w14:textId="3325035C" w:rsidR="009B4587" w:rsidRPr="000479E9" w:rsidRDefault="009B4587" w:rsidP="009B4587">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25.</w:t>
      </w:r>
    </w:p>
    <w:p w14:paraId="2DFEB2FF" w14:textId="7E938ED5" w:rsidR="009B4587" w:rsidRPr="000479E9" w:rsidRDefault="009B4587" w:rsidP="000479E9">
      <w:pPr>
        <w:spacing w:after="0" w:line="240" w:lineRule="auto"/>
        <w:rPr>
          <w:rFonts w:ascii="Times New Roman" w:eastAsia="Times New Roman" w:hAnsi="Times New Roman" w:cs="Times New Roman"/>
          <w:b/>
          <w:bCs/>
          <w:sz w:val="24"/>
          <w:szCs w:val="24"/>
          <w:lang w:eastAsia="hr-HR"/>
        </w:rPr>
      </w:pPr>
    </w:p>
    <w:p w14:paraId="7DDB7178" w14:textId="0949FBE7" w:rsidR="009B4587" w:rsidRPr="000479E9" w:rsidRDefault="000B1043" w:rsidP="000479E9">
      <w:pPr>
        <w:spacing w:after="0" w:line="240" w:lineRule="auto"/>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članku 272. stavku 1. broj</w:t>
      </w:r>
      <w:r w:rsidR="00570132" w:rsidRPr="000479E9">
        <w:rPr>
          <w:rFonts w:ascii="Times New Roman" w:eastAsia="Times New Roman" w:hAnsi="Times New Roman" w:cs="Times New Roman"/>
          <w:bCs/>
          <w:sz w:val="24"/>
          <w:szCs w:val="24"/>
          <w:lang w:eastAsia="hr-HR"/>
        </w:rPr>
        <w:t>:</w:t>
      </w:r>
      <w:r w:rsidRPr="000479E9">
        <w:rPr>
          <w:rFonts w:ascii="Times New Roman" w:eastAsia="Times New Roman" w:hAnsi="Times New Roman" w:cs="Times New Roman"/>
          <w:bCs/>
          <w:sz w:val="24"/>
          <w:szCs w:val="24"/>
          <w:lang w:eastAsia="hr-HR"/>
        </w:rPr>
        <w:t xml:space="preserve"> „5.“ zamjenjuje se brojem</w:t>
      </w:r>
      <w:r w:rsidR="00570132" w:rsidRPr="000479E9">
        <w:rPr>
          <w:rFonts w:ascii="Times New Roman" w:eastAsia="Times New Roman" w:hAnsi="Times New Roman" w:cs="Times New Roman"/>
          <w:bCs/>
          <w:sz w:val="24"/>
          <w:szCs w:val="24"/>
          <w:lang w:eastAsia="hr-HR"/>
        </w:rPr>
        <w:t>:</w:t>
      </w:r>
      <w:r w:rsidRPr="000479E9">
        <w:rPr>
          <w:rFonts w:ascii="Times New Roman" w:eastAsia="Times New Roman" w:hAnsi="Times New Roman" w:cs="Times New Roman"/>
          <w:bCs/>
          <w:sz w:val="24"/>
          <w:szCs w:val="24"/>
          <w:lang w:eastAsia="hr-HR"/>
        </w:rPr>
        <w:t xml:space="preserve"> „13.“.</w:t>
      </w:r>
    </w:p>
    <w:p w14:paraId="605F0B9E" w14:textId="77777777" w:rsidR="009B4587" w:rsidRPr="000479E9" w:rsidRDefault="009B4587" w:rsidP="00617A00">
      <w:pPr>
        <w:spacing w:after="0" w:line="240" w:lineRule="auto"/>
        <w:jc w:val="center"/>
        <w:rPr>
          <w:rFonts w:ascii="Times New Roman" w:eastAsia="Times New Roman" w:hAnsi="Times New Roman" w:cs="Times New Roman"/>
          <w:b/>
          <w:bCs/>
          <w:sz w:val="24"/>
          <w:szCs w:val="24"/>
          <w:lang w:eastAsia="hr-HR"/>
        </w:rPr>
      </w:pPr>
    </w:p>
    <w:p w14:paraId="24DBDC8D" w14:textId="48FF4C91" w:rsidR="002803FE" w:rsidRPr="000479E9" w:rsidRDefault="002803FE"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2</w:t>
      </w:r>
      <w:r w:rsidR="00892908" w:rsidRPr="000479E9">
        <w:rPr>
          <w:rFonts w:ascii="Times New Roman" w:eastAsia="Times New Roman" w:hAnsi="Times New Roman" w:cs="Times New Roman"/>
          <w:b/>
          <w:bCs/>
          <w:sz w:val="24"/>
          <w:szCs w:val="24"/>
          <w:lang w:eastAsia="hr-HR"/>
        </w:rPr>
        <w:t>6</w:t>
      </w:r>
      <w:r w:rsidRPr="000479E9">
        <w:rPr>
          <w:rFonts w:ascii="Times New Roman" w:eastAsia="Times New Roman" w:hAnsi="Times New Roman" w:cs="Times New Roman"/>
          <w:b/>
          <w:bCs/>
          <w:sz w:val="24"/>
          <w:szCs w:val="24"/>
          <w:lang w:eastAsia="hr-HR"/>
        </w:rPr>
        <w:t xml:space="preserve">. </w:t>
      </w:r>
    </w:p>
    <w:p w14:paraId="67E71CE8" w14:textId="284CEF5D" w:rsidR="002803FE" w:rsidRPr="000479E9" w:rsidRDefault="002803FE" w:rsidP="00617A00">
      <w:pPr>
        <w:spacing w:after="0" w:line="240" w:lineRule="auto"/>
        <w:jc w:val="center"/>
        <w:rPr>
          <w:rFonts w:ascii="Times New Roman" w:eastAsia="Times New Roman" w:hAnsi="Times New Roman" w:cs="Times New Roman"/>
          <w:b/>
          <w:bCs/>
          <w:sz w:val="24"/>
          <w:szCs w:val="24"/>
          <w:lang w:eastAsia="hr-HR"/>
        </w:rPr>
      </w:pPr>
    </w:p>
    <w:p w14:paraId="1DCD2938" w14:textId="1F7B5D5B" w:rsidR="00DF268A" w:rsidRPr="000479E9" w:rsidRDefault="00DF268A" w:rsidP="00AD744C">
      <w:pPr>
        <w:spacing w:after="0" w:line="240" w:lineRule="auto"/>
        <w:jc w:val="both"/>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sz w:val="24"/>
          <w:szCs w:val="24"/>
          <w:lang w:eastAsia="hr-HR"/>
        </w:rPr>
        <w:t>Naslov iznad članka 273. mijenja se i glas</w:t>
      </w:r>
      <w:r w:rsidR="00A67B11" w:rsidRPr="000479E9">
        <w:rPr>
          <w:rFonts w:ascii="Times New Roman" w:eastAsia="Times New Roman" w:hAnsi="Times New Roman" w:cs="Times New Roman"/>
          <w:sz w:val="24"/>
          <w:szCs w:val="24"/>
          <w:lang w:eastAsia="hr-HR"/>
        </w:rPr>
        <w:t>i</w:t>
      </w:r>
      <w:r w:rsidRPr="000479E9">
        <w:rPr>
          <w:rFonts w:ascii="Times New Roman" w:eastAsia="Times New Roman" w:hAnsi="Times New Roman" w:cs="Times New Roman"/>
          <w:sz w:val="24"/>
          <w:szCs w:val="24"/>
          <w:lang w:eastAsia="hr-HR"/>
        </w:rPr>
        <w:t>:</w:t>
      </w:r>
      <w:r w:rsidR="00A67B11" w:rsidRPr="000479E9">
        <w:rPr>
          <w:rFonts w:ascii="Times New Roman" w:eastAsia="Times New Roman" w:hAnsi="Times New Roman" w:cs="Times New Roman"/>
          <w:i/>
          <w:iCs/>
          <w:sz w:val="24"/>
          <w:szCs w:val="24"/>
          <w:lang w:eastAsia="hr-HR"/>
        </w:rPr>
        <w:t xml:space="preserve"> </w:t>
      </w:r>
      <w:r w:rsidRPr="000479E9">
        <w:rPr>
          <w:rFonts w:ascii="Times New Roman" w:eastAsia="Times New Roman" w:hAnsi="Times New Roman" w:cs="Times New Roman"/>
          <w:iCs/>
          <w:sz w:val="24"/>
          <w:szCs w:val="24"/>
          <w:lang w:eastAsia="hr-HR"/>
        </w:rPr>
        <w:t>„Financiranje Fonda i ciljana razina</w:t>
      </w:r>
      <w:r w:rsidR="005D0E57" w:rsidRPr="000479E9">
        <w:rPr>
          <w:rFonts w:ascii="Times New Roman" w:eastAsia="Times New Roman" w:hAnsi="Times New Roman" w:cs="Times New Roman"/>
          <w:iCs/>
          <w:sz w:val="24"/>
          <w:szCs w:val="24"/>
          <w:lang w:eastAsia="hr-HR"/>
        </w:rPr>
        <w:t xml:space="preserve"> sredstava</w:t>
      </w:r>
      <w:r w:rsidRPr="000479E9">
        <w:rPr>
          <w:rFonts w:ascii="Times New Roman" w:eastAsia="Times New Roman" w:hAnsi="Times New Roman" w:cs="Times New Roman"/>
          <w:iCs/>
          <w:sz w:val="24"/>
          <w:szCs w:val="24"/>
          <w:lang w:eastAsia="hr-HR"/>
        </w:rPr>
        <w:t xml:space="preserve"> Fonda“</w:t>
      </w:r>
      <w:r w:rsidR="00A67B11" w:rsidRPr="000479E9">
        <w:rPr>
          <w:rFonts w:ascii="Times New Roman" w:eastAsia="Times New Roman" w:hAnsi="Times New Roman" w:cs="Times New Roman"/>
          <w:iCs/>
          <w:sz w:val="24"/>
          <w:szCs w:val="24"/>
          <w:lang w:eastAsia="hr-HR"/>
        </w:rPr>
        <w:t>.</w:t>
      </w:r>
    </w:p>
    <w:p w14:paraId="62B3006A" w14:textId="77777777" w:rsidR="00DF268A" w:rsidRPr="000479E9" w:rsidRDefault="00DF268A" w:rsidP="00A67B11">
      <w:pPr>
        <w:spacing w:after="0" w:line="240" w:lineRule="auto"/>
        <w:jc w:val="both"/>
        <w:rPr>
          <w:rFonts w:ascii="Times New Roman" w:eastAsia="Times New Roman" w:hAnsi="Times New Roman" w:cs="Times New Roman"/>
          <w:sz w:val="24"/>
          <w:szCs w:val="24"/>
          <w:lang w:eastAsia="hr-HR"/>
        </w:rPr>
      </w:pPr>
    </w:p>
    <w:p w14:paraId="0823CFC2" w14:textId="28F9154D" w:rsidR="00DF268A" w:rsidRPr="000479E9" w:rsidRDefault="00DF268A" w:rsidP="00AD744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273.</w:t>
      </w:r>
      <w:r w:rsidR="00A67B11" w:rsidRPr="000479E9">
        <w:rPr>
          <w:rFonts w:ascii="Times New Roman" w:eastAsia="Times New Roman" w:hAnsi="Times New Roman" w:cs="Times New Roman"/>
          <w:sz w:val="24"/>
          <w:szCs w:val="24"/>
          <w:lang w:eastAsia="hr-HR"/>
        </w:rPr>
        <w:t xml:space="preserve"> mijenja se i glasi:</w:t>
      </w:r>
    </w:p>
    <w:p w14:paraId="60E5F282" w14:textId="77777777" w:rsidR="00DF268A" w:rsidRPr="000479E9" w:rsidRDefault="00DF268A" w:rsidP="00AD744C">
      <w:pPr>
        <w:spacing w:after="0" w:line="240" w:lineRule="auto"/>
        <w:jc w:val="both"/>
        <w:rPr>
          <w:rFonts w:ascii="Times New Roman" w:eastAsia="Times New Roman" w:hAnsi="Times New Roman" w:cs="Times New Roman"/>
          <w:sz w:val="24"/>
          <w:szCs w:val="24"/>
          <w:lang w:eastAsia="hr-HR"/>
        </w:rPr>
      </w:pPr>
    </w:p>
    <w:p w14:paraId="7095456F" w14:textId="052931DE" w:rsidR="00DF268A" w:rsidRPr="000479E9" w:rsidRDefault="00E42E8D" w:rsidP="00DF268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DF268A" w:rsidRPr="000479E9">
        <w:rPr>
          <w:rFonts w:ascii="Times New Roman" w:eastAsia="Times New Roman" w:hAnsi="Times New Roman" w:cs="Times New Roman"/>
          <w:sz w:val="24"/>
          <w:szCs w:val="24"/>
          <w:lang w:eastAsia="hr-HR"/>
        </w:rPr>
        <w:t xml:space="preserve">(1) Fond se financira </w:t>
      </w:r>
      <w:r w:rsidR="00892908" w:rsidRPr="000479E9">
        <w:rPr>
          <w:rFonts w:ascii="Times New Roman" w:eastAsia="Times New Roman" w:hAnsi="Times New Roman" w:cs="Times New Roman"/>
          <w:sz w:val="24"/>
          <w:szCs w:val="24"/>
          <w:lang w:eastAsia="hr-HR"/>
        </w:rPr>
        <w:t xml:space="preserve">iz </w:t>
      </w:r>
      <w:r w:rsidR="00DF268A" w:rsidRPr="000479E9">
        <w:rPr>
          <w:rFonts w:ascii="Times New Roman" w:eastAsia="Times New Roman" w:hAnsi="Times New Roman" w:cs="Times New Roman"/>
          <w:sz w:val="24"/>
          <w:szCs w:val="24"/>
          <w:lang w:eastAsia="hr-HR"/>
        </w:rPr>
        <w:t>doprinosa Članova Fonda.</w:t>
      </w:r>
    </w:p>
    <w:p w14:paraId="48253EDF" w14:textId="77777777" w:rsidR="00DF268A" w:rsidRPr="000479E9" w:rsidRDefault="00DF268A" w:rsidP="00D937B3">
      <w:pPr>
        <w:spacing w:after="0" w:line="240" w:lineRule="auto"/>
        <w:jc w:val="both"/>
        <w:rPr>
          <w:rFonts w:ascii="Times New Roman" w:eastAsia="Times New Roman" w:hAnsi="Times New Roman" w:cs="Times New Roman"/>
          <w:sz w:val="24"/>
          <w:szCs w:val="24"/>
          <w:lang w:eastAsia="hr-HR"/>
        </w:rPr>
      </w:pPr>
    </w:p>
    <w:p w14:paraId="299595DB" w14:textId="77777777" w:rsidR="00DF268A" w:rsidRPr="000479E9" w:rsidRDefault="00DF268A" w:rsidP="00F3685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Doprinos Člana Fonda sastoji se od inicijalnog, redovitog i dodatnog doprinosa koji mogu biti u novcu, prihvatljivim financijskim instrumentima ili drugim instrumentima osiguranja plaćanja. Sredstva uplaćena na ime doprinosa nisu povratna.</w:t>
      </w:r>
    </w:p>
    <w:p w14:paraId="40B00C81" w14:textId="77777777" w:rsidR="00DF268A" w:rsidRPr="000479E9" w:rsidRDefault="00DF268A" w:rsidP="00F36857">
      <w:pPr>
        <w:spacing w:after="0" w:line="240" w:lineRule="auto"/>
        <w:jc w:val="both"/>
        <w:rPr>
          <w:rFonts w:ascii="Times New Roman" w:eastAsia="Times New Roman" w:hAnsi="Times New Roman" w:cs="Times New Roman"/>
          <w:sz w:val="24"/>
          <w:szCs w:val="24"/>
          <w:lang w:eastAsia="hr-HR"/>
        </w:rPr>
      </w:pPr>
    </w:p>
    <w:p w14:paraId="6AA2C700" w14:textId="186AC74D" w:rsidR="00DF268A" w:rsidRPr="000479E9" w:rsidRDefault="00DF268A" w:rsidP="00F3685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3</w:t>
      </w:r>
      <w:r w:rsidRPr="000479E9">
        <w:rPr>
          <w:rFonts w:ascii="Times New Roman" w:eastAsia="Times New Roman" w:hAnsi="Times New Roman" w:cs="Times New Roman"/>
          <w:sz w:val="24"/>
          <w:szCs w:val="24"/>
          <w:lang w:eastAsia="hr-HR"/>
        </w:rPr>
        <w:t xml:space="preserve">) Član Fonda sa sjedištem u Republici Hrvatskoj dužan je u roku od osam dana od dana zaprimanja rješenja o upisu osnivanja u sudski registar, uplatiti u Fond inicijalni doprinos u iznosu propisanom pravilnikom iz stavka </w:t>
      </w:r>
      <w:r w:rsidR="00422784" w:rsidRPr="000479E9">
        <w:rPr>
          <w:rFonts w:ascii="Times New Roman" w:eastAsia="Times New Roman" w:hAnsi="Times New Roman" w:cs="Times New Roman"/>
          <w:sz w:val="24"/>
          <w:szCs w:val="24"/>
          <w:lang w:eastAsia="hr-HR"/>
        </w:rPr>
        <w:t>1</w:t>
      </w:r>
      <w:r w:rsidR="00892908" w:rsidRPr="000479E9">
        <w:rPr>
          <w:rFonts w:ascii="Times New Roman" w:eastAsia="Times New Roman" w:hAnsi="Times New Roman" w:cs="Times New Roman"/>
          <w:sz w:val="24"/>
          <w:szCs w:val="24"/>
          <w:lang w:eastAsia="hr-HR"/>
        </w:rPr>
        <w:t>3</w:t>
      </w:r>
      <w:r w:rsidRPr="000479E9">
        <w:rPr>
          <w:rFonts w:ascii="Times New Roman" w:eastAsia="Times New Roman" w:hAnsi="Times New Roman" w:cs="Times New Roman"/>
          <w:sz w:val="24"/>
          <w:szCs w:val="24"/>
          <w:lang w:eastAsia="hr-HR"/>
        </w:rPr>
        <w:t>. ovoga članka.</w:t>
      </w:r>
    </w:p>
    <w:p w14:paraId="61E81BD2" w14:textId="77777777" w:rsidR="00715D52" w:rsidRPr="000479E9" w:rsidRDefault="00715D52" w:rsidP="00F36857">
      <w:pPr>
        <w:spacing w:after="0" w:line="240" w:lineRule="auto"/>
        <w:jc w:val="both"/>
        <w:rPr>
          <w:rFonts w:ascii="Times New Roman" w:eastAsia="Times New Roman" w:hAnsi="Times New Roman" w:cs="Times New Roman"/>
          <w:sz w:val="24"/>
          <w:szCs w:val="24"/>
          <w:lang w:eastAsia="hr-HR"/>
        </w:rPr>
      </w:pPr>
    </w:p>
    <w:p w14:paraId="01B9400B" w14:textId="060BF1D5" w:rsidR="00DF268A" w:rsidRPr="000479E9" w:rsidRDefault="00DF268A" w:rsidP="00F3685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4</w:t>
      </w:r>
      <w:r w:rsidRPr="000479E9">
        <w:rPr>
          <w:rFonts w:ascii="Times New Roman" w:eastAsia="Times New Roman" w:hAnsi="Times New Roman" w:cs="Times New Roman"/>
          <w:sz w:val="24"/>
          <w:szCs w:val="24"/>
          <w:lang w:eastAsia="hr-HR"/>
        </w:rPr>
        <w:t xml:space="preserve">) U slučaju da postojeće društvo ulazi u Fond, dužno je na temelju rješenja Agencije u roku od osam dana od dana zaprimanja poziva, uplatiti </w:t>
      </w:r>
      <w:r w:rsidR="00892908" w:rsidRPr="000479E9">
        <w:rPr>
          <w:rFonts w:ascii="Times New Roman" w:eastAsia="Times New Roman" w:hAnsi="Times New Roman" w:cs="Times New Roman"/>
          <w:sz w:val="24"/>
          <w:szCs w:val="24"/>
          <w:lang w:eastAsia="hr-HR"/>
        </w:rPr>
        <w:t>u Fond inicijalni doprinos u iznosu propisanom pravilnikom iz stavka 13. ovoga članka</w:t>
      </w:r>
      <w:r w:rsidRPr="000479E9">
        <w:rPr>
          <w:rFonts w:ascii="Times New Roman" w:eastAsia="Times New Roman" w:hAnsi="Times New Roman" w:cs="Times New Roman"/>
          <w:sz w:val="24"/>
          <w:szCs w:val="24"/>
          <w:lang w:eastAsia="hr-HR"/>
        </w:rPr>
        <w:t>.</w:t>
      </w:r>
    </w:p>
    <w:p w14:paraId="723AFEA6" w14:textId="77777777" w:rsidR="00DF268A" w:rsidRPr="000479E9" w:rsidRDefault="00DF268A" w:rsidP="004429EE">
      <w:pPr>
        <w:spacing w:after="0" w:line="240" w:lineRule="auto"/>
        <w:jc w:val="both"/>
        <w:rPr>
          <w:rFonts w:ascii="Times New Roman" w:eastAsia="Times New Roman" w:hAnsi="Times New Roman" w:cs="Times New Roman"/>
          <w:sz w:val="24"/>
          <w:szCs w:val="24"/>
          <w:lang w:eastAsia="hr-HR"/>
        </w:rPr>
      </w:pPr>
    </w:p>
    <w:p w14:paraId="3ADA8ED5" w14:textId="79078385" w:rsidR="00DF268A" w:rsidRPr="000479E9" w:rsidRDefault="00DF268A" w:rsidP="004429E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xml:space="preserve">) </w:t>
      </w:r>
      <w:r w:rsidR="00892908" w:rsidRPr="000479E9">
        <w:rPr>
          <w:rFonts w:ascii="Times New Roman" w:eastAsia="Times New Roman" w:hAnsi="Times New Roman" w:cs="Times New Roman"/>
          <w:sz w:val="24"/>
          <w:szCs w:val="24"/>
          <w:lang w:eastAsia="hr-HR"/>
        </w:rPr>
        <w:t>Način obračuna, raspodjele i visina doprinosa članova Fonda utvrđuju se pravilnikom iz stavka 13. ovoga članka, pri čemu se osobito mogu uzimati u obzir jedan ili više sljedećih kriterija: vrijednost zaštićenih tražbina, relevantni prihodi članova Fonda, broj klijenata, profil rizika članova Fonda, opseg i vrsta investicijskih usluga i aktivnosti koje članovi Fonda pružaju te drugi kriteriji relevantni za ostvarenje svrhe Fonda.</w:t>
      </w:r>
    </w:p>
    <w:p w14:paraId="54A9F59D" w14:textId="77777777" w:rsidR="00DF268A" w:rsidRPr="000479E9" w:rsidRDefault="00DF268A" w:rsidP="00CE4D90">
      <w:pPr>
        <w:spacing w:after="0" w:line="240" w:lineRule="auto"/>
        <w:jc w:val="both"/>
        <w:rPr>
          <w:rFonts w:ascii="Times New Roman" w:eastAsia="Times New Roman" w:hAnsi="Times New Roman" w:cs="Times New Roman"/>
          <w:sz w:val="24"/>
          <w:szCs w:val="24"/>
          <w:lang w:eastAsia="hr-HR"/>
        </w:rPr>
      </w:pPr>
    </w:p>
    <w:p w14:paraId="7EE7EF15" w14:textId="304D87EB" w:rsidR="00892908" w:rsidRPr="000479E9" w:rsidRDefault="00DF268A" w:rsidP="00055F9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xml:space="preserve">) Redoviti doprinos uplaćuje se do dosezanja ciljane razine sredstava Fonda iz stavka </w:t>
      </w:r>
      <w:r w:rsidR="009356BC" w:rsidRPr="000479E9">
        <w:rPr>
          <w:rFonts w:ascii="Times New Roman" w:eastAsia="Times New Roman" w:hAnsi="Times New Roman" w:cs="Times New Roman"/>
          <w:sz w:val="24"/>
          <w:szCs w:val="24"/>
          <w:lang w:eastAsia="hr-HR"/>
        </w:rPr>
        <w:t>9</w:t>
      </w:r>
      <w:r w:rsidR="00763BF0" w:rsidRPr="000479E9">
        <w:rPr>
          <w:rFonts w:ascii="Times New Roman" w:eastAsia="Times New Roman" w:hAnsi="Times New Roman" w:cs="Times New Roman"/>
          <w:sz w:val="24"/>
          <w:szCs w:val="24"/>
          <w:lang w:eastAsia="hr-HR"/>
        </w:rPr>
        <w:t>.</w:t>
      </w:r>
      <w:r w:rsidR="4238C5E3" w:rsidRPr="000479E9">
        <w:rPr>
          <w:rFonts w:ascii="Times New Roman" w:eastAsia="Times New Roman" w:hAnsi="Times New Roman" w:cs="Times New Roman"/>
          <w:sz w:val="24"/>
          <w:szCs w:val="24"/>
          <w:lang w:eastAsia="hr-HR"/>
        </w:rPr>
        <w:t xml:space="preserve"> </w:t>
      </w:r>
      <w:r w:rsidR="007A5450" w:rsidRPr="000479E9">
        <w:rPr>
          <w:rFonts w:ascii="Times New Roman" w:eastAsia="Times New Roman" w:hAnsi="Times New Roman" w:cs="Times New Roman"/>
          <w:sz w:val="24"/>
          <w:szCs w:val="24"/>
          <w:lang w:eastAsia="hr-HR"/>
        </w:rPr>
        <w:t xml:space="preserve">ovoga </w:t>
      </w:r>
      <w:r w:rsidR="00892908" w:rsidRPr="000479E9">
        <w:rPr>
          <w:rFonts w:ascii="Times New Roman" w:eastAsia="Times New Roman" w:hAnsi="Times New Roman" w:cs="Times New Roman"/>
          <w:sz w:val="24"/>
          <w:szCs w:val="24"/>
          <w:lang w:eastAsia="hr-HR"/>
        </w:rPr>
        <w:t>članka, na način propisan pravilnikom iz stavka 13. ovoga članka.</w:t>
      </w:r>
    </w:p>
    <w:p w14:paraId="1DAF6C43" w14:textId="77777777" w:rsidR="00DF268A" w:rsidRPr="000479E9" w:rsidRDefault="00DF268A" w:rsidP="00055F9F">
      <w:pPr>
        <w:spacing w:after="0" w:line="240" w:lineRule="auto"/>
        <w:jc w:val="both"/>
        <w:rPr>
          <w:rFonts w:ascii="Times New Roman" w:eastAsia="Times New Roman" w:hAnsi="Times New Roman" w:cs="Times New Roman"/>
          <w:sz w:val="24"/>
          <w:szCs w:val="24"/>
          <w:lang w:eastAsia="hr-HR"/>
        </w:rPr>
      </w:pPr>
    </w:p>
    <w:p w14:paraId="21FDBC69" w14:textId="3454ECA2" w:rsidR="00DF268A" w:rsidRPr="000479E9" w:rsidRDefault="00DF268A" w:rsidP="00055F9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xml:space="preserve">) Nakon dosezanja ciljane razine sredstava Fonda, </w:t>
      </w:r>
      <w:r w:rsidR="005D0E57" w:rsidRPr="000479E9">
        <w:rPr>
          <w:rFonts w:ascii="Times New Roman" w:eastAsia="Times New Roman" w:hAnsi="Times New Roman" w:cs="Times New Roman"/>
          <w:sz w:val="24"/>
          <w:szCs w:val="24"/>
          <w:lang w:eastAsia="hr-HR"/>
        </w:rPr>
        <w:t xml:space="preserve">prestaje </w:t>
      </w:r>
      <w:r w:rsidRPr="000479E9">
        <w:rPr>
          <w:rFonts w:ascii="Times New Roman" w:eastAsia="Times New Roman" w:hAnsi="Times New Roman" w:cs="Times New Roman"/>
          <w:sz w:val="24"/>
          <w:szCs w:val="24"/>
          <w:lang w:eastAsia="hr-HR"/>
        </w:rPr>
        <w:t>obveza plaćanja redovitih doprinosa.</w:t>
      </w:r>
    </w:p>
    <w:p w14:paraId="08FE4EF8" w14:textId="3906C6E3" w:rsidR="00DF268A" w:rsidRPr="000479E9" w:rsidRDefault="00DF268A" w:rsidP="00873E95">
      <w:pPr>
        <w:spacing w:after="0" w:line="240" w:lineRule="auto"/>
        <w:jc w:val="both"/>
        <w:rPr>
          <w:rFonts w:ascii="Times New Roman" w:eastAsia="Times New Roman" w:hAnsi="Times New Roman" w:cs="Times New Roman"/>
          <w:sz w:val="24"/>
          <w:szCs w:val="24"/>
          <w:lang w:eastAsia="hr-HR"/>
        </w:rPr>
      </w:pPr>
    </w:p>
    <w:p w14:paraId="756A8F42" w14:textId="702B22A9" w:rsidR="00DF268A" w:rsidRPr="000479E9" w:rsidRDefault="00DF268A" w:rsidP="00873E95">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8</w:t>
      </w:r>
      <w:r w:rsidRPr="000479E9">
        <w:rPr>
          <w:rFonts w:ascii="Times New Roman" w:eastAsia="Times New Roman" w:hAnsi="Times New Roman" w:cs="Times New Roman"/>
          <w:sz w:val="24"/>
          <w:szCs w:val="24"/>
          <w:lang w:eastAsia="hr-HR"/>
        </w:rPr>
        <w:t>) Obveza uplate dodatnog doprinosa aktivira se isključivo u sljedećim slučajevima:</w:t>
      </w:r>
    </w:p>
    <w:p w14:paraId="1406CB58" w14:textId="41DDA80D" w:rsidR="00DF268A" w:rsidRPr="000479E9" w:rsidRDefault="00DF268A" w:rsidP="00873E95">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ako nastupi osigurani slučaj, a sredstva Fonda nisu dostatna za isplatu osiguranih tražbina ulagateljima ili</w:t>
      </w:r>
    </w:p>
    <w:p w14:paraId="7A824959" w14:textId="4CAB7AA0" w:rsidR="00DF268A" w:rsidRPr="000479E9" w:rsidRDefault="00DF268A" w:rsidP="00873E95">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 ako bez nastupa osiguranog slučaja ukupna sredstva Fonda padnu ispod minimalne razine iz stavka </w:t>
      </w:r>
      <w:r w:rsidR="009356BC" w:rsidRPr="000479E9">
        <w:rPr>
          <w:rFonts w:ascii="Times New Roman" w:eastAsia="Times New Roman" w:hAnsi="Times New Roman" w:cs="Times New Roman"/>
          <w:sz w:val="24"/>
          <w:szCs w:val="24"/>
          <w:lang w:eastAsia="hr-HR"/>
        </w:rPr>
        <w:t>10</w:t>
      </w:r>
      <w:r w:rsidRPr="000479E9">
        <w:rPr>
          <w:rFonts w:ascii="Times New Roman" w:eastAsia="Times New Roman" w:hAnsi="Times New Roman" w:cs="Times New Roman"/>
          <w:sz w:val="24"/>
          <w:szCs w:val="24"/>
          <w:lang w:eastAsia="hr-HR"/>
        </w:rPr>
        <w:t>. ovoga članka.</w:t>
      </w:r>
    </w:p>
    <w:p w14:paraId="4D1C38F8" w14:textId="77777777" w:rsidR="00DF268A" w:rsidRPr="000479E9" w:rsidRDefault="00DF268A" w:rsidP="00842590">
      <w:pPr>
        <w:spacing w:after="0" w:line="240" w:lineRule="auto"/>
        <w:jc w:val="both"/>
        <w:rPr>
          <w:rFonts w:ascii="Times New Roman" w:eastAsia="Times New Roman" w:hAnsi="Times New Roman" w:cs="Times New Roman"/>
          <w:sz w:val="24"/>
          <w:szCs w:val="24"/>
          <w:lang w:eastAsia="hr-HR"/>
        </w:rPr>
      </w:pPr>
    </w:p>
    <w:p w14:paraId="258D1300" w14:textId="77777777" w:rsidR="00892908" w:rsidRPr="000479E9" w:rsidRDefault="00DF268A" w:rsidP="004F3FE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9</w:t>
      </w:r>
      <w:r w:rsidRPr="000479E9">
        <w:rPr>
          <w:rFonts w:ascii="Times New Roman" w:eastAsia="Times New Roman" w:hAnsi="Times New Roman" w:cs="Times New Roman"/>
          <w:sz w:val="24"/>
          <w:szCs w:val="24"/>
          <w:lang w:eastAsia="hr-HR"/>
        </w:rPr>
        <w:t xml:space="preserve">) Ciljana razina sredstava Fonda </w:t>
      </w:r>
      <w:r w:rsidR="00892908" w:rsidRPr="000479E9">
        <w:rPr>
          <w:rFonts w:ascii="Times New Roman" w:eastAsia="Times New Roman" w:hAnsi="Times New Roman" w:cs="Times New Roman"/>
          <w:sz w:val="24"/>
          <w:szCs w:val="24"/>
          <w:lang w:eastAsia="hr-HR"/>
        </w:rPr>
        <w:t>utvrđuje se pravilnikom iz stavka 13. ovoga članka kao jedna ili više ciljanih razina sredstava Fonda, uzimajući u obzir osobito ukupnu vrijednost zaštićenih tražbina, strukturu tržišta i druge okolnosti relevantne za zaštitu ulagatelja.</w:t>
      </w:r>
    </w:p>
    <w:p w14:paraId="2C6D26D6" w14:textId="77777777" w:rsidR="00DF268A" w:rsidRPr="000479E9" w:rsidRDefault="00DF268A" w:rsidP="004F3FEC">
      <w:pPr>
        <w:spacing w:after="0" w:line="240" w:lineRule="auto"/>
        <w:jc w:val="both"/>
        <w:rPr>
          <w:rFonts w:ascii="Times New Roman" w:eastAsia="Times New Roman" w:hAnsi="Times New Roman" w:cs="Times New Roman"/>
          <w:sz w:val="24"/>
          <w:szCs w:val="24"/>
          <w:lang w:eastAsia="hr-HR"/>
        </w:rPr>
      </w:pPr>
    </w:p>
    <w:p w14:paraId="4FF7CFDC" w14:textId="0C5AC5C1" w:rsidR="00DF268A" w:rsidRPr="000479E9" w:rsidRDefault="00DF268A" w:rsidP="004F3FE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356BC" w:rsidRPr="000479E9">
        <w:rPr>
          <w:rFonts w:ascii="Times New Roman" w:eastAsia="Times New Roman" w:hAnsi="Times New Roman" w:cs="Times New Roman"/>
          <w:sz w:val="24"/>
          <w:szCs w:val="24"/>
          <w:lang w:eastAsia="hr-HR"/>
        </w:rPr>
        <w:t>10</w:t>
      </w:r>
      <w:r w:rsidRPr="000479E9">
        <w:rPr>
          <w:rFonts w:ascii="Times New Roman" w:eastAsia="Times New Roman" w:hAnsi="Times New Roman" w:cs="Times New Roman"/>
          <w:sz w:val="24"/>
          <w:szCs w:val="24"/>
          <w:lang w:eastAsia="hr-HR"/>
        </w:rPr>
        <w:t xml:space="preserve">) </w:t>
      </w:r>
      <w:r w:rsidR="00892908" w:rsidRPr="000479E9">
        <w:rPr>
          <w:rFonts w:ascii="Times New Roman" w:eastAsia="Times New Roman" w:hAnsi="Times New Roman" w:cs="Times New Roman"/>
          <w:sz w:val="24"/>
          <w:szCs w:val="24"/>
          <w:lang w:eastAsia="hr-HR"/>
        </w:rPr>
        <w:t>Minimalna razina sredstava Fonda utvrđuje se pravilnikom iz stavka 13. ovoga članka kao jedna ili više minimalnih razina sredstava Fonda koje uvjetuju uplatu dodatnih doprinosa i koje su povezane s odgovarajućim ciljanim razinama iz stavka 9. ovoga članka.</w:t>
      </w:r>
    </w:p>
    <w:p w14:paraId="0B3E81C5" w14:textId="2F207274" w:rsidR="1D392F6D" w:rsidRPr="000479E9" w:rsidRDefault="1D392F6D" w:rsidP="1D392F6D">
      <w:pPr>
        <w:spacing w:after="0" w:line="240" w:lineRule="auto"/>
        <w:jc w:val="both"/>
        <w:rPr>
          <w:rFonts w:ascii="Times New Roman" w:eastAsia="Times New Roman" w:hAnsi="Times New Roman" w:cs="Times New Roman"/>
          <w:sz w:val="24"/>
          <w:szCs w:val="24"/>
          <w:lang w:eastAsia="hr-HR"/>
        </w:rPr>
      </w:pPr>
    </w:p>
    <w:p w14:paraId="4DEEEB2F" w14:textId="3468F62E" w:rsidR="00715D52" w:rsidRPr="000479E9" w:rsidRDefault="44BB1940" w:rsidP="1D392F6D">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13037C1" w:rsidRPr="000479E9">
        <w:rPr>
          <w:rFonts w:ascii="Times New Roman" w:eastAsia="Times New Roman" w:hAnsi="Times New Roman" w:cs="Times New Roman"/>
          <w:sz w:val="24"/>
          <w:szCs w:val="24"/>
          <w:lang w:eastAsia="hr-HR"/>
        </w:rPr>
        <w:t>1</w:t>
      </w:r>
      <w:r w:rsidR="009356BC" w:rsidRPr="000479E9">
        <w:rPr>
          <w:rFonts w:ascii="Times New Roman" w:eastAsia="Times New Roman" w:hAnsi="Times New Roman" w:cs="Times New Roman"/>
          <w:sz w:val="24"/>
          <w:szCs w:val="24"/>
          <w:lang w:eastAsia="hr-HR"/>
        </w:rPr>
        <w:t>1</w:t>
      </w:r>
      <w:r w:rsidRPr="000479E9">
        <w:rPr>
          <w:rFonts w:ascii="Times New Roman" w:eastAsia="Times New Roman" w:hAnsi="Times New Roman" w:cs="Times New Roman"/>
          <w:sz w:val="24"/>
          <w:szCs w:val="24"/>
          <w:lang w:eastAsia="hr-HR"/>
        </w:rPr>
        <w:t>)</w:t>
      </w:r>
      <w:r w:rsidR="27CAF5EE" w:rsidRPr="000479E9">
        <w:rPr>
          <w:rFonts w:ascii="Times New Roman" w:eastAsia="Times New Roman" w:hAnsi="Times New Roman" w:cs="Times New Roman"/>
          <w:sz w:val="24"/>
          <w:szCs w:val="24"/>
          <w:lang w:eastAsia="hr-HR"/>
        </w:rPr>
        <w:t xml:space="preserve"> </w:t>
      </w:r>
      <w:r w:rsidR="00892908" w:rsidRPr="000479E9">
        <w:rPr>
          <w:rFonts w:ascii="Times New Roman" w:eastAsia="Times New Roman" w:hAnsi="Times New Roman" w:cs="Times New Roman"/>
          <w:sz w:val="24"/>
          <w:szCs w:val="24"/>
          <w:lang w:eastAsia="hr-HR"/>
        </w:rPr>
        <w:t>Pravilnikom iz stavka 13. ovoga članka može se propisati i najveća dopuštena ciljana razina sredstava Fonda izražena u apsolutnom iznosu ili određena prema obilježjima tržišta, strukturi članova Fonda, koncentraciji tržišta ili procjeni referentnog osiguranog događaja</w:t>
      </w:r>
      <w:r w:rsidR="72DB76B3" w:rsidRPr="000479E9">
        <w:rPr>
          <w:rFonts w:ascii="Times New Roman" w:eastAsia="Times New Roman" w:hAnsi="Times New Roman" w:cs="Times New Roman"/>
          <w:sz w:val="24"/>
          <w:szCs w:val="24"/>
          <w:lang w:eastAsia="hr-HR"/>
        </w:rPr>
        <w:t>.</w:t>
      </w:r>
    </w:p>
    <w:p w14:paraId="6E14E460" w14:textId="77777777" w:rsidR="00715D52" w:rsidRPr="000479E9" w:rsidRDefault="00715D52" w:rsidP="1D392F6D">
      <w:pPr>
        <w:spacing w:after="0" w:line="240" w:lineRule="auto"/>
        <w:jc w:val="both"/>
        <w:rPr>
          <w:rFonts w:ascii="Times New Roman" w:eastAsia="Times New Roman" w:hAnsi="Times New Roman" w:cs="Times New Roman"/>
          <w:sz w:val="24"/>
          <w:szCs w:val="24"/>
          <w:lang w:eastAsia="hr-HR"/>
        </w:rPr>
      </w:pPr>
    </w:p>
    <w:p w14:paraId="58EF39DC" w14:textId="258EF402" w:rsidR="00892908" w:rsidRPr="000479E9" w:rsidRDefault="00DF268A" w:rsidP="0089290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2306E087" w:rsidRPr="000479E9">
        <w:rPr>
          <w:rFonts w:ascii="Times New Roman" w:eastAsia="Times New Roman" w:hAnsi="Times New Roman" w:cs="Times New Roman"/>
          <w:sz w:val="24"/>
          <w:szCs w:val="24"/>
          <w:lang w:eastAsia="hr-HR"/>
        </w:rPr>
        <w:t>1</w:t>
      </w:r>
      <w:r w:rsidR="009356BC"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 xml:space="preserve">) </w:t>
      </w:r>
      <w:r w:rsidR="00892908" w:rsidRPr="000479E9">
        <w:rPr>
          <w:rFonts w:ascii="Times New Roman" w:eastAsia="Times New Roman" w:hAnsi="Times New Roman" w:cs="Times New Roman"/>
          <w:sz w:val="24"/>
          <w:szCs w:val="24"/>
          <w:lang w:eastAsia="hr-HR"/>
        </w:rPr>
        <w:t>Nakon aktivacije uplate dodatnih doprinosa sredstva Fonda obnavljaju se do ciljane razine iz stavka 9. ovoga članka na način propisan pravilnikom iz stavka 13. ovoga članka.</w:t>
      </w:r>
    </w:p>
    <w:p w14:paraId="7833AE64" w14:textId="37B7F42A" w:rsidR="00892908" w:rsidRPr="000479E9" w:rsidRDefault="00892908" w:rsidP="00892908">
      <w:pPr>
        <w:spacing w:after="0" w:line="240" w:lineRule="auto"/>
        <w:jc w:val="both"/>
        <w:rPr>
          <w:rFonts w:ascii="Times New Roman" w:eastAsia="Times New Roman" w:hAnsi="Times New Roman" w:cs="Times New Roman"/>
          <w:sz w:val="24"/>
          <w:szCs w:val="24"/>
          <w:lang w:eastAsia="hr-HR"/>
        </w:rPr>
      </w:pPr>
    </w:p>
    <w:p w14:paraId="4C5C3103" w14:textId="3089DA47" w:rsidR="00961929" w:rsidRPr="000479E9" w:rsidRDefault="00961929" w:rsidP="0096192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Agencija pravilnikom detaljnije propisuje:</w:t>
      </w:r>
    </w:p>
    <w:p w14:paraId="3387B40E" w14:textId="77777777" w:rsidR="00C72FB9" w:rsidRPr="000479E9" w:rsidRDefault="00C72FB9" w:rsidP="00961929">
      <w:pPr>
        <w:spacing w:after="0" w:line="240" w:lineRule="auto"/>
        <w:jc w:val="both"/>
        <w:rPr>
          <w:rFonts w:ascii="Times New Roman" w:eastAsia="Times New Roman" w:hAnsi="Times New Roman" w:cs="Times New Roman"/>
          <w:sz w:val="24"/>
          <w:szCs w:val="24"/>
          <w:lang w:eastAsia="hr-HR"/>
        </w:rPr>
      </w:pPr>
    </w:p>
    <w:p w14:paraId="07D11D01" w14:textId="3E7A2490"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 xml:space="preserve">ciljane i minimalne razine sredstava Fonda, </w:t>
      </w:r>
    </w:p>
    <w:p w14:paraId="7C526BD4" w14:textId="082F31A6"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uvjete za utvrđivanje jedne ili više ciljanih i minimalnih razina sredstava Fonda, </w:t>
      </w:r>
    </w:p>
    <w:p w14:paraId="00FF9443" w14:textId="349EB3EB"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kriterije za određivanje najveće dopuštene ciljane razine sredstava Fonda, </w:t>
      </w:r>
    </w:p>
    <w:p w14:paraId="67E785B6" w14:textId="25FBBDE9"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način utvrđivanja osnovice doprinosa na temelju kriterija iz stavka 5. ovoga članka, </w:t>
      </w:r>
    </w:p>
    <w:p w14:paraId="380179E0" w14:textId="4DD23E4A"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način utvrđivanja, obračuna i raspodjele doprinosa članova Fonda, </w:t>
      </w:r>
    </w:p>
    <w:p w14:paraId="2BAD54C0" w14:textId="4973D10F"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način aktivacije i prestanka obveze dodatnog financiranja Fonda, </w:t>
      </w:r>
    </w:p>
    <w:p w14:paraId="33992371" w14:textId="28AE9978"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metodologiju izračuna vrijednosti zaštićenih tražbina, </w:t>
      </w:r>
    </w:p>
    <w:p w14:paraId="14F169CA" w14:textId="52396B55"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visinu, rokove i način izvršenja obveza članova Fonda, </w:t>
      </w:r>
    </w:p>
    <w:p w14:paraId="0C7425A8" w14:textId="0B07E1E2"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način obavještavanja članova Fonda, </w:t>
      </w:r>
    </w:p>
    <w:p w14:paraId="5ED54524" w14:textId="0B01D2D2" w:rsidR="00961929"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što se smatra prihvatljivim financijskim instrumentima ili drugim instrumentima osiguranja plaćanja, </w:t>
      </w:r>
    </w:p>
    <w:p w14:paraId="42CFBC97" w14:textId="15DC30CC" w:rsidR="00892908" w:rsidRPr="000479E9" w:rsidRDefault="00961929" w:rsidP="000479E9">
      <w:pPr>
        <w:pStyle w:val="ListParagraph"/>
        <w:numPr>
          <w:ilvl w:val="0"/>
          <w:numId w:val="18"/>
        </w:num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druga pitanja potrebna za financiranje i upravljanje Fondom.</w:t>
      </w:r>
      <w:r w:rsidR="00C72FB9" w:rsidRPr="000479E9">
        <w:rPr>
          <w:rFonts w:ascii="Times New Roman" w:eastAsia="Times New Roman" w:hAnsi="Times New Roman" w:cs="Times New Roman"/>
          <w:sz w:val="24"/>
          <w:szCs w:val="24"/>
          <w:lang w:eastAsia="hr-HR"/>
        </w:rPr>
        <w:t>“.</w:t>
      </w:r>
    </w:p>
    <w:p w14:paraId="7AE08D26" w14:textId="77777777" w:rsidR="00961929" w:rsidRPr="000479E9" w:rsidRDefault="00961929" w:rsidP="00961929">
      <w:pPr>
        <w:spacing w:after="0" w:line="240" w:lineRule="auto"/>
        <w:jc w:val="both"/>
        <w:rPr>
          <w:rFonts w:ascii="Times New Roman" w:eastAsia="Times New Roman" w:hAnsi="Times New Roman" w:cs="Times New Roman"/>
          <w:sz w:val="24"/>
          <w:szCs w:val="24"/>
          <w:lang w:eastAsia="hr-HR"/>
        </w:rPr>
      </w:pPr>
    </w:p>
    <w:p w14:paraId="0E614A42" w14:textId="434CBBF6" w:rsidR="00332AFA" w:rsidRPr="000479E9" w:rsidRDefault="00332AFA" w:rsidP="000479E9">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27.</w:t>
      </w:r>
    </w:p>
    <w:p w14:paraId="456A7555" w14:textId="77777777" w:rsidR="00332AFA" w:rsidRPr="000479E9" w:rsidRDefault="00332AFA" w:rsidP="00332AFA">
      <w:pPr>
        <w:spacing w:after="0" w:line="240" w:lineRule="auto"/>
        <w:jc w:val="both"/>
        <w:rPr>
          <w:rFonts w:ascii="Times New Roman" w:eastAsia="Times New Roman" w:hAnsi="Times New Roman" w:cs="Times New Roman"/>
          <w:b/>
          <w:bCs/>
          <w:sz w:val="24"/>
          <w:szCs w:val="24"/>
          <w:lang w:eastAsia="hr-HR"/>
        </w:rPr>
      </w:pPr>
    </w:p>
    <w:p w14:paraId="20240FED" w14:textId="762F7FEB" w:rsidR="00332AFA" w:rsidRPr="000479E9" w:rsidRDefault="00332AFA" w:rsidP="00332AF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280. stavku 8. riječi: „način utvrđivanja ciljane razine Fonda,“ brišu se.</w:t>
      </w:r>
    </w:p>
    <w:p w14:paraId="6357CB3C" w14:textId="77777777" w:rsidR="00DF268A" w:rsidRPr="000479E9" w:rsidRDefault="00DF268A" w:rsidP="000479E9">
      <w:pPr>
        <w:spacing w:after="0" w:line="240" w:lineRule="auto"/>
        <w:jc w:val="both"/>
        <w:rPr>
          <w:rFonts w:ascii="Times New Roman" w:eastAsia="Times New Roman" w:hAnsi="Times New Roman" w:cs="Times New Roman"/>
          <w:b/>
          <w:bCs/>
          <w:sz w:val="24"/>
          <w:szCs w:val="24"/>
          <w:lang w:eastAsia="hr-HR"/>
        </w:rPr>
      </w:pPr>
    </w:p>
    <w:p w14:paraId="50AC3D65" w14:textId="12B56A2D" w:rsidR="0083699F" w:rsidRPr="000479E9" w:rsidRDefault="00742692" w:rsidP="00483C20">
      <w:pPr>
        <w:tabs>
          <w:tab w:val="left" w:pos="1095"/>
          <w:tab w:val="center" w:pos="4536"/>
        </w:tabs>
        <w:spacing w:after="0" w:line="240" w:lineRule="auto"/>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ab/>
      </w:r>
      <w:r w:rsidRPr="000479E9">
        <w:rPr>
          <w:rFonts w:ascii="Times New Roman" w:eastAsia="Times New Roman" w:hAnsi="Times New Roman" w:cs="Times New Roman"/>
          <w:b/>
          <w:bCs/>
          <w:sz w:val="24"/>
          <w:szCs w:val="24"/>
          <w:lang w:eastAsia="hr-HR"/>
        </w:rPr>
        <w:tab/>
      </w:r>
      <w:r w:rsidR="0083699F"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2</w:t>
      </w:r>
      <w:r w:rsidR="0089422E" w:rsidRPr="000479E9">
        <w:rPr>
          <w:rFonts w:ascii="Times New Roman" w:eastAsia="Times New Roman" w:hAnsi="Times New Roman" w:cs="Times New Roman"/>
          <w:b/>
          <w:bCs/>
          <w:sz w:val="24"/>
          <w:szCs w:val="24"/>
          <w:lang w:eastAsia="hr-HR"/>
        </w:rPr>
        <w:t>8</w:t>
      </w:r>
      <w:r w:rsidR="0083699F" w:rsidRPr="000479E9">
        <w:rPr>
          <w:rFonts w:ascii="Times New Roman" w:eastAsia="Times New Roman" w:hAnsi="Times New Roman" w:cs="Times New Roman"/>
          <w:b/>
          <w:bCs/>
          <w:sz w:val="24"/>
          <w:szCs w:val="24"/>
          <w:lang w:eastAsia="hr-HR"/>
        </w:rPr>
        <w:t xml:space="preserve">. </w:t>
      </w:r>
    </w:p>
    <w:p w14:paraId="0E69E78A" w14:textId="0FE4462B" w:rsidR="0083699F" w:rsidRPr="000479E9" w:rsidRDefault="0083699F" w:rsidP="0083699F">
      <w:pPr>
        <w:spacing w:after="0" w:line="240" w:lineRule="auto"/>
        <w:rPr>
          <w:rFonts w:ascii="Times New Roman" w:eastAsia="Times New Roman" w:hAnsi="Times New Roman" w:cs="Times New Roman"/>
          <w:b/>
          <w:bCs/>
          <w:sz w:val="24"/>
          <w:szCs w:val="24"/>
          <w:lang w:eastAsia="hr-HR"/>
        </w:rPr>
      </w:pPr>
    </w:p>
    <w:p w14:paraId="03AA726A" w14:textId="291593A3" w:rsidR="00E2248D" w:rsidRPr="000479E9" w:rsidRDefault="00971EA3" w:rsidP="0083699F">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w:t>
      </w:r>
      <w:r w:rsidR="0083699F" w:rsidRPr="000479E9">
        <w:rPr>
          <w:rFonts w:ascii="Times New Roman" w:eastAsia="Times New Roman" w:hAnsi="Times New Roman" w:cs="Times New Roman"/>
          <w:sz w:val="24"/>
          <w:szCs w:val="24"/>
          <w:lang w:eastAsia="hr-HR"/>
        </w:rPr>
        <w:t>lan</w:t>
      </w:r>
      <w:r w:rsidRPr="000479E9">
        <w:rPr>
          <w:rFonts w:ascii="Times New Roman" w:eastAsia="Times New Roman" w:hAnsi="Times New Roman" w:cs="Times New Roman"/>
          <w:sz w:val="24"/>
          <w:szCs w:val="24"/>
          <w:lang w:eastAsia="hr-HR"/>
        </w:rPr>
        <w:t>a</w:t>
      </w:r>
      <w:r w:rsidR="0083699F" w:rsidRPr="000479E9">
        <w:rPr>
          <w:rFonts w:ascii="Times New Roman" w:eastAsia="Times New Roman" w:hAnsi="Times New Roman" w:cs="Times New Roman"/>
          <w:sz w:val="24"/>
          <w:szCs w:val="24"/>
          <w:lang w:eastAsia="hr-HR"/>
        </w:rPr>
        <w:t xml:space="preserve">k 285. </w:t>
      </w:r>
      <w:r w:rsidR="00F2595E" w:rsidRPr="000479E9">
        <w:rPr>
          <w:rFonts w:ascii="Times New Roman" w:eastAsia="Times New Roman" w:hAnsi="Times New Roman" w:cs="Times New Roman"/>
          <w:sz w:val="24"/>
          <w:szCs w:val="24"/>
          <w:lang w:eastAsia="hr-HR"/>
        </w:rPr>
        <w:t>mijenja se i glasi</w:t>
      </w:r>
      <w:r w:rsidR="00E2248D" w:rsidRPr="000479E9">
        <w:rPr>
          <w:rFonts w:ascii="Times New Roman" w:eastAsia="Times New Roman" w:hAnsi="Times New Roman" w:cs="Times New Roman"/>
          <w:sz w:val="24"/>
          <w:szCs w:val="24"/>
          <w:lang w:eastAsia="hr-HR"/>
        </w:rPr>
        <w:t>:</w:t>
      </w:r>
    </w:p>
    <w:p w14:paraId="75155638" w14:textId="4488353E" w:rsidR="00E2248D" w:rsidRPr="000479E9" w:rsidRDefault="00E2248D" w:rsidP="0083699F">
      <w:pPr>
        <w:spacing w:after="0" w:line="240" w:lineRule="auto"/>
        <w:rPr>
          <w:rFonts w:ascii="Times New Roman" w:eastAsia="Times New Roman" w:hAnsi="Times New Roman" w:cs="Times New Roman"/>
          <w:sz w:val="24"/>
          <w:szCs w:val="24"/>
          <w:lang w:eastAsia="hr-HR"/>
        </w:rPr>
      </w:pPr>
    </w:p>
    <w:p w14:paraId="715976D7" w14:textId="76457EF6" w:rsidR="00971EA3" w:rsidRPr="000479E9" w:rsidRDefault="00E42E8D"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w:t>
      </w:r>
      <w:r w:rsidR="00971EA3" w:rsidRPr="000479E9">
        <w:rPr>
          <w:rFonts w:ascii="Times New Roman" w:eastAsia="Calibri" w:hAnsi="Times New Roman" w:cs="Times New Roman"/>
          <w:sz w:val="24"/>
          <w:szCs w:val="24"/>
        </w:rPr>
        <w:t>(1) Glavna djelatnost burze, na temelju odobrenja Agencije za rad, mora biti upravljanje uređenim tržištem.</w:t>
      </w:r>
    </w:p>
    <w:p w14:paraId="103102FB"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Burza može:</w:t>
      </w:r>
    </w:p>
    <w:p w14:paraId="434C07D0"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upravljati OTP-om ili MTP-om na temelju posebnog odobrenja iz članka 348. ovoga Zakona</w:t>
      </w:r>
    </w:p>
    <w:p w14:paraId="56D48BFB"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obavljati usluge dostave podataka iz glave IV. ovoga dijela Zakona na temelju posebnog odobrenja Agencije.</w:t>
      </w:r>
    </w:p>
    <w:p w14:paraId="330AF8B9"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Burza je ovlaštena objavljivati podatke iz članka 569. stavka 2. točke 3. ovoga Zakona na svojim internetskim stranicama.</w:t>
      </w:r>
    </w:p>
    <w:p w14:paraId="46F49132"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Burza može osim djelatnosti iz stavaka 1. i 2. ovoga članka, obavljati i druge djelatnosti.</w:t>
      </w:r>
    </w:p>
    <w:p w14:paraId="2F7309A6"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Prije obavljanja drugih djelatnosti, burza je dužna napraviti procjenu na temelju stavka 8. ovoga članka. </w:t>
      </w:r>
    </w:p>
    <w:p w14:paraId="6B460104"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Burza ne može obavljati druge djelatnosti iz stavka 4. ovoga članka, kada Agencija donese rješenje iz stavka 10. ovoga članka. </w:t>
      </w:r>
    </w:p>
    <w:p w14:paraId="77A1DCE1"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(7) Burza će obavijestiti Agenciju o novoj djelatnosti iz stavka 4. ovoga članka te dostaviti obrazloženje iz stavka 9. ovoga članka najkasnije na dan početka obavljanja nove djelatnosti.</w:t>
      </w:r>
    </w:p>
    <w:p w14:paraId="17A38945"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Burza mora prilikom obavljanja svih djelatnosti iz stavka 4. ovoga članka koje nisu vezane uz upravljanje uređenim tržištem, voditi računa da određena djelatnost ne ugrožava kvalitetu i kontinuitet obavljanja glavne djelatnosti burze.</w:t>
      </w:r>
    </w:p>
    <w:p w14:paraId="77D5D456" w14:textId="54B6FED6"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(9) Obavijest iz stavka </w:t>
      </w:r>
      <w:r w:rsidR="0089422E" w:rsidRPr="000479E9">
        <w:rPr>
          <w:rFonts w:ascii="Times New Roman" w:eastAsia="Calibri" w:hAnsi="Times New Roman" w:cs="Times New Roman"/>
          <w:sz w:val="24"/>
          <w:szCs w:val="24"/>
        </w:rPr>
        <w:t>7</w:t>
      </w:r>
      <w:r w:rsidRPr="000479E9">
        <w:rPr>
          <w:rFonts w:ascii="Times New Roman" w:eastAsia="Calibri" w:hAnsi="Times New Roman" w:cs="Times New Roman"/>
          <w:sz w:val="24"/>
          <w:szCs w:val="24"/>
        </w:rPr>
        <w:t>. ovoga članka mora sadržavati obrazloženje o tome da djelatnosti koje burza namjerava obavljati neće biti protivne zahtjevima iz stavka 8. ovoga članka.</w:t>
      </w:r>
    </w:p>
    <w:p w14:paraId="613FD0E4" w14:textId="77777777"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(10) Ako na temelju dostavljenih podataka Agencija nije utvrdila da su ispunjeni kriteriji propisani stavkom 8. ovoga članka, Agencija će navedeno konstatirati rješenjem.</w:t>
      </w:r>
    </w:p>
    <w:p w14:paraId="683D9929" w14:textId="05F9508D" w:rsidR="00971EA3" w:rsidRPr="000479E9" w:rsidRDefault="00971EA3" w:rsidP="00971EA3">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(11) Burzi nije dopušteno izvršavati naloge klijenata uz korištenje vlastitog kapitala ili trgovati za vlastiti račun uparivanjem naloga na bilo kojem uređenom tržištu kojim upravlja.</w:t>
      </w:r>
      <w:r w:rsidR="00E42E8D" w:rsidRPr="000479E9">
        <w:rPr>
          <w:rFonts w:ascii="Times New Roman" w:eastAsia="Calibri" w:hAnsi="Times New Roman" w:cs="Times New Roman"/>
          <w:sz w:val="24"/>
          <w:szCs w:val="24"/>
        </w:rPr>
        <w:t>“.</w:t>
      </w:r>
    </w:p>
    <w:p w14:paraId="798BF2CD" w14:textId="77777777" w:rsidR="00E2248D" w:rsidRPr="000479E9" w:rsidRDefault="00E2248D" w:rsidP="00F01D72">
      <w:pPr>
        <w:spacing w:after="0" w:line="240" w:lineRule="auto"/>
        <w:jc w:val="both"/>
        <w:rPr>
          <w:rFonts w:ascii="Times New Roman" w:eastAsia="Times New Roman" w:hAnsi="Times New Roman" w:cs="Times New Roman"/>
          <w:sz w:val="24"/>
          <w:szCs w:val="24"/>
          <w:lang w:eastAsia="hr-HR"/>
        </w:rPr>
      </w:pPr>
    </w:p>
    <w:p w14:paraId="290BC83C" w14:textId="0B5B4451" w:rsidR="0083699F" w:rsidRPr="000479E9" w:rsidRDefault="0083699F" w:rsidP="0083699F">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2</w:t>
      </w:r>
      <w:r w:rsidR="0089422E" w:rsidRPr="000479E9">
        <w:rPr>
          <w:rFonts w:ascii="Times New Roman" w:eastAsia="Times New Roman" w:hAnsi="Times New Roman" w:cs="Times New Roman"/>
          <w:b/>
          <w:bCs/>
          <w:sz w:val="24"/>
          <w:szCs w:val="24"/>
          <w:lang w:eastAsia="hr-HR"/>
        </w:rPr>
        <w:t>9</w:t>
      </w:r>
      <w:r w:rsidRPr="000479E9">
        <w:rPr>
          <w:rFonts w:ascii="Times New Roman" w:eastAsia="Times New Roman" w:hAnsi="Times New Roman" w:cs="Times New Roman"/>
          <w:b/>
          <w:bCs/>
          <w:sz w:val="24"/>
          <w:szCs w:val="24"/>
          <w:lang w:eastAsia="hr-HR"/>
        </w:rPr>
        <w:t xml:space="preserve">. </w:t>
      </w:r>
    </w:p>
    <w:p w14:paraId="572362A8" w14:textId="63639DCE" w:rsidR="0089422E" w:rsidRPr="000479E9" w:rsidRDefault="0089422E" w:rsidP="0083699F">
      <w:pPr>
        <w:spacing w:after="0" w:line="240" w:lineRule="auto"/>
        <w:jc w:val="center"/>
        <w:rPr>
          <w:rFonts w:ascii="Times New Roman" w:eastAsia="Times New Roman" w:hAnsi="Times New Roman" w:cs="Times New Roman"/>
          <w:b/>
          <w:bCs/>
          <w:sz w:val="24"/>
          <w:szCs w:val="24"/>
          <w:lang w:eastAsia="hr-HR"/>
        </w:rPr>
      </w:pPr>
    </w:p>
    <w:p w14:paraId="7FA9D561" w14:textId="27A48BB4" w:rsidR="0089422E" w:rsidRPr="000479E9" w:rsidRDefault="0089422E"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Naslov iznad čl</w:t>
      </w:r>
      <w:r w:rsidR="0037109D" w:rsidRPr="000479E9">
        <w:rPr>
          <w:rFonts w:ascii="Times New Roman" w:eastAsia="Times New Roman" w:hAnsi="Times New Roman" w:cs="Times New Roman"/>
          <w:bCs/>
          <w:sz w:val="24"/>
          <w:szCs w:val="24"/>
          <w:lang w:eastAsia="hr-HR"/>
        </w:rPr>
        <w:t xml:space="preserve">anka </w:t>
      </w:r>
      <w:r w:rsidRPr="000479E9">
        <w:rPr>
          <w:rFonts w:ascii="Times New Roman" w:eastAsia="Times New Roman" w:hAnsi="Times New Roman" w:cs="Times New Roman"/>
          <w:bCs/>
          <w:sz w:val="24"/>
          <w:szCs w:val="24"/>
          <w:lang w:eastAsia="hr-HR"/>
        </w:rPr>
        <w:t>294. mijenja se i glasi: „Prethodne suglasnosti i obavijesti Agenciji”.</w:t>
      </w:r>
    </w:p>
    <w:p w14:paraId="57B457A4" w14:textId="34DAA447" w:rsidR="0089422E" w:rsidRPr="000479E9" w:rsidRDefault="0089422E" w:rsidP="0083699F">
      <w:pPr>
        <w:spacing w:after="0" w:line="240" w:lineRule="auto"/>
        <w:jc w:val="center"/>
        <w:rPr>
          <w:rFonts w:ascii="Times New Roman" w:eastAsia="Times New Roman" w:hAnsi="Times New Roman" w:cs="Times New Roman"/>
          <w:b/>
          <w:bCs/>
          <w:sz w:val="24"/>
          <w:szCs w:val="24"/>
          <w:lang w:eastAsia="hr-HR"/>
        </w:rPr>
      </w:pPr>
    </w:p>
    <w:p w14:paraId="36D12250" w14:textId="5A112896"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Članak 294. mijenja se i glasi: </w:t>
      </w:r>
    </w:p>
    <w:p w14:paraId="5F4EE133"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p>
    <w:p w14:paraId="101E2B6F" w14:textId="72470EB1"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„(1) Burza je dužna pribaviti prethodnu suglasnost Agencije za:   </w:t>
      </w:r>
    </w:p>
    <w:p w14:paraId="2B0B97DC"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p>
    <w:p w14:paraId="70750907"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1. statusne promjene koje mogu utjecati na kontinuitet urednog funkcioniranja uređenog tržišta, učinkovitost regulatornog nadzora ili financijsku stabilnost burze   </w:t>
      </w:r>
    </w:p>
    <w:p w14:paraId="54E84B3A" w14:textId="17F6EEF0"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2. osnivanje podružnice burze izvan Republike Hrvatske.   </w:t>
      </w:r>
    </w:p>
    <w:p w14:paraId="77393C15"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p>
    <w:p w14:paraId="6E9AC94F" w14:textId="64638D8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(2) Statusnim promjenama iz stavka 1. točke 1. ovoga članka smatraju se:   </w:t>
      </w:r>
    </w:p>
    <w:p w14:paraId="5A39608A"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p>
    <w:p w14:paraId="4329C25A"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1. pripajanje, spajanje ili podjela burze   </w:t>
      </w:r>
    </w:p>
    <w:p w14:paraId="3411CAD7"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2. preoblikovanje burze , uključujući prekogranično preoblikovanje</w:t>
      </w:r>
    </w:p>
    <w:p w14:paraId="299F7346" w14:textId="4751C9E2"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3. prijenos odobrenja za rad uređenog tržišta na drugu pravnu osobu. </w:t>
      </w:r>
    </w:p>
    <w:p w14:paraId="27BAABA2"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p>
    <w:p w14:paraId="6515FDBF" w14:textId="2E413A18"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(3) Burza je dužna prethodno obavijestiti Agenciju o izravnom ili neizravnom stjecanju, udjela kojim stječe 25 % ili više u drugoj pravnoj osobi.  </w:t>
      </w:r>
    </w:p>
    <w:p w14:paraId="5634E654" w14:textId="77777777" w:rsidR="0009291D" w:rsidRPr="000479E9" w:rsidRDefault="0009291D" w:rsidP="000479E9">
      <w:pPr>
        <w:spacing w:after="0" w:line="240" w:lineRule="auto"/>
        <w:jc w:val="both"/>
        <w:rPr>
          <w:rFonts w:ascii="Times New Roman" w:eastAsia="Times New Roman" w:hAnsi="Times New Roman" w:cs="Times New Roman"/>
          <w:bCs/>
          <w:sz w:val="24"/>
          <w:szCs w:val="24"/>
          <w:lang w:eastAsia="hr-HR"/>
        </w:rPr>
      </w:pPr>
    </w:p>
    <w:p w14:paraId="71DAD176" w14:textId="47589278" w:rsidR="0009291D" w:rsidRPr="000479E9" w:rsidRDefault="0009291D" w:rsidP="000479E9">
      <w:pPr>
        <w:spacing w:after="0" w:line="240" w:lineRule="auto"/>
        <w:jc w:val="both"/>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Cs/>
          <w:sz w:val="24"/>
          <w:szCs w:val="24"/>
          <w:lang w:eastAsia="hr-HR"/>
        </w:rPr>
        <w:t xml:space="preserve">(4) Agencija može u roku od 30 dana od zaprimanja obavijesti iz stavka 3. ovoga članka naložiti ograničenja, korektivne mjere ili zabraniti provedbu odluke ako na </w:t>
      </w:r>
      <w:r w:rsidRPr="000479E9">
        <w:rPr>
          <w:rFonts w:ascii="Times New Roman" w:eastAsia="Times New Roman" w:hAnsi="Times New Roman" w:cs="Times New Roman"/>
          <w:bCs/>
          <w:sz w:val="24"/>
          <w:szCs w:val="24"/>
          <w:lang w:eastAsia="hr-HR"/>
        </w:rPr>
        <w:lastRenderedPageBreak/>
        <w:t>temelju objektivnih i dokazivih razloga ocijeni da bi odluka mogla dovesti u pitanje uvjete za odobrenje burze ili uredno funkcioniranje uređenog tržišta.“.</w:t>
      </w:r>
    </w:p>
    <w:p w14:paraId="66B760F8" w14:textId="77777777" w:rsidR="0083699F" w:rsidRPr="000479E9" w:rsidRDefault="0083699F" w:rsidP="0083699F">
      <w:pPr>
        <w:spacing w:after="0" w:line="240" w:lineRule="auto"/>
        <w:rPr>
          <w:rFonts w:ascii="Times New Roman" w:eastAsia="Times New Roman" w:hAnsi="Times New Roman" w:cs="Times New Roman"/>
          <w:b/>
          <w:bCs/>
          <w:sz w:val="24"/>
          <w:szCs w:val="24"/>
          <w:lang w:eastAsia="hr-HR"/>
        </w:rPr>
      </w:pPr>
    </w:p>
    <w:p w14:paraId="2DB900C4" w14:textId="70874CA6" w:rsidR="00071C5C" w:rsidRPr="000479E9" w:rsidRDefault="00071C5C"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89422E" w:rsidRPr="000479E9">
        <w:rPr>
          <w:rFonts w:ascii="Times New Roman" w:eastAsia="Times New Roman" w:hAnsi="Times New Roman" w:cs="Times New Roman"/>
          <w:b/>
          <w:bCs/>
          <w:sz w:val="24"/>
          <w:szCs w:val="24"/>
          <w:lang w:eastAsia="hr-HR"/>
        </w:rPr>
        <w:t>30</w:t>
      </w:r>
      <w:r w:rsidRPr="000479E9">
        <w:rPr>
          <w:rFonts w:ascii="Times New Roman" w:eastAsia="Times New Roman" w:hAnsi="Times New Roman" w:cs="Times New Roman"/>
          <w:b/>
          <w:bCs/>
          <w:sz w:val="24"/>
          <w:szCs w:val="24"/>
          <w:lang w:eastAsia="hr-HR"/>
        </w:rPr>
        <w:t>.</w:t>
      </w:r>
    </w:p>
    <w:p w14:paraId="514785CE" w14:textId="77777777" w:rsidR="00071C5C" w:rsidRPr="000479E9" w:rsidRDefault="00071C5C" w:rsidP="00071C5C">
      <w:pPr>
        <w:spacing w:after="0" w:line="240" w:lineRule="auto"/>
        <w:rPr>
          <w:rFonts w:ascii="Times New Roman" w:eastAsia="Times New Roman" w:hAnsi="Times New Roman" w:cs="Times New Roman"/>
          <w:b/>
          <w:bCs/>
          <w:sz w:val="24"/>
          <w:szCs w:val="24"/>
          <w:lang w:eastAsia="hr-HR"/>
        </w:rPr>
      </w:pPr>
    </w:p>
    <w:p w14:paraId="4CCCDF13" w14:textId="291279D4" w:rsidR="00071C5C" w:rsidRPr="000479E9" w:rsidRDefault="00071C5C" w:rsidP="00483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295. stavku 5. riječ</w:t>
      </w:r>
      <w:r w:rsidR="0005762C"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„sedam“ zamjenjuje se riječju: „deset“.</w:t>
      </w:r>
    </w:p>
    <w:p w14:paraId="4E730D4A" w14:textId="77777777" w:rsidR="00071C5C" w:rsidRPr="000479E9" w:rsidRDefault="00071C5C" w:rsidP="00617A00">
      <w:pPr>
        <w:spacing w:after="0" w:line="240" w:lineRule="auto"/>
        <w:jc w:val="center"/>
        <w:rPr>
          <w:rFonts w:ascii="Times New Roman" w:eastAsia="Times New Roman" w:hAnsi="Times New Roman" w:cs="Times New Roman"/>
          <w:b/>
          <w:bCs/>
          <w:sz w:val="24"/>
          <w:szCs w:val="24"/>
          <w:lang w:eastAsia="hr-HR"/>
        </w:rPr>
      </w:pPr>
    </w:p>
    <w:p w14:paraId="3AE1EB34" w14:textId="05A4F991"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8A37A1" w:rsidRPr="000479E9">
        <w:rPr>
          <w:rFonts w:ascii="Times New Roman" w:eastAsia="Times New Roman" w:hAnsi="Times New Roman" w:cs="Times New Roman"/>
          <w:b/>
          <w:bCs/>
          <w:sz w:val="24"/>
          <w:szCs w:val="24"/>
          <w:lang w:eastAsia="hr-HR"/>
        </w:rPr>
        <w:t>31</w:t>
      </w:r>
      <w:r w:rsidRPr="000479E9">
        <w:rPr>
          <w:rFonts w:ascii="Times New Roman" w:eastAsia="Times New Roman" w:hAnsi="Times New Roman" w:cs="Times New Roman"/>
          <w:b/>
          <w:bCs/>
          <w:sz w:val="24"/>
          <w:szCs w:val="24"/>
          <w:lang w:eastAsia="hr-HR"/>
        </w:rPr>
        <w:t>.</w:t>
      </w:r>
    </w:p>
    <w:p w14:paraId="0808FD5D"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5BEC999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299. stavak 9. mijenja se i glasi:</w:t>
      </w:r>
    </w:p>
    <w:p w14:paraId="1ECD60FE"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80EC504" w14:textId="66AD2FAF"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Uvjeti za uspostavljanje sustava za prekid trgovanja i objave privremenog zaustavljanja trgovanja iz ovoga članka propisuju se regulatornim tehničkim standardima Europske komisije.“.</w:t>
      </w:r>
    </w:p>
    <w:p w14:paraId="79A914FF"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04CEA65F" w14:textId="15A6B0F0" w:rsidR="0083699F" w:rsidRPr="000479E9" w:rsidRDefault="0083699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8A37A1" w:rsidRPr="000479E9">
        <w:rPr>
          <w:rFonts w:ascii="Times New Roman" w:eastAsia="Times New Roman" w:hAnsi="Times New Roman" w:cs="Times New Roman"/>
          <w:b/>
          <w:sz w:val="24"/>
          <w:szCs w:val="24"/>
          <w:lang w:eastAsia="hr-HR"/>
        </w:rPr>
        <w:t>32</w:t>
      </w:r>
      <w:r w:rsidRPr="000479E9">
        <w:rPr>
          <w:rFonts w:ascii="Times New Roman" w:eastAsia="Times New Roman" w:hAnsi="Times New Roman" w:cs="Times New Roman"/>
          <w:b/>
          <w:sz w:val="24"/>
          <w:szCs w:val="24"/>
          <w:lang w:eastAsia="hr-HR"/>
        </w:rPr>
        <w:t>.</w:t>
      </w:r>
    </w:p>
    <w:p w14:paraId="228658A1" w14:textId="0B6556C7" w:rsidR="0083699F" w:rsidRPr="000479E9" w:rsidRDefault="0083699F" w:rsidP="0083699F">
      <w:pPr>
        <w:spacing w:after="0" w:line="240" w:lineRule="auto"/>
        <w:rPr>
          <w:rFonts w:ascii="Times New Roman" w:eastAsia="Times New Roman" w:hAnsi="Times New Roman" w:cs="Times New Roman"/>
          <w:b/>
          <w:bCs/>
          <w:sz w:val="24"/>
          <w:szCs w:val="24"/>
          <w:lang w:eastAsia="hr-HR"/>
        </w:rPr>
      </w:pPr>
    </w:p>
    <w:p w14:paraId="3F18DEC4" w14:textId="77777777" w:rsidR="005E0C20" w:rsidRPr="000479E9" w:rsidRDefault="0083699F" w:rsidP="0083699F">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305. stav</w:t>
      </w:r>
      <w:r w:rsidR="005E0C20" w:rsidRPr="000479E9">
        <w:rPr>
          <w:rFonts w:ascii="Times New Roman" w:eastAsia="Times New Roman" w:hAnsi="Times New Roman" w:cs="Times New Roman"/>
          <w:sz w:val="24"/>
          <w:szCs w:val="24"/>
          <w:lang w:eastAsia="hr-HR"/>
        </w:rPr>
        <w:t>ak</w:t>
      </w:r>
      <w:r w:rsidRPr="000479E9">
        <w:rPr>
          <w:rFonts w:ascii="Times New Roman" w:eastAsia="Times New Roman" w:hAnsi="Times New Roman" w:cs="Times New Roman"/>
          <w:sz w:val="24"/>
          <w:szCs w:val="24"/>
          <w:lang w:eastAsia="hr-HR"/>
        </w:rPr>
        <w:t xml:space="preserve"> 4.</w:t>
      </w:r>
      <w:r w:rsidR="005E0C20" w:rsidRPr="000479E9">
        <w:rPr>
          <w:rFonts w:ascii="Times New Roman" w:eastAsia="Times New Roman" w:hAnsi="Times New Roman" w:cs="Times New Roman"/>
          <w:sz w:val="24"/>
          <w:szCs w:val="24"/>
          <w:lang w:eastAsia="hr-HR"/>
        </w:rPr>
        <w:t xml:space="preserve"> briše se. </w:t>
      </w:r>
    </w:p>
    <w:p w14:paraId="46F3F2E9" w14:textId="77777777" w:rsidR="005E0C20" w:rsidRPr="000479E9" w:rsidRDefault="005E0C20" w:rsidP="0083699F">
      <w:pPr>
        <w:spacing w:after="0" w:line="240" w:lineRule="auto"/>
        <w:rPr>
          <w:rFonts w:ascii="Times New Roman" w:eastAsia="Times New Roman" w:hAnsi="Times New Roman" w:cs="Times New Roman"/>
          <w:sz w:val="24"/>
          <w:szCs w:val="24"/>
          <w:lang w:eastAsia="hr-HR"/>
        </w:rPr>
      </w:pPr>
    </w:p>
    <w:p w14:paraId="49BED7B3" w14:textId="1075C194" w:rsidR="0083699F" w:rsidRPr="000479E9" w:rsidRDefault="00EF09BD" w:rsidP="0083699F">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w:t>
      </w:r>
      <w:r w:rsidR="005E0C20" w:rsidRPr="000479E9">
        <w:rPr>
          <w:rFonts w:ascii="Times New Roman" w:eastAsia="Times New Roman" w:hAnsi="Times New Roman" w:cs="Times New Roman"/>
          <w:sz w:val="24"/>
          <w:szCs w:val="24"/>
          <w:lang w:eastAsia="hr-HR"/>
        </w:rPr>
        <w:t>tavci</w:t>
      </w:r>
      <w:r w:rsidR="0083699F" w:rsidRPr="000479E9">
        <w:rPr>
          <w:rFonts w:ascii="Times New Roman" w:eastAsia="Times New Roman" w:hAnsi="Times New Roman" w:cs="Times New Roman"/>
          <w:sz w:val="24"/>
          <w:szCs w:val="24"/>
          <w:lang w:eastAsia="hr-HR"/>
        </w:rPr>
        <w:t xml:space="preserve"> 5. i 6.</w:t>
      </w:r>
      <w:r w:rsidR="005E0C20"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koji </w:t>
      </w:r>
      <w:r w:rsidR="005E0C20" w:rsidRPr="000479E9">
        <w:rPr>
          <w:rFonts w:ascii="Times New Roman" w:eastAsia="Times New Roman" w:hAnsi="Times New Roman" w:cs="Times New Roman"/>
          <w:sz w:val="24"/>
          <w:szCs w:val="24"/>
          <w:lang w:eastAsia="hr-HR"/>
        </w:rPr>
        <w:t>postaju stavci 4.</w:t>
      </w:r>
      <w:r w:rsidRPr="000479E9">
        <w:rPr>
          <w:rFonts w:ascii="Times New Roman" w:eastAsia="Times New Roman" w:hAnsi="Times New Roman" w:cs="Times New Roman"/>
          <w:sz w:val="24"/>
          <w:szCs w:val="24"/>
          <w:lang w:eastAsia="hr-HR"/>
        </w:rPr>
        <w:t xml:space="preserve"> i 5</w:t>
      </w:r>
      <w:r w:rsidR="005E0C20" w:rsidRPr="000479E9">
        <w:rPr>
          <w:rFonts w:ascii="Times New Roman" w:eastAsia="Times New Roman" w:hAnsi="Times New Roman" w:cs="Times New Roman"/>
          <w:sz w:val="24"/>
          <w:szCs w:val="24"/>
          <w:lang w:eastAsia="hr-HR"/>
        </w:rPr>
        <w:t xml:space="preserve">. </w:t>
      </w:r>
      <w:r w:rsidR="0083699F" w:rsidRPr="000479E9">
        <w:rPr>
          <w:rFonts w:ascii="Times New Roman" w:eastAsia="Times New Roman" w:hAnsi="Times New Roman" w:cs="Times New Roman"/>
          <w:sz w:val="24"/>
          <w:szCs w:val="24"/>
          <w:lang w:eastAsia="hr-HR"/>
        </w:rPr>
        <w:t>mijenjaju se i glase:</w:t>
      </w:r>
    </w:p>
    <w:p w14:paraId="6AC5F8F5" w14:textId="47ECC82A" w:rsidR="0083699F" w:rsidRPr="000479E9" w:rsidRDefault="0083699F" w:rsidP="0083699F">
      <w:pPr>
        <w:spacing w:after="0" w:line="240" w:lineRule="auto"/>
        <w:rPr>
          <w:rFonts w:ascii="Times New Roman" w:eastAsia="Times New Roman" w:hAnsi="Times New Roman" w:cs="Times New Roman"/>
          <w:sz w:val="24"/>
          <w:szCs w:val="24"/>
          <w:lang w:eastAsia="hr-HR"/>
        </w:rPr>
      </w:pPr>
    </w:p>
    <w:p w14:paraId="69872A09" w14:textId="36DE920C" w:rsidR="0083699F" w:rsidRPr="000479E9" w:rsidRDefault="0083699F" w:rsidP="4E43D75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343FE4" w:rsidRPr="000479E9">
        <w:rPr>
          <w:rFonts w:ascii="Times New Roman" w:eastAsia="Times New Roman" w:hAnsi="Times New Roman" w:cs="Times New Roman"/>
          <w:sz w:val="24"/>
          <w:szCs w:val="24"/>
          <w:lang w:eastAsia="hr-HR"/>
        </w:rPr>
        <w:t>4</w:t>
      </w:r>
      <w:r w:rsidRPr="000479E9">
        <w:rPr>
          <w:rFonts w:ascii="Times New Roman" w:eastAsia="Times New Roman" w:hAnsi="Times New Roman" w:cs="Times New Roman"/>
          <w:sz w:val="24"/>
          <w:szCs w:val="24"/>
          <w:lang w:eastAsia="hr-HR"/>
        </w:rPr>
        <w:t xml:space="preserve">) </w:t>
      </w:r>
      <w:r w:rsidR="491AA9A1" w:rsidRPr="000479E9">
        <w:rPr>
          <w:rFonts w:ascii="Times New Roman" w:eastAsia="Times New Roman" w:hAnsi="Times New Roman" w:cs="Times New Roman"/>
          <w:sz w:val="24"/>
          <w:szCs w:val="24"/>
          <w:lang w:eastAsia="hr-HR"/>
        </w:rPr>
        <w:t xml:space="preserve">Prijedlog pravila burze, kao i njihovih izmjena i dopuna, zajedno sa sažetim i jasnim obrazloženjem svrhe predloženih odredbi ili izmjena i dopuna odredbi pravila burze, burza će učiniti dostupnim svim članovima i Agenciji najkasnije 15 dana prije njihova usvajanja, pri čemu je burza dužna članove pozvati na dostavu primjedbi i prijedloga te, ako je moguće, prihvatiti primjedbe i prijedloge članova, uz obrazloženje prihvaćenih i odbijenih primjedaba i prijedloga. </w:t>
      </w:r>
    </w:p>
    <w:p w14:paraId="3B9753F3" w14:textId="77777777" w:rsidR="00FC7990" w:rsidRPr="000479E9" w:rsidRDefault="00FC7990" w:rsidP="4E43D754">
      <w:pPr>
        <w:spacing w:after="0" w:line="240" w:lineRule="auto"/>
        <w:jc w:val="both"/>
        <w:rPr>
          <w:rFonts w:ascii="Times New Roman" w:eastAsia="Times New Roman" w:hAnsi="Times New Roman" w:cs="Times New Roman"/>
          <w:sz w:val="24"/>
          <w:szCs w:val="24"/>
          <w:lang w:eastAsia="hr-HR"/>
        </w:rPr>
      </w:pPr>
    </w:p>
    <w:p w14:paraId="2DBA7522" w14:textId="77777777" w:rsidR="001563B7" w:rsidRPr="000479E9" w:rsidRDefault="344CA26F" w:rsidP="4E43D75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343FE4"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xml:space="preserve">) </w:t>
      </w:r>
      <w:r w:rsidR="491AA9A1" w:rsidRPr="000479E9">
        <w:rPr>
          <w:rFonts w:ascii="Times New Roman" w:eastAsia="Times New Roman" w:hAnsi="Times New Roman" w:cs="Times New Roman"/>
          <w:sz w:val="24"/>
          <w:szCs w:val="24"/>
          <w:lang w:eastAsia="hr-HR"/>
        </w:rPr>
        <w:t>Kada burza dostavlja pravila ili njihove promjene Agenciji, dužna je najmanje dostaviti:</w:t>
      </w:r>
    </w:p>
    <w:p w14:paraId="086073BB" w14:textId="37861402" w:rsidR="344CA26F" w:rsidRPr="000479E9" w:rsidRDefault="491AA9A1" w:rsidP="4E43D754">
      <w:pPr>
        <w:spacing w:after="0" w:line="240" w:lineRule="auto"/>
        <w:jc w:val="both"/>
      </w:pPr>
      <w:r w:rsidRPr="000479E9">
        <w:rPr>
          <w:rFonts w:ascii="Times New Roman" w:eastAsia="Times New Roman" w:hAnsi="Times New Roman" w:cs="Times New Roman"/>
          <w:sz w:val="24"/>
          <w:szCs w:val="24"/>
          <w:lang w:eastAsia="hr-HR"/>
        </w:rPr>
        <w:t xml:space="preserve">  </w:t>
      </w:r>
    </w:p>
    <w:p w14:paraId="24ABEBA4" w14:textId="51398A65" w:rsidR="491AA9A1" w:rsidRPr="000479E9" w:rsidRDefault="491AA9A1" w:rsidP="4E43D754">
      <w:pPr>
        <w:spacing w:after="0" w:line="240" w:lineRule="auto"/>
        <w:jc w:val="both"/>
      </w:pPr>
      <w:r w:rsidRPr="000479E9">
        <w:rPr>
          <w:rFonts w:ascii="Times New Roman" w:eastAsia="Times New Roman" w:hAnsi="Times New Roman" w:cs="Times New Roman"/>
          <w:sz w:val="24"/>
          <w:szCs w:val="24"/>
          <w:lang w:eastAsia="hr-HR"/>
        </w:rPr>
        <w:t xml:space="preserve">1. nacrt teksta pravila ili njihovih izmjena i dopuna, s tim da se, ako se radi o izmjenama i dopunama, dostavlja verzija u čistopisu i razlikovna verzija  </w:t>
      </w:r>
    </w:p>
    <w:p w14:paraId="72AA675E" w14:textId="0D1F9388" w:rsidR="491AA9A1" w:rsidRPr="000479E9" w:rsidRDefault="491AA9A1" w:rsidP="4E43D75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sažeta i jasna obrazloženja svrhe predloženih odredbi ili izmjena i dopuna odredbi pravila burze</w:t>
      </w:r>
      <w:r w:rsidR="0366A909" w:rsidRPr="000479E9">
        <w:rPr>
          <w:rFonts w:ascii="Times New Roman" w:eastAsia="Times New Roman" w:hAnsi="Times New Roman" w:cs="Times New Roman"/>
          <w:sz w:val="24"/>
          <w:szCs w:val="24"/>
          <w:lang w:eastAsia="hr-HR"/>
        </w:rPr>
        <w:t xml:space="preserve"> te obrazloženje na koji način su predložene promjene usklađene sa zahtjevima iz ovoga članka.</w:t>
      </w:r>
      <w:r w:rsidR="00A763AE">
        <w:rPr>
          <w:rFonts w:ascii="Times New Roman" w:eastAsia="Times New Roman" w:hAnsi="Times New Roman" w:cs="Times New Roman"/>
          <w:sz w:val="24"/>
          <w:szCs w:val="24"/>
          <w:lang w:eastAsia="hr-HR"/>
        </w:rPr>
        <w:t>“.</w:t>
      </w:r>
    </w:p>
    <w:p w14:paraId="7E825B1D" w14:textId="4739332D" w:rsidR="4E43D754" w:rsidRPr="000479E9" w:rsidRDefault="4E43D754" w:rsidP="4E43D754">
      <w:pPr>
        <w:spacing w:after="0" w:line="240" w:lineRule="auto"/>
        <w:jc w:val="both"/>
        <w:rPr>
          <w:rFonts w:ascii="Times New Roman" w:eastAsia="Times New Roman" w:hAnsi="Times New Roman" w:cs="Times New Roman"/>
          <w:sz w:val="24"/>
          <w:szCs w:val="24"/>
          <w:lang w:eastAsia="hr-HR"/>
        </w:rPr>
      </w:pPr>
    </w:p>
    <w:p w14:paraId="290FB9A4" w14:textId="1395AC4E" w:rsidR="00FC7990" w:rsidRPr="000479E9" w:rsidRDefault="4E2B1BC7" w:rsidP="4E43D75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w:t>
      </w:r>
      <w:r w:rsidR="008A37A1" w:rsidRPr="000479E9">
        <w:rPr>
          <w:rFonts w:ascii="Times New Roman" w:eastAsia="Times New Roman" w:hAnsi="Times New Roman" w:cs="Times New Roman"/>
          <w:sz w:val="24"/>
          <w:szCs w:val="24"/>
          <w:lang w:eastAsia="hr-HR"/>
        </w:rPr>
        <w:t xml:space="preserve">dosadašnjeg </w:t>
      </w:r>
      <w:r w:rsidRPr="000479E9">
        <w:rPr>
          <w:rFonts w:ascii="Times New Roman" w:eastAsia="Times New Roman" w:hAnsi="Times New Roman" w:cs="Times New Roman"/>
          <w:sz w:val="24"/>
          <w:szCs w:val="24"/>
          <w:lang w:eastAsia="hr-HR"/>
        </w:rPr>
        <w:t xml:space="preserve">stavka 6. </w:t>
      </w:r>
      <w:r w:rsidR="008A37A1" w:rsidRPr="000479E9">
        <w:rPr>
          <w:rFonts w:ascii="Times New Roman" w:eastAsia="Times New Roman" w:hAnsi="Times New Roman" w:cs="Times New Roman"/>
          <w:sz w:val="24"/>
          <w:szCs w:val="24"/>
          <w:lang w:eastAsia="hr-HR"/>
        </w:rPr>
        <w:t xml:space="preserve">koji postaje stavak 5. </w:t>
      </w:r>
      <w:r w:rsidRPr="000479E9">
        <w:rPr>
          <w:rFonts w:ascii="Times New Roman" w:eastAsia="Times New Roman" w:hAnsi="Times New Roman" w:cs="Times New Roman"/>
          <w:sz w:val="24"/>
          <w:szCs w:val="24"/>
          <w:lang w:eastAsia="hr-HR"/>
        </w:rPr>
        <w:t xml:space="preserve">dodaje se </w:t>
      </w:r>
      <w:r w:rsidR="008A37A1" w:rsidRPr="000479E9">
        <w:rPr>
          <w:rFonts w:ascii="Times New Roman" w:eastAsia="Times New Roman" w:hAnsi="Times New Roman" w:cs="Times New Roman"/>
          <w:sz w:val="24"/>
          <w:szCs w:val="24"/>
          <w:lang w:eastAsia="hr-HR"/>
        </w:rPr>
        <w:t xml:space="preserve">novi </w:t>
      </w:r>
      <w:r w:rsidRPr="000479E9">
        <w:rPr>
          <w:rFonts w:ascii="Times New Roman" w:eastAsia="Times New Roman" w:hAnsi="Times New Roman" w:cs="Times New Roman"/>
          <w:sz w:val="24"/>
          <w:szCs w:val="24"/>
          <w:lang w:eastAsia="hr-HR"/>
        </w:rPr>
        <w:t xml:space="preserve">stavak </w:t>
      </w:r>
      <w:r w:rsidR="008A37A1"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koji glasi:</w:t>
      </w:r>
    </w:p>
    <w:p w14:paraId="62014483" w14:textId="77777777" w:rsidR="00FC7990" w:rsidRPr="000479E9" w:rsidRDefault="00FC7990" w:rsidP="4E43D754">
      <w:pPr>
        <w:spacing w:after="0" w:line="240" w:lineRule="auto"/>
        <w:jc w:val="both"/>
        <w:rPr>
          <w:rFonts w:ascii="Times New Roman" w:eastAsia="Times New Roman" w:hAnsi="Times New Roman" w:cs="Times New Roman"/>
          <w:sz w:val="24"/>
          <w:szCs w:val="24"/>
          <w:lang w:eastAsia="hr-HR"/>
        </w:rPr>
      </w:pPr>
    </w:p>
    <w:p w14:paraId="61C7C228" w14:textId="6FFFECEC" w:rsidR="0083699F" w:rsidRPr="000479E9" w:rsidRDefault="00FC7990" w:rsidP="0083699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83699F" w:rsidRPr="000479E9">
        <w:rPr>
          <w:rFonts w:ascii="Times New Roman" w:eastAsia="Times New Roman" w:hAnsi="Times New Roman" w:cs="Times New Roman"/>
          <w:sz w:val="24"/>
          <w:szCs w:val="24"/>
          <w:lang w:eastAsia="hr-HR"/>
        </w:rPr>
        <w:t>(</w:t>
      </w:r>
      <w:r w:rsidR="008A37A1" w:rsidRPr="000479E9">
        <w:rPr>
          <w:rFonts w:ascii="Times New Roman" w:eastAsia="Times New Roman" w:hAnsi="Times New Roman" w:cs="Times New Roman"/>
          <w:sz w:val="24"/>
          <w:szCs w:val="24"/>
          <w:lang w:eastAsia="hr-HR"/>
        </w:rPr>
        <w:t>6</w:t>
      </w:r>
      <w:r w:rsidR="0083699F" w:rsidRPr="000479E9">
        <w:rPr>
          <w:rFonts w:ascii="Times New Roman" w:eastAsia="Times New Roman" w:hAnsi="Times New Roman" w:cs="Times New Roman"/>
          <w:sz w:val="24"/>
          <w:szCs w:val="24"/>
          <w:lang w:eastAsia="hr-HR"/>
        </w:rPr>
        <w:t xml:space="preserve">) Burza </w:t>
      </w:r>
      <w:r w:rsidR="6393D97A" w:rsidRPr="000479E9">
        <w:rPr>
          <w:rFonts w:ascii="Times New Roman" w:eastAsia="Times New Roman" w:hAnsi="Times New Roman" w:cs="Times New Roman"/>
          <w:sz w:val="24"/>
          <w:szCs w:val="24"/>
          <w:lang w:eastAsia="hr-HR"/>
        </w:rPr>
        <w:t xml:space="preserve">je dužna objaviti </w:t>
      </w:r>
      <w:r w:rsidR="0083699F" w:rsidRPr="000479E9">
        <w:rPr>
          <w:rFonts w:ascii="Times New Roman" w:eastAsia="Times New Roman" w:hAnsi="Times New Roman" w:cs="Times New Roman"/>
          <w:sz w:val="24"/>
          <w:szCs w:val="24"/>
          <w:lang w:eastAsia="hr-HR"/>
        </w:rPr>
        <w:t>pravila iz stavka 3.</w:t>
      </w:r>
      <w:r w:rsidR="00E2627D" w:rsidRPr="000479E9">
        <w:rPr>
          <w:rFonts w:ascii="Times New Roman" w:eastAsia="Times New Roman" w:hAnsi="Times New Roman" w:cs="Times New Roman"/>
          <w:sz w:val="24"/>
          <w:szCs w:val="24"/>
          <w:lang w:eastAsia="hr-HR"/>
        </w:rPr>
        <w:t xml:space="preserve"> </w:t>
      </w:r>
      <w:r w:rsidR="4F6A6F9B" w:rsidRPr="000479E9">
        <w:rPr>
          <w:rFonts w:ascii="Times New Roman" w:eastAsia="Times New Roman" w:hAnsi="Times New Roman" w:cs="Times New Roman"/>
          <w:sz w:val="24"/>
          <w:szCs w:val="24"/>
          <w:lang w:eastAsia="hr-HR"/>
        </w:rPr>
        <w:t>ovoga članka na internetskim stanicama burze najmanje sedam dana prije početka njihove primjene i u istom roku je o njihovom donošenju ili promjeni dužna obavijestiti Agenciju i korisnike svojih usluga</w:t>
      </w:r>
      <w:r w:rsidR="0083699F"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w:t>
      </w:r>
    </w:p>
    <w:p w14:paraId="65038A1C" w14:textId="77777777" w:rsidR="0083699F" w:rsidRPr="000479E9" w:rsidRDefault="0083699F" w:rsidP="00617A00">
      <w:pPr>
        <w:spacing w:after="0" w:line="240" w:lineRule="auto"/>
        <w:jc w:val="center"/>
        <w:rPr>
          <w:rFonts w:ascii="Times New Roman" w:eastAsia="Times New Roman" w:hAnsi="Times New Roman" w:cs="Times New Roman"/>
          <w:b/>
          <w:bCs/>
          <w:sz w:val="24"/>
          <w:szCs w:val="24"/>
          <w:lang w:eastAsia="hr-HR"/>
        </w:rPr>
      </w:pPr>
    </w:p>
    <w:p w14:paraId="66978614" w14:textId="1C4A3A21"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C576F" w:rsidRPr="000479E9">
        <w:rPr>
          <w:rFonts w:ascii="Times New Roman" w:eastAsia="Times New Roman" w:hAnsi="Times New Roman" w:cs="Times New Roman"/>
          <w:b/>
          <w:bCs/>
          <w:sz w:val="24"/>
          <w:szCs w:val="24"/>
          <w:lang w:eastAsia="hr-HR"/>
        </w:rPr>
        <w:t>33</w:t>
      </w:r>
      <w:r w:rsidRPr="000479E9">
        <w:rPr>
          <w:rFonts w:ascii="Times New Roman" w:eastAsia="Times New Roman" w:hAnsi="Times New Roman" w:cs="Times New Roman"/>
          <w:b/>
          <w:bCs/>
          <w:sz w:val="24"/>
          <w:szCs w:val="24"/>
          <w:lang w:eastAsia="hr-HR"/>
        </w:rPr>
        <w:t xml:space="preserve">. </w:t>
      </w:r>
    </w:p>
    <w:p w14:paraId="5DFF8874"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430ACDB3" w14:textId="7347BED1"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306. mijenja se i glasi:</w:t>
      </w:r>
    </w:p>
    <w:p w14:paraId="1082286B"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C5542EC"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Burza je dužna donijeti cjenik u kojem mora naknade za usluge uređenog tržišta, uključujući i popuste, odrediti na transparentan, korektan i nediskriminirajući način, vodeći se razumnim komercijalnim uvjetima.</w:t>
      </w:r>
    </w:p>
    <w:p w14:paraId="1DF53E77"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46A0FE7"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Naknade za kolokacijske usluge burza mora odrediti u skladu s Delegiranom uredbom Komisije (EU) 2017/573 оd 6. lipnja 2016. o dopuni Direktive 2014/65/EU Europskog parlamenta i Vijeća o tržištu financijskih instrumenata u pogledu regulatornih tehničkih standarda o zahtjevima kojima se osiguravaju korektne i nediskriminirajuće kolokacijske usluge i strukture naknada (Tekst značajan za EGP) (SL L 87, 31.3.2017.).</w:t>
      </w:r>
    </w:p>
    <w:p w14:paraId="53F1055B"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6067583C"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Naknade iz stavaka 1. i 2. ovoga članka ne smiju stvarati poticaj za postavljanje/izlaganje, izmjenu ili otkazivanje naloga ili izvršenje transakcija na način kojim se doprinosi neurednim uvjetima trgovanja ili zlouporabi tržišta.</w:t>
      </w:r>
    </w:p>
    <w:p w14:paraId="77B0F060"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5A02995F"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Burza može prilagoditi naknade ovisno o vrsti financijskog instrumenta.</w:t>
      </w:r>
    </w:p>
    <w:p w14:paraId="30C2AD26"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46E7F438" w14:textId="77777777" w:rsidR="00A775B1"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Burza može prilagoditi naknade za povučene naloge razmjerno njihovom vremenskom trajanju na tržištu te prilagoditi naknade za svaki financijski instrument na koji se primjenjuju.</w:t>
      </w:r>
    </w:p>
    <w:p w14:paraId="6E34A8D9" w14:textId="77777777" w:rsidR="00A775B1" w:rsidRPr="000479E9" w:rsidRDefault="00A775B1" w:rsidP="001E615F">
      <w:pPr>
        <w:spacing w:after="0" w:line="240" w:lineRule="auto"/>
        <w:jc w:val="both"/>
        <w:rPr>
          <w:rFonts w:ascii="Times New Roman" w:eastAsia="Times New Roman" w:hAnsi="Times New Roman" w:cs="Times New Roman"/>
          <w:sz w:val="24"/>
          <w:szCs w:val="24"/>
          <w:lang w:eastAsia="hr-HR"/>
        </w:rPr>
      </w:pPr>
    </w:p>
    <w:p w14:paraId="37796A44" w14:textId="01B619C1" w:rsidR="001E615F" w:rsidRPr="000479E9" w:rsidRDefault="00A775B1"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w:t>
      </w:r>
      <w:r w:rsidR="001E615F" w:rsidRPr="000479E9">
        <w:rPr>
          <w:rFonts w:ascii="Times New Roman" w:eastAsia="Times New Roman" w:hAnsi="Times New Roman" w:cs="Times New Roman"/>
          <w:sz w:val="24"/>
          <w:szCs w:val="24"/>
          <w:lang w:eastAsia="hr-HR"/>
        </w:rPr>
        <w:t xml:space="preserve"> Burza može odrediti više naknade za izlaganje naloga koji se potom povlače, sudionike koji imaju veći omjer povučenih naloga od izvršenih te sudionike koji koriste tehniku visokofrekventnog algoritamskog trgovanja.</w:t>
      </w:r>
    </w:p>
    <w:p w14:paraId="47EE75EA"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1D3E04DE" w14:textId="09D50765" w:rsidR="00A775B1"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A775B1"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xml:space="preserve">) Burza objavljuje cjenik na internetskim stranicama burze i o njegovu donošenju ili promjeni obavještava Agenciju i korisnike svojih usluga najmanje sedam dana prije početka njegove primjene. </w:t>
      </w:r>
    </w:p>
    <w:p w14:paraId="13A83E76" w14:textId="77777777" w:rsidR="00A775B1" w:rsidRPr="000479E9" w:rsidRDefault="00A775B1" w:rsidP="001E615F">
      <w:pPr>
        <w:spacing w:after="0" w:line="240" w:lineRule="auto"/>
        <w:jc w:val="both"/>
        <w:rPr>
          <w:rFonts w:ascii="Times New Roman" w:eastAsia="Times New Roman" w:hAnsi="Times New Roman" w:cs="Times New Roman"/>
          <w:sz w:val="24"/>
          <w:szCs w:val="24"/>
          <w:lang w:eastAsia="hr-HR"/>
        </w:rPr>
      </w:pPr>
    </w:p>
    <w:p w14:paraId="222E693A" w14:textId="142C6B9A" w:rsidR="001E615F" w:rsidRPr="000479E9" w:rsidRDefault="00A775B1"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(8) </w:t>
      </w:r>
      <w:r w:rsidR="001E615F" w:rsidRPr="000479E9">
        <w:rPr>
          <w:rFonts w:ascii="Times New Roman" w:eastAsia="Times New Roman" w:hAnsi="Times New Roman" w:cs="Times New Roman"/>
          <w:sz w:val="24"/>
          <w:szCs w:val="24"/>
          <w:lang w:eastAsia="hr-HR"/>
        </w:rPr>
        <w:t xml:space="preserve">Burza bez odgode </w:t>
      </w:r>
      <w:r w:rsidRPr="000479E9">
        <w:rPr>
          <w:rFonts w:ascii="Times New Roman" w:eastAsia="Times New Roman" w:hAnsi="Times New Roman" w:cs="Times New Roman"/>
          <w:sz w:val="24"/>
          <w:szCs w:val="24"/>
          <w:lang w:eastAsia="hr-HR"/>
        </w:rPr>
        <w:t xml:space="preserve">obavještava </w:t>
      </w:r>
      <w:r w:rsidR="001E615F" w:rsidRPr="000479E9">
        <w:rPr>
          <w:rFonts w:ascii="Times New Roman" w:eastAsia="Times New Roman" w:hAnsi="Times New Roman" w:cs="Times New Roman"/>
          <w:sz w:val="24"/>
          <w:szCs w:val="24"/>
          <w:lang w:eastAsia="hr-HR"/>
        </w:rPr>
        <w:t>Agenciju o svakoj promjeni naknada iz stavaka 1. i 2. ovoga članka, zajedno s obrazloženjem kojim dokazuje da je promjena naknada u skladu sa zahtjevima iz ovoga članka.</w:t>
      </w:r>
    </w:p>
    <w:p w14:paraId="69879A07"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122CF515" w14:textId="765096EC"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A775B1" w:rsidRPr="000479E9">
        <w:rPr>
          <w:rFonts w:ascii="Times New Roman" w:eastAsia="Times New Roman" w:hAnsi="Times New Roman" w:cs="Times New Roman"/>
          <w:sz w:val="24"/>
          <w:szCs w:val="24"/>
          <w:lang w:eastAsia="hr-HR"/>
        </w:rPr>
        <w:t>9</w:t>
      </w:r>
      <w:r w:rsidRPr="000479E9">
        <w:rPr>
          <w:rFonts w:ascii="Times New Roman" w:eastAsia="Times New Roman" w:hAnsi="Times New Roman" w:cs="Times New Roman"/>
          <w:sz w:val="24"/>
          <w:szCs w:val="24"/>
          <w:lang w:eastAsia="hr-HR"/>
        </w:rPr>
        <w:t xml:space="preserve">) Prijedlog cjenika burze, kao i njegovih izmjena i dopuna, burza će dostaviti Agenciji najkasnije </w:t>
      </w:r>
      <w:r w:rsidR="00E31794" w:rsidRPr="000479E9">
        <w:rPr>
          <w:rFonts w:ascii="Times New Roman" w:eastAsia="Times New Roman" w:hAnsi="Times New Roman" w:cs="Times New Roman"/>
          <w:sz w:val="24"/>
          <w:szCs w:val="24"/>
          <w:lang w:eastAsia="hr-HR"/>
        </w:rPr>
        <w:t xml:space="preserve">15 </w:t>
      </w:r>
      <w:r w:rsidRPr="000479E9">
        <w:rPr>
          <w:rFonts w:ascii="Times New Roman" w:eastAsia="Times New Roman" w:hAnsi="Times New Roman" w:cs="Times New Roman"/>
          <w:sz w:val="24"/>
          <w:szCs w:val="24"/>
          <w:lang w:eastAsia="hr-HR"/>
        </w:rPr>
        <w:t>dana prije njegova usvajanja te ga u istom roku učiniti dostupnim svim korisnicima svojih usluga, a pri njegovu donošenju burza će, ako je moguće, prihvatiti primjedbe i prijedloge korisnika svojih usluga, uz obrazloženje prihvaćenih i odbijenih primjedaba i prijedloga.“.</w:t>
      </w:r>
    </w:p>
    <w:p w14:paraId="61C2E7BD" w14:textId="227045C6"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0D4137F2" w14:textId="66A4CE04"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C576F" w:rsidRPr="000479E9">
        <w:rPr>
          <w:rFonts w:ascii="Times New Roman" w:eastAsia="Times New Roman" w:hAnsi="Times New Roman" w:cs="Times New Roman"/>
          <w:b/>
          <w:bCs/>
          <w:sz w:val="24"/>
          <w:szCs w:val="24"/>
          <w:lang w:eastAsia="hr-HR"/>
        </w:rPr>
        <w:t>34</w:t>
      </w:r>
      <w:r w:rsidRPr="000479E9">
        <w:rPr>
          <w:rFonts w:ascii="Times New Roman" w:eastAsia="Times New Roman" w:hAnsi="Times New Roman" w:cs="Times New Roman"/>
          <w:b/>
          <w:bCs/>
          <w:sz w:val="24"/>
          <w:szCs w:val="24"/>
          <w:lang w:eastAsia="hr-HR"/>
        </w:rPr>
        <w:t>.</w:t>
      </w:r>
    </w:p>
    <w:p w14:paraId="1A0C032D"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59E29B08" w14:textId="108FF567" w:rsidR="001E615F" w:rsidRPr="000479E9" w:rsidRDefault="001E615F" w:rsidP="00617A00">
      <w:pPr>
        <w:spacing w:after="0" w:line="240" w:lineRule="auto"/>
        <w:jc w:val="both"/>
        <w:rPr>
          <w:rFonts w:ascii="Times New Roman" w:eastAsia="Times New Roman" w:hAnsi="Times New Roman" w:cs="Times New Roman"/>
          <w:b/>
          <w:bCs/>
          <w:iCs/>
          <w:sz w:val="24"/>
          <w:szCs w:val="24"/>
          <w:lang w:eastAsia="hr-HR"/>
        </w:rPr>
      </w:pPr>
      <w:r w:rsidRPr="000479E9">
        <w:rPr>
          <w:rFonts w:ascii="Times New Roman" w:eastAsia="Times New Roman" w:hAnsi="Times New Roman" w:cs="Times New Roman"/>
          <w:sz w:val="24"/>
          <w:szCs w:val="24"/>
          <w:lang w:eastAsia="hr-HR"/>
        </w:rPr>
        <w:lastRenderedPageBreak/>
        <w:t xml:space="preserve">Iznad članka 320. naziv </w:t>
      </w:r>
      <w:r w:rsidR="00CE3025">
        <w:rPr>
          <w:rFonts w:ascii="Times New Roman" w:eastAsia="Times New Roman" w:hAnsi="Times New Roman" w:cs="Times New Roman"/>
          <w:sz w:val="24"/>
          <w:szCs w:val="24"/>
          <w:lang w:eastAsia="hr-HR"/>
        </w:rPr>
        <w:t>POGLAVLJA IV.</w:t>
      </w:r>
      <w:r w:rsidRPr="000479E9">
        <w:rPr>
          <w:rFonts w:ascii="Times New Roman" w:eastAsia="Times New Roman" w:hAnsi="Times New Roman" w:cs="Times New Roman"/>
          <w:sz w:val="24"/>
          <w:szCs w:val="24"/>
          <w:lang w:eastAsia="hr-HR"/>
        </w:rPr>
        <w:t xml:space="preserve"> mijenja se i glasi: „</w:t>
      </w:r>
      <w:r w:rsidRPr="000479E9">
        <w:rPr>
          <w:rFonts w:ascii="Times New Roman" w:eastAsia="Times New Roman" w:hAnsi="Times New Roman" w:cs="Times New Roman"/>
          <w:bCs/>
          <w:iCs/>
          <w:sz w:val="24"/>
          <w:szCs w:val="24"/>
          <w:lang w:eastAsia="hr-HR"/>
        </w:rPr>
        <w:t>FINANCIJSKI INSTRUMENTI UVRŠTENI ZA TRGOVANJE NA UREĐENOM TRŽIŠTU“.</w:t>
      </w:r>
    </w:p>
    <w:p w14:paraId="656258E5" w14:textId="77777777" w:rsidR="001E615F" w:rsidRPr="000479E9" w:rsidRDefault="001E615F" w:rsidP="00617A00">
      <w:pPr>
        <w:spacing w:after="0" w:line="240" w:lineRule="auto"/>
        <w:jc w:val="both"/>
        <w:rPr>
          <w:rFonts w:ascii="Times New Roman" w:eastAsia="Times New Roman" w:hAnsi="Times New Roman" w:cs="Times New Roman"/>
          <w:b/>
          <w:bCs/>
          <w:iCs/>
          <w:sz w:val="24"/>
          <w:szCs w:val="24"/>
          <w:lang w:eastAsia="hr-HR"/>
        </w:rPr>
      </w:pPr>
    </w:p>
    <w:p w14:paraId="08F944FA" w14:textId="5B805AF9" w:rsidR="001E615F" w:rsidRPr="000479E9" w:rsidRDefault="001E615F" w:rsidP="00286452">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071C5C" w:rsidRPr="000479E9">
        <w:rPr>
          <w:rFonts w:ascii="Times New Roman" w:eastAsia="Times New Roman" w:hAnsi="Times New Roman" w:cs="Times New Roman"/>
          <w:b/>
          <w:sz w:val="24"/>
          <w:szCs w:val="24"/>
          <w:lang w:eastAsia="hr-HR"/>
        </w:rPr>
        <w:t>3</w:t>
      </w:r>
      <w:r w:rsidR="006C576F" w:rsidRPr="000479E9">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w:t>
      </w:r>
    </w:p>
    <w:p w14:paraId="5DD7E0FE" w14:textId="77777777" w:rsidR="001E615F" w:rsidRPr="000479E9" w:rsidRDefault="001E615F" w:rsidP="00617A00">
      <w:pPr>
        <w:spacing w:after="0" w:line="240" w:lineRule="auto"/>
        <w:jc w:val="center"/>
        <w:rPr>
          <w:rFonts w:ascii="Times New Roman" w:eastAsia="Times New Roman" w:hAnsi="Times New Roman" w:cs="Times New Roman"/>
          <w:b/>
          <w:bCs/>
          <w:iCs/>
          <w:sz w:val="24"/>
          <w:szCs w:val="24"/>
          <w:lang w:eastAsia="hr-HR"/>
        </w:rPr>
      </w:pPr>
    </w:p>
    <w:p w14:paraId="0A732EE0" w14:textId="3BF8C6DE"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320. mijenja se i glasi:</w:t>
      </w:r>
    </w:p>
    <w:p w14:paraId="7FDA02F0"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9AFC0E6"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Burza je dužna Pravilima uređenog tržišta utvrditi segmente uređenog tržišta i jasna i transparentna pravila o uvrštenju financijskih instrumenata na uređeno tržište na pojedini segment.</w:t>
      </w:r>
    </w:p>
    <w:p w14:paraId="16882062"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7F4F077F" w14:textId="6F90249A"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w:t>
      </w:r>
      <w:r w:rsidR="00C93425" w:rsidRPr="000479E9">
        <w:rPr>
          <w:rFonts w:ascii="Times New Roman" w:eastAsia="Times New Roman" w:hAnsi="Times New Roman" w:cs="Times New Roman"/>
          <w:sz w:val="24"/>
          <w:szCs w:val="24"/>
          <w:lang w:eastAsia="hr-HR"/>
        </w:rPr>
        <w:t xml:space="preserve">Burza je dužna </w:t>
      </w:r>
      <w:r w:rsidRPr="000479E9">
        <w:rPr>
          <w:rFonts w:ascii="Times New Roman" w:eastAsia="Times New Roman" w:hAnsi="Times New Roman" w:cs="Times New Roman"/>
          <w:sz w:val="24"/>
          <w:szCs w:val="24"/>
          <w:lang w:eastAsia="hr-HR"/>
        </w:rPr>
        <w:t>Pravil</w:t>
      </w:r>
      <w:r w:rsidR="00C93425" w:rsidRPr="000479E9">
        <w:rPr>
          <w:rFonts w:ascii="Times New Roman" w:eastAsia="Times New Roman" w:hAnsi="Times New Roman" w:cs="Times New Roman"/>
          <w:sz w:val="24"/>
          <w:szCs w:val="24"/>
          <w:lang w:eastAsia="hr-HR"/>
        </w:rPr>
        <w:t>ima</w:t>
      </w:r>
      <w:r w:rsidRPr="000479E9">
        <w:rPr>
          <w:rFonts w:ascii="Times New Roman" w:eastAsia="Times New Roman" w:hAnsi="Times New Roman" w:cs="Times New Roman"/>
          <w:sz w:val="24"/>
          <w:szCs w:val="24"/>
          <w:lang w:eastAsia="hr-HR"/>
        </w:rPr>
        <w:t xml:space="preserve"> iz stavka 1. ovoga članka osigurati da se svim financijskim instrumentima uvrštenim za trgovanje na uređenom tržištu može trgovati korektno, uredno i djelotvorno.</w:t>
      </w:r>
    </w:p>
    <w:p w14:paraId="15DF804F"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3A4A2334"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U slučaju izvedenica, Pravilima iz stavka 1. ovoga članka osobito se mora osigurati da su izvedeni financijski instrumenti oblikovani na način koji omogućuje uredno formiranje njihove cijene, kao i postojanje djelotvornih uvjeta namire.</w:t>
      </w:r>
    </w:p>
    <w:p w14:paraId="493546D3"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1BEAEAB1" w14:textId="0F46B2DA"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Prilikom provjere ispunjavaju li financijski instrumenti uvjete utvrđene u ovom članku, burza mora primjenjivati odredbe Delegirane uredbe Komisije (EU) 2017/568 оd 24. svibnja 2016. o dopuni Direktive 2014/65/EU Europskog parlamenta i Vijeća u pogledu regulatornih tehničkih standarda za uvrštenje financijskih instrumenata za trgovanje na uređenim tržištima (Tekst značajan za EGP)</w:t>
      </w:r>
      <w:r w:rsidR="007F58F9" w:rsidRPr="000479E9">
        <w:rPr>
          <w:rFonts w:ascii="Times New Roman" w:eastAsia="Times New Roman" w:hAnsi="Times New Roman" w:cs="Times New Roman"/>
          <w:sz w:val="24"/>
          <w:szCs w:val="24"/>
          <w:lang w:eastAsia="hr-HR"/>
        </w:rPr>
        <w:t xml:space="preserve"> (</w:t>
      </w:r>
      <w:r w:rsidR="007B4D43" w:rsidRPr="000479E9">
        <w:rPr>
          <w:rFonts w:ascii="Times New Roman" w:eastAsia="Times New Roman" w:hAnsi="Times New Roman" w:cs="Times New Roman"/>
          <w:sz w:val="24"/>
          <w:szCs w:val="24"/>
          <w:lang w:eastAsia="hr-HR"/>
        </w:rPr>
        <w:t xml:space="preserve">u </w:t>
      </w:r>
      <w:r w:rsidR="007F58F9" w:rsidRPr="000479E9">
        <w:rPr>
          <w:rFonts w:ascii="Times New Roman" w:eastAsia="Times New Roman" w:hAnsi="Times New Roman" w:cs="Times New Roman"/>
          <w:sz w:val="24"/>
          <w:szCs w:val="24"/>
          <w:lang w:eastAsia="hr-HR"/>
        </w:rPr>
        <w:t>dalj</w:t>
      </w:r>
      <w:r w:rsidR="007B4D43" w:rsidRPr="000479E9">
        <w:rPr>
          <w:rFonts w:ascii="Times New Roman" w:eastAsia="Times New Roman" w:hAnsi="Times New Roman" w:cs="Times New Roman"/>
          <w:sz w:val="24"/>
          <w:szCs w:val="24"/>
          <w:lang w:eastAsia="hr-HR"/>
        </w:rPr>
        <w:t>nj</w:t>
      </w:r>
      <w:r w:rsidR="007F58F9" w:rsidRPr="000479E9">
        <w:rPr>
          <w:rFonts w:ascii="Times New Roman" w:eastAsia="Times New Roman" w:hAnsi="Times New Roman" w:cs="Times New Roman"/>
          <w:sz w:val="24"/>
          <w:szCs w:val="24"/>
          <w:lang w:eastAsia="hr-HR"/>
        </w:rPr>
        <w:t>e</w:t>
      </w:r>
      <w:r w:rsidR="007B4D43" w:rsidRPr="000479E9">
        <w:rPr>
          <w:rFonts w:ascii="Times New Roman" w:eastAsia="Times New Roman" w:hAnsi="Times New Roman" w:cs="Times New Roman"/>
          <w:sz w:val="24"/>
          <w:szCs w:val="24"/>
          <w:lang w:eastAsia="hr-HR"/>
        </w:rPr>
        <w:t>m</w:t>
      </w:r>
      <w:r w:rsidR="007F58F9" w:rsidRPr="000479E9">
        <w:rPr>
          <w:rFonts w:ascii="Times New Roman" w:eastAsia="Times New Roman" w:hAnsi="Times New Roman" w:cs="Times New Roman"/>
          <w:sz w:val="24"/>
          <w:szCs w:val="24"/>
          <w:lang w:eastAsia="hr-HR"/>
        </w:rPr>
        <w:t xml:space="preserve"> tekstu: Delegirana uredba Komisije (EU) 2017/568)</w:t>
      </w:r>
      <w:r w:rsidRPr="000479E9">
        <w:rPr>
          <w:rFonts w:ascii="Times New Roman" w:eastAsia="Times New Roman" w:hAnsi="Times New Roman" w:cs="Times New Roman"/>
          <w:sz w:val="24"/>
          <w:szCs w:val="24"/>
          <w:lang w:eastAsia="hr-HR"/>
        </w:rPr>
        <w:t>.</w:t>
      </w:r>
    </w:p>
    <w:p w14:paraId="1E3A3A35"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3AD7B5AE"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(5) </w:t>
      </w:r>
      <w:r w:rsidRPr="000479E9">
        <w:rPr>
          <w:rFonts w:ascii="Times New Roman" w:hAnsi="Times New Roman" w:cs="Times New Roman"/>
          <w:sz w:val="24"/>
          <w:szCs w:val="24"/>
        </w:rPr>
        <w:t>Izdavatelji financijskih instrumenata uvrštenih na uređeno tržište moraju osigurati postojanje identifikacijskog broja odnosno identifikacijske oznake sukladno odredbama članka 3. Delegirane Uredbe Komisije (EU) 2017/585 оd 14. srpnja 2016. o dopuni Uredbe (EU) br. 600/2014 Europskog parlamenta i Vijeća u pogledu regulatornih tehničkih standarda za standarde i formate podataka za referentne podatke o financijskom instrumentu i tehničke mjere u odnosu na aranžmane koje trebaju uvesti Europsko nadzorno tijelo za vrijednosne papire i tržišta kapitala i nadležna tijela (Tekst značajan za EGP) (SL L 87, 31.3.2017.) (u daljnjem tekstu: Delegirana uredba (EU) br. 2017/585).“.</w:t>
      </w:r>
    </w:p>
    <w:p w14:paraId="0061B76C"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3FC64A3B" w14:textId="662EF565"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3</w:t>
      </w:r>
      <w:r w:rsidR="006C576F" w:rsidRPr="000479E9">
        <w:rPr>
          <w:rFonts w:ascii="Times New Roman" w:eastAsia="Times New Roman" w:hAnsi="Times New Roman" w:cs="Times New Roman"/>
          <w:b/>
          <w:bCs/>
          <w:sz w:val="24"/>
          <w:szCs w:val="24"/>
          <w:lang w:eastAsia="hr-HR"/>
        </w:rPr>
        <w:t>6</w:t>
      </w:r>
      <w:r w:rsidRPr="000479E9">
        <w:rPr>
          <w:rFonts w:ascii="Times New Roman" w:eastAsia="Times New Roman" w:hAnsi="Times New Roman" w:cs="Times New Roman"/>
          <w:b/>
          <w:bCs/>
          <w:sz w:val="24"/>
          <w:szCs w:val="24"/>
          <w:lang w:eastAsia="hr-HR"/>
        </w:rPr>
        <w:t>.</w:t>
      </w:r>
    </w:p>
    <w:p w14:paraId="351A826B"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7BEBB29A" w14:textId="51F1F855" w:rsidR="001E615F" w:rsidRPr="000479E9" w:rsidRDefault="001E615F" w:rsidP="00617A00">
      <w:pPr>
        <w:spacing w:after="0" w:line="240" w:lineRule="auto"/>
        <w:jc w:val="both"/>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sz w:val="24"/>
          <w:szCs w:val="24"/>
          <w:lang w:eastAsia="hr-HR"/>
        </w:rPr>
        <w:t xml:space="preserve">Naslov iznad članka 321. mijenja se i glasi: </w:t>
      </w:r>
      <w:r w:rsidRPr="000479E9">
        <w:rPr>
          <w:rFonts w:ascii="Times New Roman" w:eastAsia="Times New Roman" w:hAnsi="Times New Roman" w:cs="Times New Roman"/>
          <w:iCs/>
          <w:sz w:val="24"/>
          <w:szCs w:val="24"/>
          <w:lang w:eastAsia="hr-HR"/>
        </w:rPr>
        <w:t>„Uvjeti za uvrštenje vrijednosnih papira u trgovanje na uređenom tržištu“.</w:t>
      </w:r>
    </w:p>
    <w:p w14:paraId="1C2FB95B" w14:textId="77777777" w:rsidR="001E615F" w:rsidRPr="000479E9" w:rsidRDefault="001E615F" w:rsidP="00617A00">
      <w:pPr>
        <w:spacing w:after="0" w:line="240" w:lineRule="auto"/>
        <w:jc w:val="both"/>
        <w:rPr>
          <w:rFonts w:ascii="Times New Roman" w:eastAsia="Times New Roman" w:hAnsi="Times New Roman" w:cs="Times New Roman"/>
          <w:iCs/>
          <w:sz w:val="24"/>
          <w:szCs w:val="24"/>
          <w:lang w:eastAsia="hr-HR"/>
        </w:rPr>
      </w:pPr>
    </w:p>
    <w:p w14:paraId="6DE691D3"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321. mijenja se i glasi:</w:t>
      </w:r>
    </w:p>
    <w:p w14:paraId="41754D9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C2DFF68" w14:textId="795293B8"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Vrijednosni papiri koji se uvrštavaju za trgovanje na uređenom tržištu, osim uvjeta iz članka 320. ovog</w:t>
      </w:r>
      <w:r w:rsidR="00592A89"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Zakona, moraju ispunjavati sljedeće uvjete:</w:t>
      </w:r>
    </w:p>
    <w:p w14:paraId="1BAC0E0D"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32A3D753"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vrijednosni papiri moraju biti izdani u skladu s propisima koji se na njih odnose i slobodno prenosivi</w:t>
      </w:r>
    </w:p>
    <w:p w14:paraId="52885362" w14:textId="4AD0ABDF"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2F3B456"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pravni položaj izdavatelja vrijednosnog papira u smislu njegovog osnivanja i ustroja mora biti u skladu s propisima Republike Hrvatske ili države sjedišta izdavatelja</w:t>
      </w:r>
    </w:p>
    <w:p w14:paraId="6A5A29FF" w14:textId="425E5F6E"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00A04EA" w14:textId="397FDB80"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izdavatelj odnosno podnositelj zahtjeva za uvrštenje u trgovanje na uređenom tržištu je ispunio obveze iz Dijela trećeg ovoga Zakona</w:t>
      </w:r>
    </w:p>
    <w:p w14:paraId="3B6B405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C90912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vrijednosni papiri ispunjavaju uvjete za učinkovitu namiru transakcija.</w:t>
      </w:r>
    </w:p>
    <w:p w14:paraId="711CE0C0"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BE71B4F" w14:textId="7AF5893C"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Burza </w:t>
      </w:r>
      <w:bookmarkStart w:id="5" w:name="_Hlk224032253"/>
      <w:r w:rsidRPr="000479E9">
        <w:rPr>
          <w:rFonts w:ascii="Times New Roman" w:eastAsia="Times New Roman" w:hAnsi="Times New Roman" w:cs="Times New Roman"/>
          <w:sz w:val="24"/>
          <w:szCs w:val="24"/>
          <w:lang w:eastAsia="hr-HR"/>
        </w:rPr>
        <w:t xml:space="preserve">mora uspostaviti i primjenjivati djelotvorne mjere za provjeru ispunjavaju li izdavatelji vrijednosnih papira koji su uvršteni za trgovanje na </w:t>
      </w:r>
      <w:r w:rsidR="00CE564A" w:rsidRPr="000479E9">
        <w:rPr>
          <w:rFonts w:ascii="Times New Roman" w:eastAsia="Times New Roman" w:hAnsi="Times New Roman" w:cs="Times New Roman"/>
          <w:sz w:val="24"/>
          <w:szCs w:val="24"/>
          <w:lang w:eastAsia="hr-HR"/>
        </w:rPr>
        <w:t xml:space="preserve">uređenom </w:t>
      </w:r>
      <w:r w:rsidRPr="000479E9">
        <w:rPr>
          <w:rFonts w:ascii="Times New Roman" w:eastAsia="Times New Roman" w:hAnsi="Times New Roman" w:cs="Times New Roman"/>
          <w:sz w:val="24"/>
          <w:szCs w:val="24"/>
          <w:lang w:eastAsia="hr-HR"/>
        </w:rPr>
        <w:t>tržištu obveze prema pravu Europske unije u vezi s početnim, stalnim ili ad hoc obvezama objavljivanja.</w:t>
      </w:r>
    </w:p>
    <w:bookmarkEnd w:id="5"/>
    <w:p w14:paraId="6C0FA5C0" w14:textId="70057CBC"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F56A0ED" w14:textId="4B5F9B43"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Burza mora omogućiti članovima uređenog tržišta pristup podacima iz stavka 2. ovoga članka koji su javno objavljeni sukladno pravu Europske unije</w:t>
      </w:r>
      <w:r w:rsidR="005839D9" w:rsidRPr="000479E9">
        <w:rPr>
          <w:rFonts w:ascii="Times New Roman" w:eastAsia="Times New Roman" w:hAnsi="Times New Roman" w:cs="Times New Roman"/>
          <w:sz w:val="24"/>
          <w:szCs w:val="24"/>
          <w:lang w:eastAsia="hr-HR"/>
        </w:rPr>
        <w:t xml:space="preserve"> u vezi s početnim, stalnim ili ad hoc obvezama objavljivanja</w:t>
      </w:r>
      <w:r w:rsidRPr="000479E9">
        <w:rPr>
          <w:rFonts w:ascii="Times New Roman" w:eastAsia="Times New Roman" w:hAnsi="Times New Roman" w:cs="Times New Roman"/>
          <w:sz w:val="24"/>
          <w:szCs w:val="24"/>
          <w:lang w:eastAsia="hr-HR"/>
        </w:rPr>
        <w:t>.“.</w:t>
      </w:r>
    </w:p>
    <w:p w14:paraId="2968666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52D9A78" w14:textId="328915F5"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3</w:t>
      </w:r>
      <w:r w:rsidR="006C576F" w:rsidRPr="000479E9">
        <w:rPr>
          <w:rFonts w:ascii="Times New Roman" w:eastAsia="Times New Roman" w:hAnsi="Times New Roman" w:cs="Times New Roman"/>
          <w:b/>
          <w:bCs/>
          <w:sz w:val="24"/>
          <w:szCs w:val="24"/>
          <w:lang w:eastAsia="hr-HR"/>
        </w:rPr>
        <w:t>7</w:t>
      </w:r>
      <w:r w:rsidRPr="000479E9">
        <w:rPr>
          <w:rFonts w:ascii="Times New Roman" w:eastAsia="Times New Roman" w:hAnsi="Times New Roman" w:cs="Times New Roman"/>
          <w:b/>
          <w:bCs/>
          <w:sz w:val="24"/>
          <w:szCs w:val="24"/>
          <w:lang w:eastAsia="hr-HR"/>
        </w:rPr>
        <w:t>.</w:t>
      </w:r>
    </w:p>
    <w:p w14:paraId="618BBCA4"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3B02647F" w14:textId="620F8432" w:rsidR="006C576F" w:rsidRPr="000479E9" w:rsidRDefault="006C576F" w:rsidP="00570132">
      <w:pPr>
        <w:spacing w:beforeLines="30" w:before="72" w:afterLines="30" w:after="72"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322. mijenja se i glasi: </w:t>
      </w:r>
    </w:p>
    <w:p w14:paraId="084F50BA" w14:textId="77777777" w:rsidR="006C576F" w:rsidRPr="000479E9" w:rsidRDefault="006C576F" w:rsidP="00570132">
      <w:pPr>
        <w:spacing w:beforeLines="30" w:before="72" w:afterLines="30" w:after="72" w:line="240" w:lineRule="auto"/>
        <w:jc w:val="both"/>
      </w:pPr>
    </w:p>
    <w:p w14:paraId="65D61D8C" w14:textId="21567E11" w:rsidR="006C576F" w:rsidRPr="000479E9" w:rsidRDefault="006C576F" w:rsidP="00B60A75">
      <w:pPr>
        <w:spacing w:beforeLines="30" w:before="72" w:afterLines="30" w:after="72" w:line="240" w:lineRule="auto"/>
        <w:jc w:val="both"/>
      </w:pPr>
      <w:r w:rsidRPr="000479E9">
        <w:rPr>
          <w:rFonts w:ascii="Times New Roman" w:eastAsia="Times New Roman" w:hAnsi="Times New Roman" w:cs="Times New Roman"/>
          <w:sz w:val="24"/>
          <w:szCs w:val="24"/>
          <w:lang w:eastAsia="hr-HR"/>
        </w:rPr>
        <w:t>„(1) Za uvrštenje financijskih instrumenata na uređeno tržište potrebno je odobrenje burze.</w:t>
      </w:r>
    </w:p>
    <w:p w14:paraId="623873A7" w14:textId="77777777" w:rsidR="006C576F" w:rsidRPr="000479E9" w:rsidRDefault="006C576F">
      <w:pPr>
        <w:spacing w:beforeLines="30" w:before="72" w:afterLines="30" w:after="72" w:line="240" w:lineRule="auto"/>
        <w:jc w:val="both"/>
      </w:pPr>
      <w:r w:rsidRPr="000479E9">
        <w:rPr>
          <w:rFonts w:ascii="Times New Roman" w:eastAsia="Times New Roman" w:hAnsi="Times New Roman" w:cs="Times New Roman"/>
          <w:sz w:val="24"/>
          <w:szCs w:val="24"/>
          <w:lang w:eastAsia="hr-HR"/>
        </w:rPr>
        <w:t>(2) Burza odlučuje o zahtjevu za uvrštenje financijskih instrumenata na uređeno tržište u skladu s člankom 330. ovoga Zakona.</w:t>
      </w:r>
    </w:p>
    <w:p w14:paraId="2AB9A7CF" w14:textId="1325AA5B" w:rsidR="006C576F" w:rsidRPr="000479E9" w:rsidRDefault="006C576F">
      <w:pPr>
        <w:spacing w:beforeLines="30" w:before="72" w:afterLines="30" w:after="72" w:line="240" w:lineRule="auto"/>
        <w:jc w:val="both"/>
      </w:pPr>
      <w:r w:rsidRPr="000479E9">
        <w:rPr>
          <w:rFonts w:ascii="Times New Roman" w:eastAsia="Times New Roman" w:hAnsi="Times New Roman" w:cs="Times New Roman"/>
          <w:sz w:val="24"/>
          <w:szCs w:val="24"/>
          <w:lang w:eastAsia="hr-HR"/>
        </w:rPr>
        <w:t>(3) Burza će odobriti uvrštenje financijskih instrumenata na uređeno tržište ako su ispunjeni uvjeti propisani člancima 320., 321. i 328. ovoga Zakona.“.</w:t>
      </w:r>
    </w:p>
    <w:p w14:paraId="14BDCFA1" w14:textId="34AEC3A3" w:rsidR="00CE564A" w:rsidRPr="000479E9" w:rsidRDefault="00CE564A" w:rsidP="00617A00">
      <w:pPr>
        <w:spacing w:after="0" w:line="240" w:lineRule="auto"/>
        <w:jc w:val="both"/>
        <w:rPr>
          <w:rFonts w:ascii="Times New Roman" w:eastAsia="Times New Roman" w:hAnsi="Times New Roman" w:cs="Times New Roman"/>
          <w:sz w:val="24"/>
          <w:szCs w:val="24"/>
          <w:lang w:eastAsia="hr-HR"/>
        </w:rPr>
      </w:pPr>
    </w:p>
    <w:p w14:paraId="7E2A996A" w14:textId="13E14846"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3</w:t>
      </w:r>
      <w:r w:rsidR="00CB2545" w:rsidRPr="000479E9">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w:t>
      </w:r>
    </w:p>
    <w:p w14:paraId="434C637B"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649135C8" w14:textId="59CE4B72" w:rsidR="001E615F" w:rsidRPr="000479E9" w:rsidRDefault="00550964"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Naslov iznad </w:t>
      </w:r>
      <w:r w:rsidR="00DE0FC0" w:rsidRPr="000479E9">
        <w:rPr>
          <w:rFonts w:ascii="Times New Roman" w:eastAsia="Times New Roman" w:hAnsi="Times New Roman" w:cs="Times New Roman"/>
          <w:sz w:val="24"/>
          <w:szCs w:val="24"/>
          <w:lang w:eastAsia="hr-HR"/>
        </w:rPr>
        <w:t>č</w:t>
      </w:r>
      <w:r w:rsidR="001E615F" w:rsidRPr="000479E9">
        <w:rPr>
          <w:rFonts w:ascii="Times New Roman" w:eastAsia="Times New Roman" w:hAnsi="Times New Roman" w:cs="Times New Roman"/>
          <w:sz w:val="24"/>
          <w:szCs w:val="24"/>
          <w:lang w:eastAsia="hr-HR"/>
        </w:rPr>
        <w:t>lank</w:t>
      </w:r>
      <w:r w:rsidR="00DB1B66" w:rsidRPr="000479E9">
        <w:rPr>
          <w:rFonts w:ascii="Times New Roman" w:eastAsia="Times New Roman" w:hAnsi="Times New Roman" w:cs="Times New Roman"/>
          <w:sz w:val="24"/>
          <w:szCs w:val="24"/>
          <w:lang w:eastAsia="hr-HR"/>
        </w:rPr>
        <w:t>a</w:t>
      </w:r>
      <w:r w:rsidR="001E615F" w:rsidRPr="000479E9">
        <w:rPr>
          <w:rFonts w:ascii="Times New Roman" w:eastAsia="Times New Roman" w:hAnsi="Times New Roman" w:cs="Times New Roman"/>
          <w:sz w:val="24"/>
          <w:szCs w:val="24"/>
          <w:lang w:eastAsia="hr-HR"/>
        </w:rPr>
        <w:t xml:space="preserve"> 323. </w:t>
      </w:r>
      <w:r w:rsidRPr="000479E9">
        <w:rPr>
          <w:rFonts w:ascii="Times New Roman" w:eastAsia="Times New Roman" w:hAnsi="Times New Roman" w:cs="Times New Roman"/>
          <w:sz w:val="24"/>
          <w:szCs w:val="24"/>
          <w:lang w:eastAsia="hr-HR"/>
        </w:rPr>
        <w:t>i član</w:t>
      </w:r>
      <w:r w:rsidR="00DB1B66"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k 323. </w:t>
      </w:r>
      <w:r w:rsidR="001E615F" w:rsidRPr="000479E9">
        <w:rPr>
          <w:rFonts w:ascii="Times New Roman" w:eastAsia="Times New Roman" w:hAnsi="Times New Roman" w:cs="Times New Roman"/>
          <w:sz w:val="24"/>
          <w:szCs w:val="24"/>
          <w:lang w:eastAsia="hr-HR"/>
        </w:rPr>
        <w:t>briše se.</w:t>
      </w:r>
    </w:p>
    <w:p w14:paraId="11A0323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9B38840" w14:textId="50B05B4A"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3</w:t>
      </w:r>
      <w:r w:rsidR="00CB2545" w:rsidRPr="000479E9">
        <w:rPr>
          <w:rFonts w:ascii="Times New Roman" w:eastAsia="Times New Roman" w:hAnsi="Times New Roman" w:cs="Times New Roman"/>
          <w:b/>
          <w:bCs/>
          <w:sz w:val="24"/>
          <w:szCs w:val="24"/>
          <w:lang w:eastAsia="hr-HR"/>
        </w:rPr>
        <w:t>9</w:t>
      </w:r>
      <w:r w:rsidRPr="000479E9">
        <w:rPr>
          <w:rFonts w:ascii="Times New Roman" w:eastAsia="Times New Roman" w:hAnsi="Times New Roman" w:cs="Times New Roman"/>
          <w:b/>
          <w:bCs/>
          <w:sz w:val="24"/>
          <w:szCs w:val="24"/>
          <w:lang w:eastAsia="hr-HR"/>
        </w:rPr>
        <w:t>.</w:t>
      </w:r>
    </w:p>
    <w:p w14:paraId="077EED66"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B6615FB" w14:textId="37642275" w:rsidR="001E615F" w:rsidRPr="000479E9" w:rsidRDefault="00550964"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w:t>
      </w:r>
      <w:r w:rsidR="003F2EA5" w:rsidRPr="000479E9">
        <w:rPr>
          <w:rFonts w:ascii="Times New Roman" w:eastAsia="Times New Roman" w:hAnsi="Times New Roman" w:cs="Times New Roman"/>
          <w:sz w:val="24"/>
          <w:szCs w:val="24"/>
          <w:lang w:eastAsia="hr-HR"/>
        </w:rPr>
        <w:t>i</w:t>
      </w:r>
      <w:r w:rsidRPr="000479E9">
        <w:rPr>
          <w:rFonts w:ascii="Times New Roman" w:eastAsia="Times New Roman" w:hAnsi="Times New Roman" w:cs="Times New Roman"/>
          <w:sz w:val="24"/>
          <w:szCs w:val="24"/>
          <w:lang w:eastAsia="hr-HR"/>
        </w:rPr>
        <w:t xml:space="preserve"> iznad član</w:t>
      </w:r>
      <w:r w:rsidR="00313F82"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ka i č</w:t>
      </w:r>
      <w:r w:rsidR="001E615F" w:rsidRPr="000479E9">
        <w:rPr>
          <w:rFonts w:ascii="Times New Roman" w:eastAsia="Times New Roman" w:hAnsi="Times New Roman" w:cs="Times New Roman"/>
          <w:sz w:val="24"/>
          <w:szCs w:val="24"/>
          <w:lang w:eastAsia="hr-HR"/>
        </w:rPr>
        <w:t xml:space="preserve">lanci </w:t>
      </w:r>
      <w:r w:rsidR="00CB2545" w:rsidRPr="000479E9">
        <w:rPr>
          <w:rFonts w:ascii="Times New Roman" w:eastAsia="Times New Roman" w:hAnsi="Times New Roman" w:cs="Times New Roman"/>
          <w:sz w:val="24"/>
          <w:szCs w:val="24"/>
          <w:lang w:eastAsia="hr-HR"/>
        </w:rPr>
        <w:t xml:space="preserve">324., </w:t>
      </w:r>
      <w:r w:rsidR="001E615F" w:rsidRPr="000479E9">
        <w:rPr>
          <w:rFonts w:ascii="Times New Roman" w:eastAsia="Times New Roman" w:hAnsi="Times New Roman" w:cs="Times New Roman"/>
          <w:sz w:val="24"/>
          <w:szCs w:val="24"/>
          <w:lang w:eastAsia="hr-HR"/>
        </w:rPr>
        <w:t>325.</w:t>
      </w:r>
      <w:r w:rsidR="00242D72" w:rsidRPr="000479E9">
        <w:rPr>
          <w:rFonts w:ascii="Times New Roman" w:eastAsia="Times New Roman" w:hAnsi="Times New Roman" w:cs="Times New Roman"/>
          <w:sz w:val="24"/>
          <w:szCs w:val="24"/>
          <w:lang w:eastAsia="hr-HR"/>
        </w:rPr>
        <w:t>, 326. i</w:t>
      </w:r>
      <w:r w:rsidR="001E615F" w:rsidRPr="000479E9">
        <w:rPr>
          <w:rFonts w:ascii="Times New Roman" w:eastAsia="Times New Roman" w:hAnsi="Times New Roman" w:cs="Times New Roman"/>
          <w:sz w:val="24"/>
          <w:szCs w:val="24"/>
          <w:lang w:eastAsia="hr-HR"/>
        </w:rPr>
        <w:t xml:space="preserve"> 327. brišu se.</w:t>
      </w:r>
    </w:p>
    <w:p w14:paraId="0666134E"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4FF5801" w14:textId="7493FD31"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CB2545" w:rsidRPr="000479E9">
        <w:rPr>
          <w:rFonts w:ascii="Times New Roman" w:eastAsia="Times New Roman" w:hAnsi="Times New Roman" w:cs="Times New Roman"/>
          <w:b/>
          <w:bCs/>
          <w:sz w:val="24"/>
          <w:szCs w:val="24"/>
          <w:lang w:eastAsia="hr-HR"/>
        </w:rPr>
        <w:t>40</w:t>
      </w:r>
      <w:r w:rsidRPr="000479E9">
        <w:rPr>
          <w:rFonts w:ascii="Times New Roman" w:eastAsia="Times New Roman" w:hAnsi="Times New Roman" w:cs="Times New Roman"/>
          <w:b/>
          <w:bCs/>
          <w:sz w:val="24"/>
          <w:szCs w:val="24"/>
          <w:lang w:eastAsia="hr-HR"/>
        </w:rPr>
        <w:t>.</w:t>
      </w:r>
    </w:p>
    <w:p w14:paraId="22DFC87A" w14:textId="77777777" w:rsidR="001E615F" w:rsidRPr="000479E9" w:rsidRDefault="001E615F" w:rsidP="00617A00">
      <w:pPr>
        <w:spacing w:after="0" w:line="240" w:lineRule="auto"/>
        <w:jc w:val="both"/>
        <w:rPr>
          <w:rFonts w:ascii="Times New Roman" w:eastAsia="Times New Roman" w:hAnsi="Times New Roman" w:cs="Times New Roman"/>
          <w:b/>
          <w:bCs/>
          <w:sz w:val="24"/>
          <w:szCs w:val="24"/>
          <w:lang w:eastAsia="hr-HR"/>
        </w:rPr>
      </w:pPr>
    </w:p>
    <w:p w14:paraId="7E1AA6F1" w14:textId="61C374A0"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Iznad članka 328. oznaka i naziv odjeljka 2. brišu se.</w:t>
      </w:r>
    </w:p>
    <w:p w14:paraId="5F83555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C6E2374" w14:textId="043C2C86"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lastRenderedPageBreak/>
        <w:t xml:space="preserve">Članak </w:t>
      </w:r>
      <w:r w:rsidR="00CB2545" w:rsidRPr="000479E9">
        <w:rPr>
          <w:rFonts w:ascii="Times New Roman" w:eastAsia="Times New Roman" w:hAnsi="Times New Roman" w:cs="Times New Roman"/>
          <w:b/>
          <w:bCs/>
          <w:sz w:val="24"/>
          <w:szCs w:val="24"/>
          <w:lang w:eastAsia="hr-HR"/>
        </w:rPr>
        <w:t>41</w:t>
      </w:r>
      <w:r w:rsidRPr="000479E9">
        <w:rPr>
          <w:rFonts w:ascii="Times New Roman" w:eastAsia="Times New Roman" w:hAnsi="Times New Roman" w:cs="Times New Roman"/>
          <w:b/>
          <w:bCs/>
          <w:sz w:val="24"/>
          <w:szCs w:val="24"/>
          <w:lang w:eastAsia="hr-HR"/>
        </w:rPr>
        <w:t>.</w:t>
      </w:r>
    </w:p>
    <w:p w14:paraId="3852F71A"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7BE64DA7" w14:textId="5531FA4B" w:rsidR="001E615F" w:rsidRPr="000479E9" w:rsidRDefault="001E615F" w:rsidP="00AD744C">
      <w:pPr>
        <w:spacing w:after="0" w:line="240" w:lineRule="auto"/>
        <w:jc w:val="both"/>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sz w:val="24"/>
          <w:szCs w:val="24"/>
          <w:lang w:eastAsia="hr-HR"/>
        </w:rPr>
        <w:t>Naslov iznad članka 328. mijenja se i glas</w:t>
      </w:r>
      <w:r w:rsidR="00BA599C" w:rsidRPr="000479E9">
        <w:rPr>
          <w:rFonts w:ascii="Times New Roman" w:eastAsia="Times New Roman" w:hAnsi="Times New Roman" w:cs="Times New Roman"/>
          <w:sz w:val="24"/>
          <w:szCs w:val="24"/>
          <w:lang w:eastAsia="hr-HR"/>
        </w:rPr>
        <w:t>i</w:t>
      </w:r>
      <w:r w:rsidRPr="000479E9">
        <w:rPr>
          <w:rFonts w:ascii="Times New Roman" w:eastAsia="Times New Roman" w:hAnsi="Times New Roman" w:cs="Times New Roman"/>
          <w:sz w:val="24"/>
          <w:szCs w:val="24"/>
          <w:lang w:eastAsia="hr-HR"/>
        </w:rPr>
        <w:t>:</w:t>
      </w:r>
      <w:r w:rsidR="00BA599C"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iCs/>
          <w:sz w:val="24"/>
          <w:szCs w:val="24"/>
          <w:lang w:eastAsia="hr-HR"/>
        </w:rPr>
        <w:t>Uvjeti za uvrštenje dionica u trgovanje na uređenom tržištu</w:t>
      </w:r>
      <w:r w:rsidR="00BA599C" w:rsidRPr="000479E9">
        <w:rPr>
          <w:rFonts w:ascii="Times New Roman" w:eastAsia="Times New Roman" w:hAnsi="Times New Roman" w:cs="Times New Roman"/>
          <w:iCs/>
          <w:sz w:val="24"/>
          <w:szCs w:val="24"/>
          <w:lang w:eastAsia="hr-HR"/>
        </w:rPr>
        <w:t>“.</w:t>
      </w:r>
    </w:p>
    <w:p w14:paraId="7C642F6A" w14:textId="77777777" w:rsidR="00BA599C" w:rsidRPr="000479E9" w:rsidRDefault="00BA599C" w:rsidP="00AD744C">
      <w:pPr>
        <w:spacing w:after="0" w:line="240" w:lineRule="auto"/>
        <w:jc w:val="both"/>
        <w:rPr>
          <w:rFonts w:ascii="Times New Roman" w:eastAsia="Times New Roman" w:hAnsi="Times New Roman" w:cs="Times New Roman"/>
          <w:iCs/>
          <w:sz w:val="24"/>
          <w:szCs w:val="24"/>
          <w:lang w:eastAsia="hr-HR"/>
        </w:rPr>
      </w:pPr>
    </w:p>
    <w:p w14:paraId="4D3DEFE9" w14:textId="12F35491" w:rsidR="001E615F" w:rsidRPr="000479E9" w:rsidRDefault="001E615F" w:rsidP="00AD744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328.</w:t>
      </w:r>
      <w:r w:rsidR="00BA599C" w:rsidRPr="000479E9">
        <w:rPr>
          <w:rFonts w:ascii="Times New Roman" w:eastAsia="Times New Roman" w:hAnsi="Times New Roman" w:cs="Times New Roman"/>
          <w:sz w:val="24"/>
          <w:szCs w:val="24"/>
          <w:lang w:eastAsia="hr-HR"/>
        </w:rPr>
        <w:t xml:space="preserve"> mijenja se i glasi:</w:t>
      </w:r>
    </w:p>
    <w:p w14:paraId="5C299B61" w14:textId="77777777" w:rsidR="001E615F" w:rsidRPr="000479E9" w:rsidRDefault="001E615F" w:rsidP="001E615F">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433ABAFE" w14:textId="4CF756E8" w:rsidR="001E615F" w:rsidRPr="000479E9" w:rsidRDefault="00BA599C"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1E615F" w:rsidRPr="000479E9">
        <w:rPr>
          <w:rFonts w:ascii="Times New Roman" w:eastAsia="Times New Roman" w:hAnsi="Times New Roman" w:cs="Times New Roman"/>
          <w:sz w:val="24"/>
          <w:szCs w:val="24"/>
          <w:lang w:eastAsia="hr-HR"/>
        </w:rPr>
        <w:t>(1) Očekivana tržišna kapitalizacija dionica za koje je podnesen zahtjev za uvrštenje u trgovanje, ili, ako se to ne može procijeniti, kapital i rezerve društva, uključujući dobit i gubitak iz prethodne financijske godine, iznose najmanje 1.000.000,00 eura.</w:t>
      </w:r>
    </w:p>
    <w:p w14:paraId="3F248B8C"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780A5B90"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Uvjeti iz stavka 1. ovoga članka ne primjenjuju se na uvrštenje u trgovanje dionica koje su zamjenjive s dionicama koje su već uvrštene za trgovanje.</w:t>
      </w:r>
    </w:p>
    <w:p w14:paraId="40679E1F"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229DA02"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Javnosti mora biti distribuirano najmanje 10 % upisanog kapitala koji predstavlja razred dionica na koje se odnosi zahtjev za uvrštenje za trgovanje.</w:t>
      </w:r>
    </w:p>
    <w:p w14:paraId="7A9D7B41"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068E6879"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je postotak dionica distribuiran javnosti manji od 10 % upisanog kapitala, zahtjev za uvrštenje u trgovanje može biti odobren samo ako uređeno tržište smatra da je ispunjen barem jedan od ovih uvjeta:</w:t>
      </w:r>
    </w:p>
    <w:p w14:paraId="204AA72D"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dostatan broj dionica u vlasništvu je javnosti</w:t>
      </w:r>
    </w:p>
    <w:p w14:paraId="6AFC2C2E"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dionice su u vlasništvu dovoljnog broja dioničara</w:t>
      </w:r>
    </w:p>
    <w:p w14:paraId="6737E1CF"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tržišna vrijednost dionica u vlasništvu javnosti predstavlja dovoljnu razinu upisanog kapitala u dotičnom razredu dionica.</w:t>
      </w:r>
    </w:p>
    <w:p w14:paraId="65DEC133"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7CF619C1" w14:textId="1384CA27" w:rsidR="00CB2545"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Ako se uvrštenje za trgovanje traži za dionice koje su zamjenjive s dionicama koje su već uvrštene za trgovanje, uređena tržišta dužna su radi ispunjenja zahtjeva iz stavka 3.</w:t>
      </w:r>
      <w:r w:rsidR="002C641F" w:rsidRPr="000479E9">
        <w:rPr>
          <w:rFonts w:ascii="Times New Roman" w:eastAsia="Times New Roman" w:hAnsi="Times New Roman" w:cs="Times New Roman"/>
          <w:sz w:val="24"/>
          <w:szCs w:val="24"/>
          <w:lang w:eastAsia="hr-HR"/>
        </w:rPr>
        <w:t xml:space="preserve"> ovoga članka</w:t>
      </w:r>
      <w:r w:rsidRPr="000479E9">
        <w:rPr>
          <w:rFonts w:ascii="Times New Roman" w:eastAsia="Times New Roman" w:hAnsi="Times New Roman" w:cs="Times New Roman"/>
          <w:sz w:val="24"/>
          <w:szCs w:val="24"/>
          <w:lang w:eastAsia="hr-HR"/>
        </w:rPr>
        <w:t xml:space="preserve"> utvrditi je li javnosti distribuiran dovoljan broj dionica u odnosu na sve izdane dionice, a ne samo na dionice koje su zamjenjive s dionicama koje su već uvrštene za trgovanje.</w:t>
      </w:r>
      <w:r w:rsidR="00CB2545" w:rsidRPr="000479E9">
        <w:rPr>
          <w:rFonts w:ascii="Times New Roman" w:eastAsia="Times New Roman" w:hAnsi="Times New Roman" w:cs="Times New Roman"/>
          <w:sz w:val="24"/>
          <w:szCs w:val="24"/>
          <w:lang w:eastAsia="hr-HR"/>
        </w:rPr>
        <w:t>“.</w:t>
      </w:r>
    </w:p>
    <w:p w14:paraId="1E0C803B" w14:textId="5E36884F" w:rsidR="00242D72" w:rsidRPr="000479E9" w:rsidRDefault="00242D72"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5018814A" w14:textId="39050E84" w:rsidR="00242D72" w:rsidRPr="000479E9" w:rsidRDefault="00242D72" w:rsidP="00242D72">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B373BA" w:rsidRPr="000479E9">
        <w:rPr>
          <w:rFonts w:ascii="Times New Roman" w:eastAsia="Times New Roman" w:hAnsi="Times New Roman" w:cs="Times New Roman"/>
          <w:b/>
          <w:bCs/>
          <w:sz w:val="24"/>
          <w:szCs w:val="24"/>
          <w:lang w:eastAsia="hr-HR"/>
        </w:rPr>
        <w:t>42</w:t>
      </w:r>
      <w:r w:rsidRPr="000479E9">
        <w:rPr>
          <w:rFonts w:ascii="Times New Roman" w:eastAsia="Times New Roman" w:hAnsi="Times New Roman" w:cs="Times New Roman"/>
          <w:b/>
          <w:bCs/>
          <w:sz w:val="24"/>
          <w:szCs w:val="24"/>
          <w:lang w:eastAsia="hr-HR"/>
        </w:rPr>
        <w:t>.</w:t>
      </w:r>
    </w:p>
    <w:p w14:paraId="5724DC1B" w14:textId="77777777" w:rsidR="00242D72" w:rsidRPr="000479E9" w:rsidRDefault="00242D72" w:rsidP="00242D72">
      <w:pPr>
        <w:spacing w:after="0" w:line="240" w:lineRule="auto"/>
        <w:jc w:val="center"/>
        <w:rPr>
          <w:rFonts w:ascii="Times New Roman" w:eastAsia="Times New Roman" w:hAnsi="Times New Roman" w:cs="Times New Roman"/>
          <w:b/>
          <w:bCs/>
          <w:sz w:val="24"/>
          <w:szCs w:val="24"/>
          <w:lang w:eastAsia="hr-HR"/>
        </w:rPr>
      </w:pPr>
    </w:p>
    <w:p w14:paraId="21043EF4" w14:textId="679D323E" w:rsidR="009E7C33" w:rsidRPr="000479E9" w:rsidRDefault="00242D72" w:rsidP="00242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w:t>
      </w:r>
      <w:r w:rsidR="009E7C33" w:rsidRPr="000479E9">
        <w:rPr>
          <w:rFonts w:ascii="Times New Roman" w:eastAsia="Times New Roman" w:hAnsi="Times New Roman" w:cs="Times New Roman"/>
          <w:sz w:val="24"/>
          <w:szCs w:val="24"/>
          <w:lang w:eastAsia="hr-HR"/>
        </w:rPr>
        <w:t>ka 329. mijenja se i glasi:</w:t>
      </w:r>
      <w:r w:rsidR="00C412CC" w:rsidRPr="000479E9">
        <w:rPr>
          <w:rFonts w:ascii="Times New Roman" w:eastAsia="Times New Roman" w:hAnsi="Times New Roman" w:cs="Times New Roman"/>
          <w:sz w:val="24"/>
          <w:szCs w:val="24"/>
          <w:lang w:eastAsia="hr-HR"/>
        </w:rPr>
        <w:t xml:space="preserve"> „Podnositelj zahtjeva za uvrštenje vrijednosnih papira u trgovanje na uređenom tržištu“.</w:t>
      </w:r>
    </w:p>
    <w:p w14:paraId="2DD20763" w14:textId="77777777" w:rsidR="009E7C33" w:rsidRPr="000479E9" w:rsidRDefault="009E7C33" w:rsidP="00242D72">
      <w:pPr>
        <w:spacing w:after="0" w:line="240" w:lineRule="auto"/>
        <w:jc w:val="both"/>
        <w:rPr>
          <w:rFonts w:ascii="Times New Roman" w:eastAsia="Times New Roman" w:hAnsi="Times New Roman" w:cs="Times New Roman"/>
          <w:sz w:val="24"/>
          <w:szCs w:val="24"/>
          <w:lang w:eastAsia="hr-HR"/>
        </w:rPr>
      </w:pPr>
    </w:p>
    <w:p w14:paraId="7EBEB1D4" w14:textId="0C663FFB" w:rsidR="001E615F" w:rsidRPr="000479E9" w:rsidRDefault="009E7C33" w:rsidP="00A8558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w:t>
      </w:r>
      <w:r w:rsidR="00242D72" w:rsidRPr="000479E9">
        <w:rPr>
          <w:rFonts w:ascii="Times New Roman" w:eastAsia="Times New Roman" w:hAnsi="Times New Roman" w:cs="Times New Roman"/>
          <w:sz w:val="24"/>
          <w:szCs w:val="24"/>
          <w:lang w:eastAsia="hr-HR"/>
        </w:rPr>
        <w:t>329. mijenja se i glasi:</w:t>
      </w:r>
    </w:p>
    <w:p w14:paraId="4C1B7904" w14:textId="77777777" w:rsidR="00C412CC" w:rsidRPr="000479E9" w:rsidRDefault="00C412CC"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27E1BEE" w14:textId="00EFF365" w:rsidR="001E615F" w:rsidRPr="000479E9" w:rsidRDefault="00C412CC"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1E615F" w:rsidRPr="000479E9">
        <w:rPr>
          <w:rFonts w:ascii="Times New Roman" w:eastAsia="Times New Roman" w:hAnsi="Times New Roman" w:cs="Times New Roman"/>
          <w:sz w:val="24"/>
          <w:szCs w:val="24"/>
          <w:lang w:eastAsia="hr-HR"/>
        </w:rPr>
        <w:t>(1) Zahtjev za uvrštenje vrijednosnih papira u trgovanje na uređenom tržištu može podnijeti izdavatelj ili osoba koju izdavatelj ovlasti.</w:t>
      </w:r>
    </w:p>
    <w:p w14:paraId="2B0255ED"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13A71E1F"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(2) Iznimno od stavka 1. ovoga članka, prenosivi vrijednosni papiri mogu biti uvršteni za trgovanje na uređenom tržištu i bez suglasnosti izdavatelja ako su već uvršteni na uređeno tržište države članice ili na burzu treće zemlje, ako su zakonske odredbe treće zemlje:</w:t>
      </w:r>
    </w:p>
    <w:p w14:paraId="0D3B4782"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632FB34" w14:textId="55F15766"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a) u vezi sa zahtjevom za uvrštenje vrijednosnih papira, usporedive onima propisanim ovim </w:t>
      </w:r>
      <w:r w:rsidR="00E33F2B" w:rsidRPr="000479E9">
        <w:rPr>
          <w:rFonts w:ascii="Times New Roman" w:eastAsia="Times New Roman" w:hAnsi="Times New Roman" w:cs="Times New Roman"/>
          <w:sz w:val="24"/>
          <w:szCs w:val="24"/>
          <w:lang w:eastAsia="hr-HR"/>
        </w:rPr>
        <w:t>Z</w:t>
      </w:r>
      <w:r w:rsidRPr="000479E9">
        <w:rPr>
          <w:rFonts w:ascii="Times New Roman" w:eastAsia="Times New Roman" w:hAnsi="Times New Roman" w:cs="Times New Roman"/>
          <w:sz w:val="24"/>
          <w:szCs w:val="24"/>
          <w:lang w:eastAsia="hr-HR"/>
        </w:rPr>
        <w:t xml:space="preserve">akonom i propisima donesenim na temelju ovoga </w:t>
      </w:r>
      <w:r w:rsidR="003959BB" w:rsidRPr="000479E9">
        <w:rPr>
          <w:rFonts w:ascii="Times New Roman" w:eastAsia="Times New Roman" w:hAnsi="Times New Roman" w:cs="Times New Roman"/>
          <w:sz w:val="24"/>
          <w:szCs w:val="24"/>
          <w:lang w:eastAsia="hr-HR"/>
        </w:rPr>
        <w:t>Z</w:t>
      </w:r>
      <w:r w:rsidRPr="000479E9">
        <w:rPr>
          <w:rFonts w:ascii="Times New Roman" w:eastAsia="Times New Roman" w:hAnsi="Times New Roman" w:cs="Times New Roman"/>
          <w:sz w:val="24"/>
          <w:szCs w:val="24"/>
          <w:lang w:eastAsia="hr-HR"/>
        </w:rPr>
        <w:t xml:space="preserve">akona </w:t>
      </w:r>
    </w:p>
    <w:p w14:paraId="5CDBBD79"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7500C503" w14:textId="5D319E40"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b) u vezi s izradom prospekta izdanja ili prospekta uvrštenja vrijednosnih papira, usporedive onima propisanim ovim </w:t>
      </w:r>
      <w:r w:rsidR="00E33F2B" w:rsidRPr="000479E9">
        <w:rPr>
          <w:rFonts w:ascii="Times New Roman" w:eastAsia="Times New Roman" w:hAnsi="Times New Roman" w:cs="Times New Roman"/>
          <w:sz w:val="24"/>
          <w:szCs w:val="24"/>
          <w:lang w:eastAsia="hr-HR"/>
        </w:rPr>
        <w:t>Z</w:t>
      </w:r>
      <w:r w:rsidRPr="000479E9">
        <w:rPr>
          <w:rFonts w:ascii="Times New Roman" w:eastAsia="Times New Roman" w:hAnsi="Times New Roman" w:cs="Times New Roman"/>
          <w:sz w:val="24"/>
          <w:szCs w:val="24"/>
          <w:lang w:eastAsia="hr-HR"/>
        </w:rPr>
        <w:t xml:space="preserve">akonom i propisima donesenim na temelju ovoga </w:t>
      </w:r>
      <w:r w:rsidR="003959BB" w:rsidRPr="000479E9">
        <w:rPr>
          <w:rFonts w:ascii="Times New Roman" w:eastAsia="Times New Roman" w:hAnsi="Times New Roman" w:cs="Times New Roman"/>
          <w:sz w:val="24"/>
          <w:szCs w:val="24"/>
          <w:lang w:eastAsia="hr-HR"/>
        </w:rPr>
        <w:t>Z</w:t>
      </w:r>
      <w:r w:rsidRPr="000479E9">
        <w:rPr>
          <w:rFonts w:ascii="Times New Roman" w:eastAsia="Times New Roman" w:hAnsi="Times New Roman" w:cs="Times New Roman"/>
          <w:sz w:val="24"/>
          <w:szCs w:val="24"/>
          <w:lang w:eastAsia="hr-HR"/>
        </w:rPr>
        <w:t xml:space="preserve">akona </w:t>
      </w:r>
    </w:p>
    <w:p w14:paraId="3993002C"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577A6A08"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c) ako na toj burzi postoje pretpostavke obveze transparentnosti koje su usporedive s onima na uređenom tržištu za uvrštene vrijednosne papire i</w:t>
      </w:r>
    </w:p>
    <w:p w14:paraId="0E428AC7"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9D2ADEA"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 ako je zajamčena razmjena informacija u svrhu nadzora trgovanja s nadležnim tijelima u toj državi. </w:t>
      </w:r>
    </w:p>
    <w:p w14:paraId="1266B7A3"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 </w:t>
      </w:r>
    </w:p>
    <w:p w14:paraId="099FA296" w14:textId="695EACC3"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U slučaju iz stavka 2. ovoga članka, uređeno tržište obvezno je u roku od tri dana od uvrštenja obavijestiti izdavatelja da se njegovim vrijednosnim papirima trguje na tom uređenom tržištu.</w:t>
      </w:r>
    </w:p>
    <w:p w14:paraId="7016AB73" w14:textId="77777777" w:rsidR="00B373BA" w:rsidRPr="000479E9" w:rsidRDefault="00B373BA"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0D6369F" w14:textId="77777777" w:rsidR="00B373BA" w:rsidRPr="000479E9" w:rsidRDefault="00B373BA" w:rsidP="00B373B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U slučaju iz stavka 2. ovoga članka, uređeno tržište dužno je bez odgode obavijestiti Agenciju i javnost o uvrštenju vrijednosnih papira.</w:t>
      </w:r>
    </w:p>
    <w:p w14:paraId="4C2D1B13"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797485C9" w14:textId="3CF25E2E"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B373BA"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xml:space="preserve">) </w:t>
      </w:r>
      <w:r w:rsidR="00B373BA" w:rsidRPr="000479E9">
        <w:rPr>
          <w:rFonts w:ascii="Times New Roman" w:eastAsia="Times New Roman" w:hAnsi="Times New Roman" w:cs="Times New Roman"/>
          <w:sz w:val="24"/>
          <w:szCs w:val="24"/>
          <w:lang w:eastAsia="hr-HR"/>
        </w:rPr>
        <w:t>Ako su vrijednosni papiri uvršteni u trgovanje na uređenom tržištu bez suglasnosti izdavatelja u skladu sa stavkom 2. ovoga članka, i</w:t>
      </w:r>
      <w:r w:rsidRPr="000479E9">
        <w:rPr>
          <w:rFonts w:ascii="Times New Roman" w:eastAsia="Times New Roman" w:hAnsi="Times New Roman" w:cs="Times New Roman"/>
          <w:sz w:val="24"/>
          <w:szCs w:val="24"/>
          <w:lang w:eastAsia="hr-HR"/>
        </w:rPr>
        <w:t>zdavatelj nije dužan ispunjavati obveze prema pravu Europske unije u vezi s početnim, stalnim ili ad hoc obvezama objavljivanja izravno bilo kojem uređenom tržištu koje je njegove vrijednosne papire uvrstilo za trgovanje bez njegove suglasnosti.</w:t>
      </w:r>
      <w:r w:rsidR="00C412CC" w:rsidRPr="000479E9">
        <w:rPr>
          <w:rFonts w:ascii="Times New Roman" w:eastAsia="Times New Roman" w:hAnsi="Times New Roman" w:cs="Times New Roman"/>
          <w:sz w:val="24"/>
          <w:szCs w:val="24"/>
          <w:lang w:eastAsia="hr-HR"/>
        </w:rPr>
        <w:t>“.</w:t>
      </w:r>
    </w:p>
    <w:p w14:paraId="09088567" w14:textId="000F1F8A" w:rsidR="00242D72" w:rsidRPr="000479E9" w:rsidRDefault="00242D72"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5DEB9E40" w14:textId="3913F230" w:rsidR="00242D72" w:rsidRPr="000479E9" w:rsidRDefault="00242D72" w:rsidP="00242D72">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4</w:t>
      </w:r>
      <w:r w:rsidR="001612F4" w:rsidRPr="000479E9">
        <w:rPr>
          <w:rFonts w:ascii="Times New Roman" w:eastAsia="Times New Roman" w:hAnsi="Times New Roman" w:cs="Times New Roman"/>
          <w:b/>
          <w:bCs/>
          <w:sz w:val="24"/>
          <w:szCs w:val="24"/>
          <w:lang w:eastAsia="hr-HR"/>
        </w:rPr>
        <w:t>3</w:t>
      </w:r>
      <w:r w:rsidRPr="000479E9">
        <w:rPr>
          <w:rFonts w:ascii="Times New Roman" w:eastAsia="Times New Roman" w:hAnsi="Times New Roman" w:cs="Times New Roman"/>
          <w:b/>
          <w:bCs/>
          <w:sz w:val="24"/>
          <w:szCs w:val="24"/>
          <w:lang w:eastAsia="hr-HR"/>
        </w:rPr>
        <w:t>.</w:t>
      </w:r>
    </w:p>
    <w:p w14:paraId="3322DCB6" w14:textId="77777777" w:rsidR="00242D72" w:rsidRPr="000479E9" w:rsidRDefault="00242D72" w:rsidP="00242D72">
      <w:pPr>
        <w:spacing w:after="0" w:line="240" w:lineRule="auto"/>
        <w:jc w:val="center"/>
        <w:rPr>
          <w:rFonts w:ascii="Times New Roman" w:eastAsia="Times New Roman" w:hAnsi="Times New Roman" w:cs="Times New Roman"/>
          <w:b/>
          <w:bCs/>
          <w:sz w:val="24"/>
          <w:szCs w:val="24"/>
          <w:lang w:eastAsia="hr-HR"/>
        </w:rPr>
      </w:pPr>
    </w:p>
    <w:p w14:paraId="59545939" w14:textId="1EF3A4AB" w:rsidR="00C412CC" w:rsidRPr="000479E9" w:rsidRDefault="00242D72" w:rsidP="0035710D">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w:t>
      </w:r>
      <w:r w:rsidR="00C412CC" w:rsidRPr="000479E9">
        <w:rPr>
          <w:rFonts w:ascii="Times New Roman" w:eastAsia="Times New Roman" w:hAnsi="Times New Roman" w:cs="Times New Roman"/>
          <w:sz w:val="24"/>
          <w:szCs w:val="24"/>
          <w:lang w:eastAsia="hr-HR"/>
        </w:rPr>
        <w:t>ka</w:t>
      </w:r>
      <w:r w:rsidRPr="000479E9">
        <w:rPr>
          <w:rFonts w:ascii="Times New Roman" w:eastAsia="Times New Roman" w:hAnsi="Times New Roman" w:cs="Times New Roman"/>
          <w:sz w:val="24"/>
          <w:szCs w:val="24"/>
          <w:lang w:eastAsia="hr-HR"/>
        </w:rPr>
        <w:t xml:space="preserve"> 330. </w:t>
      </w:r>
      <w:r w:rsidR="00C412CC" w:rsidRPr="000479E9">
        <w:rPr>
          <w:rFonts w:ascii="Times New Roman" w:eastAsia="Times New Roman" w:hAnsi="Times New Roman" w:cs="Times New Roman"/>
          <w:sz w:val="24"/>
          <w:szCs w:val="24"/>
          <w:lang w:eastAsia="hr-HR"/>
        </w:rPr>
        <w:t>mijenja se i glasi: „Odlučivanje o uvrštenju financijskih instrumenata za trgovanje na uređenom tržištu“.</w:t>
      </w:r>
    </w:p>
    <w:p w14:paraId="79098079" w14:textId="77777777" w:rsidR="00C412CC" w:rsidRPr="000479E9" w:rsidRDefault="00C412CC" w:rsidP="0035710D">
      <w:pPr>
        <w:spacing w:after="0" w:line="240" w:lineRule="auto"/>
        <w:jc w:val="both"/>
        <w:rPr>
          <w:rFonts w:ascii="Times New Roman" w:eastAsia="Times New Roman" w:hAnsi="Times New Roman" w:cs="Times New Roman"/>
          <w:sz w:val="24"/>
          <w:szCs w:val="24"/>
          <w:lang w:eastAsia="hr-HR"/>
        </w:rPr>
      </w:pPr>
    </w:p>
    <w:p w14:paraId="5B79F554" w14:textId="0400F84F" w:rsidR="00242D72" w:rsidRPr="000479E9" w:rsidRDefault="00C412CC" w:rsidP="0035710D">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w:t>
      </w:r>
      <w:r w:rsidR="00242D72" w:rsidRPr="000479E9">
        <w:rPr>
          <w:rFonts w:ascii="Times New Roman" w:eastAsia="Times New Roman" w:hAnsi="Times New Roman" w:cs="Times New Roman"/>
          <w:sz w:val="24"/>
          <w:szCs w:val="24"/>
          <w:lang w:eastAsia="hr-HR"/>
        </w:rPr>
        <w:t>lanak 330. mijenja se i glasi:</w:t>
      </w:r>
    </w:p>
    <w:p w14:paraId="6A67F3C7" w14:textId="77777777" w:rsidR="00C412CC" w:rsidRPr="000479E9" w:rsidRDefault="00C412CC" w:rsidP="0035710D">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103B7698" w14:textId="4D3EEF5B" w:rsidR="001E615F" w:rsidRPr="000479E9" w:rsidRDefault="00C412C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1E615F" w:rsidRPr="000479E9">
        <w:rPr>
          <w:rFonts w:ascii="Times New Roman" w:eastAsia="Times New Roman" w:hAnsi="Times New Roman" w:cs="Times New Roman"/>
          <w:sz w:val="24"/>
          <w:szCs w:val="24"/>
          <w:lang w:eastAsia="hr-HR"/>
        </w:rPr>
        <w:t>(1) O uvrštenju financijskih instrumenata za trgovanje na uređenom tržištu odlučuje burza</w:t>
      </w:r>
      <w:r w:rsidR="00804F82" w:rsidRPr="000479E9">
        <w:rPr>
          <w:rFonts w:ascii="Times New Roman" w:eastAsia="Times New Roman" w:hAnsi="Times New Roman" w:cs="Times New Roman"/>
          <w:sz w:val="24"/>
          <w:szCs w:val="24"/>
          <w:lang w:eastAsia="hr-HR"/>
        </w:rPr>
        <w:t xml:space="preserve"> </w:t>
      </w:r>
      <w:r w:rsidR="00B723DC" w:rsidRPr="000479E9">
        <w:rPr>
          <w:rFonts w:ascii="Times New Roman" w:eastAsia="Times New Roman" w:hAnsi="Times New Roman" w:cs="Times New Roman"/>
          <w:sz w:val="24"/>
          <w:szCs w:val="24"/>
          <w:lang w:eastAsia="hr-HR"/>
        </w:rPr>
        <w:t xml:space="preserve">obrazloženom </w:t>
      </w:r>
      <w:r w:rsidR="00804F82" w:rsidRPr="000479E9">
        <w:rPr>
          <w:rFonts w:ascii="Times New Roman" w:eastAsia="Times New Roman" w:hAnsi="Times New Roman" w:cs="Times New Roman"/>
          <w:sz w:val="24"/>
          <w:szCs w:val="24"/>
          <w:lang w:eastAsia="hr-HR"/>
        </w:rPr>
        <w:t>odlukom</w:t>
      </w:r>
      <w:r w:rsidR="001E615F" w:rsidRPr="000479E9">
        <w:rPr>
          <w:rFonts w:ascii="Times New Roman" w:eastAsia="Times New Roman" w:hAnsi="Times New Roman" w:cs="Times New Roman"/>
          <w:sz w:val="24"/>
          <w:szCs w:val="24"/>
          <w:lang w:eastAsia="hr-HR"/>
        </w:rPr>
        <w:t>.</w:t>
      </w:r>
    </w:p>
    <w:p w14:paraId="54417012"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D754DFC" w14:textId="00FFBDFA"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 xml:space="preserve">(2) Ako zahtjev za uvrštenje </w:t>
      </w:r>
      <w:r w:rsidR="00B723DC" w:rsidRPr="000479E9">
        <w:rPr>
          <w:rFonts w:ascii="Times New Roman" w:eastAsia="Times New Roman" w:hAnsi="Times New Roman" w:cs="Times New Roman"/>
          <w:sz w:val="24"/>
          <w:szCs w:val="24"/>
          <w:lang w:eastAsia="hr-HR"/>
        </w:rPr>
        <w:t>financijskih instrumenata</w:t>
      </w:r>
      <w:r w:rsidRPr="000479E9">
        <w:rPr>
          <w:rFonts w:ascii="Times New Roman" w:eastAsia="Times New Roman" w:hAnsi="Times New Roman" w:cs="Times New Roman"/>
          <w:sz w:val="24"/>
          <w:szCs w:val="24"/>
          <w:lang w:eastAsia="hr-HR"/>
        </w:rPr>
        <w:t xml:space="preserve"> za trgovanje na uređenom tržištu nije podnijela osoba </w:t>
      </w:r>
      <w:r w:rsidR="00B723DC" w:rsidRPr="000479E9">
        <w:rPr>
          <w:rFonts w:ascii="Times New Roman" w:eastAsia="Times New Roman" w:hAnsi="Times New Roman" w:cs="Times New Roman"/>
          <w:sz w:val="24"/>
          <w:szCs w:val="24"/>
          <w:lang w:eastAsia="hr-HR"/>
        </w:rPr>
        <w:t>iz</w:t>
      </w:r>
      <w:r w:rsidRPr="000479E9">
        <w:rPr>
          <w:rFonts w:ascii="Times New Roman" w:eastAsia="Times New Roman" w:hAnsi="Times New Roman" w:cs="Times New Roman"/>
          <w:sz w:val="24"/>
          <w:szCs w:val="24"/>
          <w:lang w:eastAsia="hr-HR"/>
        </w:rPr>
        <w:t xml:space="preserve"> člank</w:t>
      </w:r>
      <w:r w:rsidR="00B723DC"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329. ovoga </w:t>
      </w:r>
      <w:r w:rsidR="00E33F2B" w:rsidRPr="000479E9">
        <w:rPr>
          <w:rFonts w:ascii="Times New Roman" w:eastAsia="Times New Roman" w:hAnsi="Times New Roman" w:cs="Times New Roman"/>
          <w:sz w:val="24"/>
          <w:szCs w:val="24"/>
          <w:lang w:eastAsia="hr-HR"/>
        </w:rPr>
        <w:t>Z</w:t>
      </w:r>
      <w:r w:rsidRPr="000479E9">
        <w:rPr>
          <w:rFonts w:ascii="Times New Roman" w:eastAsia="Times New Roman" w:hAnsi="Times New Roman" w:cs="Times New Roman"/>
          <w:sz w:val="24"/>
          <w:szCs w:val="24"/>
          <w:lang w:eastAsia="hr-HR"/>
        </w:rPr>
        <w:t xml:space="preserve">akona, burza će zahtjev odbaciti. </w:t>
      </w:r>
    </w:p>
    <w:p w14:paraId="483DA885"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7A6B103" w14:textId="7485ED98"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Burza će odbiti zahtjev za uvrštenje za trgovanje na uređenom tržištu ako</w:t>
      </w:r>
      <w:r w:rsidR="00B723DC"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financijski instrumenti ne ispunjavaju uvjete iz član</w:t>
      </w:r>
      <w:r w:rsidR="00A442F0"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ka 320. </w:t>
      </w:r>
      <w:r w:rsidR="00B723DC" w:rsidRPr="000479E9">
        <w:rPr>
          <w:rFonts w:ascii="Times New Roman" w:eastAsia="Times New Roman" w:hAnsi="Times New Roman" w:cs="Times New Roman"/>
          <w:sz w:val="24"/>
          <w:szCs w:val="24"/>
          <w:lang w:eastAsia="hr-HR"/>
        </w:rPr>
        <w:t xml:space="preserve">i 321. </w:t>
      </w:r>
      <w:r w:rsidRPr="000479E9">
        <w:rPr>
          <w:rFonts w:ascii="Times New Roman" w:eastAsia="Times New Roman" w:hAnsi="Times New Roman" w:cs="Times New Roman"/>
          <w:sz w:val="24"/>
          <w:szCs w:val="24"/>
          <w:lang w:eastAsia="hr-HR"/>
        </w:rPr>
        <w:t xml:space="preserve">ovoga </w:t>
      </w:r>
      <w:r w:rsidR="004B1C77" w:rsidRPr="000479E9">
        <w:rPr>
          <w:rFonts w:ascii="Times New Roman" w:eastAsia="Times New Roman" w:hAnsi="Times New Roman" w:cs="Times New Roman"/>
          <w:sz w:val="24"/>
          <w:szCs w:val="24"/>
          <w:lang w:eastAsia="hr-HR"/>
        </w:rPr>
        <w:t>Z</w:t>
      </w:r>
      <w:r w:rsidRPr="000479E9">
        <w:rPr>
          <w:rFonts w:ascii="Times New Roman" w:eastAsia="Times New Roman" w:hAnsi="Times New Roman" w:cs="Times New Roman"/>
          <w:sz w:val="24"/>
          <w:szCs w:val="24"/>
          <w:lang w:eastAsia="hr-HR"/>
        </w:rPr>
        <w:t>akona</w:t>
      </w:r>
      <w:r w:rsidR="00CE3025">
        <w:rPr>
          <w:rFonts w:ascii="Times New Roman" w:eastAsia="Times New Roman" w:hAnsi="Times New Roman" w:cs="Times New Roman"/>
          <w:sz w:val="24"/>
          <w:szCs w:val="24"/>
          <w:lang w:eastAsia="hr-HR"/>
        </w:rPr>
        <w:t>.</w:t>
      </w:r>
    </w:p>
    <w:p w14:paraId="7C99C3AF" w14:textId="3CE7E6A9" w:rsidR="00B723DC" w:rsidRPr="000479E9" w:rsidRDefault="00B723D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E26FA6B" w14:textId="77777777" w:rsidR="00B723DC" w:rsidRPr="000479E9" w:rsidRDefault="00B723DC" w:rsidP="00B723D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Burza može odbiti zahtjev za uvrštenje financijskih instrumenata za trgovanje na uređenom tržištu ako prema podacima kojima raspolaže proizlazi da bi uvrštenje bilo štetno za interese ulagatelja.</w:t>
      </w:r>
    </w:p>
    <w:p w14:paraId="2788A821" w14:textId="77777777" w:rsidR="00B723DC" w:rsidRPr="000479E9" w:rsidRDefault="00B723D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4C1EC599" w14:textId="13094C6D" w:rsidR="001E615F" w:rsidRPr="000479E9" w:rsidRDefault="00B723DC">
      <w:pPr>
        <w:pStyle w:val="CommentText1"/>
        <w:spacing w:after="0"/>
        <w:jc w:val="both"/>
        <w:rPr>
          <w:rFonts w:ascii="Times New Roman" w:eastAsia="Calibri" w:hAnsi="Times New Roman" w:cs="Times New Roman"/>
          <w:sz w:val="24"/>
          <w:szCs w:val="24"/>
        </w:rPr>
      </w:pPr>
      <w:r w:rsidRPr="000479E9">
        <w:rPr>
          <w:rFonts w:ascii="Times New Roman" w:eastAsia="Times New Roman" w:hAnsi="Times New Roman" w:cs="Times New Roman"/>
          <w:sz w:val="24"/>
          <w:szCs w:val="24"/>
          <w:lang w:eastAsia="hr-HR"/>
        </w:rPr>
        <w:t>(5)</w:t>
      </w:r>
      <w:r w:rsidR="001E615F" w:rsidRPr="000479E9">
        <w:rPr>
          <w:rFonts w:ascii="Times New Roman" w:eastAsia="Calibri" w:hAnsi="Times New Roman" w:cs="Times New Roman"/>
          <w:sz w:val="24"/>
          <w:szCs w:val="24"/>
        </w:rPr>
        <w:t xml:space="preserve"> </w:t>
      </w:r>
      <w:r w:rsidRPr="000479E9">
        <w:rPr>
          <w:rFonts w:ascii="Times New Roman" w:eastAsia="Calibri" w:hAnsi="Times New Roman" w:cs="Times New Roman"/>
          <w:sz w:val="24"/>
          <w:szCs w:val="24"/>
        </w:rPr>
        <w:t>K</w:t>
      </w:r>
      <w:r w:rsidR="001E615F" w:rsidRPr="000479E9">
        <w:rPr>
          <w:rFonts w:ascii="Times New Roman" w:eastAsia="Calibri" w:hAnsi="Times New Roman" w:cs="Times New Roman"/>
          <w:sz w:val="24"/>
          <w:szCs w:val="24"/>
        </w:rPr>
        <w:t>ada se zahtjev za uvrštenje na uređeno tržište odnosi na vrijednosne papire koji su već uvršteni na uređeno tržište neke druge države članice, burza može odbiti zahtjev ako izdavatelj vrijednosnih papira ne ispunjava svoje obveze koje proizlaze iz uvrštenja na predmetno uređeno tržište.</w:t>
      </w:r>
    </w:p>
    <w:p w14:paraId="538F6502" w14:textId="77777777" w:rsidR="001E615F" w:rsidRPr="000479E9" w:rsidRDefault="001E615F">
      <w:pPr>
        <w:pStyle w:val="CommentText1"/>
        <w:spacing w:after="0"/>
        <w:jc w:val="both"/>
        <w:rPr>
          <w:rFonts w:ascii="Times New Roman" w:eastAsia="Calibri" w:hAnsi="Times New Roman" w:cs="Times New Roman"/>
          <w:sz w:val="24"/>
          <w:szCs w:val="24"/>
        </w:rPr>
      </w:pPr>
    </w:p>
    <w:p w14:paraId="3F22E32E" w14:textId="66C5B495"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B723DC"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xml:space="preserve">) Burza je dužna svojim pravilima </w:t>
      </w:r>
      <w:r w:rsidR="00295F4B" w:rsidRPr="000479E9">
        <w:rPr>
          <w:rFonts w:ascii="Times New Roman" w:eastAsia="Times New Roman" w:hAnsi="Times New Roman" w:cs="Times New Roman"/>
          <w:sz w:val="24"/>
          <w:szCs w:val="24"/>
          <w:lang w:eastAsia="hr-HR"/>
        </w:rPr>
        <w:t xml:space="preserve">detaljnije urediti </w:t>
      </w:r>
      <w:r w:rsidRPr="000479E9">
        <w:rPr>
          <w:rFonts w:ascii="Times New Roman" w:eastAsia="Times New Roman" w:hAnsi="Times New Roman" w:cs="Times New Roman"/>
          <w:sz w:val="24"/>
          <w:szCs w:val="24"/>
          <w:lang w:eastAsia="hr-HR"/>
        </w:rPr>
        <w:t>kada će se zahtjev za uvrštenje na uređeno tržište smatrati urednim.</w:t>
      </w:r>
    </w:p>
    <w:p w14:paraId="3872334E"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1026F7C7" w14:textId="49ADA0CE"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B723DC"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Burza je dužna</w:t>
      </w:r>
      <w:r w:rsidR="006132AB" w:rsidRPr="000479E9">
        <w:rPr>
          <w:rFonts w:ascii="Times New Roman" w:eastAsia="Times New Roman" w:hAnsi="Times New Roman" w:cs="Times New Roman"/>
          <w:sz w:val="24"/>
          <w:szCs w:val="24"/>
          <w:lang w:eastAsia="hr-HR"/>
        </w:rPr>
        <w:t xml:space="preserve"> bez odgode</w:t>
      </w:r>
      <w:r w:rsidRPr="000479E9">
        <w:rPr>
          <w:rFonts w:ascii="Times New Roman" w:eastAsia="Times New Roman" w:hAnsi="Times New Roman" w:cs="Times New Roman"/>
          <w:sz w:val="24"/>
          <w:szCs w:val="24"/>
          <w:lang w:eastAsia="hr-HR"/>
        </w:rPr>
        <w:t xml:space="preserve"> obavijestiti Agenciju o svakom zaprimljenom zahtjevu za uvrštenje financijskih instrumenata, kao i o svojoj odluci u vezi s uvrštenjem ili odbijanjem zahtjeva za uvrštenje.</w:t>
      </w:r>
    </w:p>
    <w:p w14:paraId="41FC48DC"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06840946" w14:textId="24FECF29"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B723DC" w:rsidRPr="000479E9">
        <w:rPr>
          <w:rFonts w:ascii="Times New Roman" w:eastAsia="Times New Roman" w:hAnsi="Times New Roman" w:cs="Times New Roman"/>
          <w:sz w:val="24"/>
          <w:szCs w:val="24"/>
          <w:lang w:eastAsia="hr-HR"/>
        </w:rPr>
        <w:t>8</w:t>
      </w:r>
      <w:r w:rsidRPr="000479E9">
        <w:rPr>
          <w:rFonts w:ascii="Times New Roman" w:eastAsia="Times New Roman" w:hAnsi="Times New Roman" w:cs="Times New Roman"/>
          <w:sz w:val="24"/>
          <w:szCs w:val="24"/>
          <w:lang w:eastAsia="hr-HR"/>
        </w:rPr>
        <w:t xml:space="preserve">) Burza je dužna na svojim internetskim stranicama </w:t>
      </w:r>
      <w:r w:rsidR="00D6689E" w:rsidRPr="000479E9">
        <w:rPr>
          <w:rFonts w:ascii="Times New Roman" w:eastAsia="Times New Roman" w:hAnsi="Times New Roman" w:cs="Times New Roman"/>
          <w:sz w:val="24"/>
          <w:szCs w:val="24"/>
          <w:lang w:eastAsia="hr-HR"/>
        </w:rPr>
        <w:t xml:space="preserve">bez odgode </w:t>
      </w:r>
      <w:r w:rsidRPr="000479E9">
        <w:rPr>
          <w:rFonts w:ascii="Times New Roman" w:eastAsia="Times New Roman" w:hAnsi="Times New Roman" w:cs="Times New Roman"/>
          <w:sz w:val="24"/>
          <w:szCs w:val="24"/>
          <w:lang w:eastAsia="hr-HR"/>
        </w:rPr>
        <w:t xml:space="preserve">objaviti sve podatke o uvrštenju financijskih instrumenata na </w:t>
      </w:r>
      <w:r w:rsidR="00B52B31" w:rsidRPr="000479E9">
        <w:rPr>
          <w:rFonts w:ascii="Times New Roman" w:eastAsia="Times New Roman" w:hAnsi="Times New Roman" w:cs="Times New Roman"/>
          <w:sz w:val="24"/>
          <w:szCs w:val="24"/>
          <w:lang w:eastAsia="hr-HR"/>
        </w:rPr>
        <w:t xml:space="preserve">uređeno </w:t>
      </w:r>
      <w:r w:rsidRPr="000479E9">
        <w:rPr>
          <w:rFonts w:ascii="Times New Roman" w:eastAsia="Times New Roman" w:hAnsi="Times New Roman" w:cs="Times New Roman"/>
          <w:sz w:val="24"/>
          <w:szCs w:val="24"/>
          <w:lang w:eastAsia="hr-HR"/>
        </w:rPr>
        <w:t>tržište kojim upravlja.</w:t>
      </w:r>
    </w:p>
    <w:p w14:paraId="126484BF"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5453D59" w14:textId="5E5E26F1"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B723DC" w:rsidRPr="000479E9">
        <w:rPr>
          <w:rFonts w:ascii="Times New Roman" w:eastAsia="Times New Roman" w:hAnsi="Times New Roman" w:cs="Times New Roman"/>
          <w:sz w:val="24"/>
          <w:szCs w:val="24"/>
          <w:lang w:eastAsia="hr-HR"/>
        </w:rPr>
        <w:t>9</w:t>
      </w:r>
      <w:r w:rsidRPr="000479E9">
        <w:rPr>
          <w:rFonts w:ascii="Times New Roman" w:eastAsia="Times New Roman" w:hAnsi="Times New Roman" w:cs="Times New Roman"/>
          <w:sz w:val="24"/>
          <w:szCs w:val="24"/>
          <w:lang w:eastAsia="hr-HR"/>
        </w:rPr>
        <w:t>) Burza je dužna uspostaviti i primjenjivati mjere redovite provjere usklađenosti uvrštenih financijskih instrumenata sa zahtjevima iz članka 320., 321. i 328. ovoga Zakona.</w:t>
      </w:r>
    </w:p>
    <w:p w14:paraId="3C4F4E62"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497ED147" w14:textId="5D08DD9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B723DC" w:rsidRPr="000479E9">
        <w:rPr>
          <w:rFonts w:ascii="Times New Roman" w:eastAsia="Times New Roman" w:hAnsi="Times New Roman" w:cs="Times New Roman"/>
          <w:sz w:val="24"/>
          <w:szCs w:val="24"/>
          <w:lang w:eastAsia="hr-HR"/>
        </w:rPr>
        <w:t>10</w:t>
      </w:r>
      <w:r w:rsidRPr="000479E9">
        <w:rPr>
          <w:rFonts w:ascii="Times New Roman" w:eastAsia="Times New Roman" w:hAnsi="Times New Roman" w:cs="Times New Roman"/>
          <w:sz w:val="24"/>
          <w:szCs w:val="24"/>
          <w:lang w:eastAsia="hr-HR"/>
        </w:rPr>
        <w:t>) Burza je dužna podnositelja zahtjeva iz članka 329. ovoga Zakona obavijestiti o odluci</w:t>
      </w:r>
      <w:r w:rsidR="2D06C729" w:rsidRPr="000479E9">
        <w:rPr>
          <w:rFonts w:ascii="Times New Roman" w:eastAsia="Times New Roman" w:hAnsi="Times New Roman" w:cs="Times New Roman"/>
          <w:sz w:val="24"/>
          <w:szCs w:val="24"/>
          <w:lang w:eastAsia="hr-HR"/>
        </w:rPr>
        <w:t xml:space="preserve"> iz stavka 1. ovoga članka</w:t>
      </w:r>
      <w:r w:rsidRPr="000479E9">
        <w:rPr>
          <w:rFonts w:ascii="Times New Roman" w:eastAsia="Times New Roman" w:hAnsi="Times New Roman" w:cs="Times New Roman"/>
          <w:sz w:val="24"/>
          <w:szCs w:val="24"/>
          <w:lang w:eastAsia="hr-HR"/>
        </w:rPr>
        <w:t xml:space="preserve"> u roku od 30 dana od zaprimanja zahtjeva, a u izvanrednim slučajevima u roku od 60 dana.</w:t>
      </w:r>
      <w:r w:rsidR="006D39F0" w:rsidRPr="000479E9">
        <w:rPr>
          <w:rFonts w:ascii="Times New Roman" w:eastAsia="Times New Roman" w:hAnsi="Times New Roman" w:cs="Times New Roman"/>
          <w:sz w:val="24"/>
          <w:szCs w:val="24"/>
          <w:lang w:eastAsia="hr-HR"/>
        </w:rPr>
        <w:t xml:space="preserve"> </w:t>
      </w:r>
    </w:p>
    <w:p w14:paraId="212F7C2B"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C386DE9" w14:textId="37E5F713" w:rsidR="00E34710"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B723DC" w:rsidRPr="000479E9">
        <w:rPr>
          <w:rFonts w:ascii="Times New Roman" w:eastAsia="Times New Roman" w:hAnsi="Times New Roman" w:cs="Times New Roman"/>
          <w:sz w:val="24"/>
          <w:szCs w:val="24"/>
          <w:lang w:eastAsia="hr-HR"/>
        </w:rPr>
        <w:t>11</w:t>
      </w:r>
      <w:r w:rsidRPr="000479E9">
        <w:rPr>
          <w:rFonts w:ascii="Times New Roman" w:eastAsia="Times New Roman" w:hAnsi="Times New Roman" w:cs="Times New Roman"/>
          <w:sz w:val="24"/>
          <w:szCs w:val="24"/>
          <w:lang w:eastAsia="hr-HR"/>
        </w:rPr>
        <w:t xml:space="preserve">) Ako odluka burze ne bude donesena u roku iz stavka </w:t>
      </w:r>
      <w:r w:rsidR="00B723DC" w:rsidRPr="000479E9">
        <w:rPr>
          <w:rFonts w:ascii="Times New Roman" w:eastAsia="Times New Roman" w:hAnsi="Times New Roman" w:cs="Times New Roman"/>
          <w:sz w:val="24"/>
          <w:szCs w:val="24"/>
          <w:lang w:eastAsia="hr-HR"/>
        </w:rPr>
        <w:t>10</w:t>
      </w:r>
      <w:r w:rsidRPr="000479E9">
        <w:rPr>
          <w:rFonts w:ascii="Times New Roman" w:eastAsia="Times New Roman" w:hAnsi="Times New Roman" w:cs="Times New Roman"/>
          <w:sz w:val="24"/>
          <w:szCs w:val="24"/>
          <w:lang w:eastAsia="hr-HR"/>
        </w:rPr>
        <w:t xml:space="preserve">. ovoga članka, smatra se da je zahtjev odbijen. </w:t>
      </w:r>
    </w:p>
    <w:p w14:paraId="3A9DF54A" w14:textId="77777777" w:rsidR="00E34710" w:rsidRPr="000479E9" w:rsidRDefault="00E3471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5BB3C43" w14:textId="6A3200E6" w:rsidR="001E615F" w:rsidRPr="000479E9" w:rsidRDefault="00E3471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w:t>
      </w:r>
      <w:r w:rsidR="00B723DC"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 xml:space="preserve">) </w:t>
      </w:r>
      <w:r w:rsidR="3DB04625" w:rsidRPr="000479E9">
        <w:rPr>
          <w:rFonts w:ascii="Times New Roman" w:eastAsia="Times New Roman" w:hAnsi="Times New Roman" w:cs="Times New Roman"/>
          <w:sz w:val="24"/>
          <w:szCs w:val="24"/>
          <w:lang w:eastAsia="hr-HR"/>
        </w:rPr>
        <w:t xml:space="preserve">U slučaju odbijanja zahtjeva iz stavka </w:t>
      </w:r>
      <w:r w:rsidR="00B723DC" w:rsidRPr="000479E9">
        <w:rPr>
          <w:rFonts w:ascii="Times New Roman" w:eastAsia="Times New Roman" w:hAnsi="Times New Roman" w:cs="Times New Roman"/>
          <w:sz w:val="24"/>
          <w:szCs w:val="24"/>
          <w:lang w:eastAsia="hr-HR"/>
        </w:rPr>
        <w:t>10</w:t>
      </w:r>
      <w:r w:rsidR="3DB04625" w:rsidRPr="000479E9">
        <w:rPr>
          <w:rFonts w:ascii="Times New Roman" w:eastAsia="Times New Roman" w:hAnsi="Times New Roman" w:cs="Times New Roman"/>
          <w:sz w:val="24"/>
          <w:szCs w:val="24"/>
          <w:lang w:eastAsia="hr-HR"/>
        </w:rPr>
        <w:t xml:space="preserve">. </w:t>
      </w:r>
      <w:r w:rsidR="002061B9" w:rsidRPr="000479E9">
        <w:rPr>
          <w:rFonts w:ascii="Times New Roman" w:eastAsia="Times New Roman" w:hAnsi="Times New Roman" w:cs="Times New Roman"/>
          <w:sz w:val="24"/>
          <w:szCs w:val="24"/>
          <w:lang w:eastAsia="hr-HR"/>
        </w:rPr>
        <w:t xml:space="preserve">i </w:t>
      </w:r>
      <w:r w:rsidR="00B723DC" w:rsidRPr="000479E9">
        <w:rPr>
          <w:rFonts w:ascii="Times New Roman" w:eastAsia="Times New Roman" w:hAnsi="Times New Roman" w:cs="Times New Roman"/>
          <w:sz w:val="24"/>
          <w:szCs w:val="24"/>
          <w:lang w:eastAsia="hr-HR"/>
        </w:rPr>
        <w:t>11</w:t>
      </w:r>
      <w:r w:rsidR="002061B9" w:rsidRPr="000479E9">
        <w:rPr>
          <w:rFonts w:ascii="Times New Roman" w:eastAsia="Times New Roman" w:hAnsi="Times New Roman" w:cs="Times New Roman"/>
          <w:sz w:val="24"/>
          <w:szCs w:val="24"/>
          <w:lang w:eastAsia="hr-HR"/>
        </w:rPr>
        <w:t xml:space="preserve">. </w:t>
      </w:r>
      <w:r w:rsidR="3DB04625" w:rsidRPr="000479E9">
        <w:rPr>
          <w:rFonts w:ascii="Times New Roman" w:eastAsia="Times New Roman" w:hAnsi="Times New Roman" w:cs="Times New Roman"/>
          <w:sz w:val="24"/>
          <w:szCs w:val="24"/>
          <w:lang w:eastAsia="hr-HR"/>
        </w:rPr>
        <w:t>ovoga članka, podnositelj zahtjeva ima pravo podnijeti tužbu nadležnom trgovačkom sudu</w:t>
      </w:r>
      <w:r w:rsidR="001E615F" w:rsidRPr="000479E9">
        <w:rPr>
          <w:rFonts w:ascii="Times New Roman" w:eastAsia="Times New Roman" w:hAnsi="Times New Roman" w:cs="Times New Roman"/>
          <w:sz w:val="24"/>
          <w:szCs w:val="24"/>
          <w:lang w:eastAsia="hr-HR"/>
        </w:rPr>
        <w:t>.</w:t>
      </w:r>
    </w:p>
    <w:p w14:paraId="6B03AA7B"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E59B14C" w14:textId="1B5968C6" w:rsidR="00B723DC"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(1</w:t>
      </w:r>
      <w:r w:rsidR="00B723DC" w:rsidRPr="000479E9">
        <w:rPr>
          <w:rFonts w:ascii="Times New Roman" w:eastAsia="Times New Roman" w:hAnsi="Times New Roman" w:cs="Times New Roman"/>
          <w:sz w:val="24"/>
          <w:szCs w:val="24"/>
          <w:lang w:eastAsia="hr-HR"/>
        </w:rPr>
        <w:t>3</w:t>
      </w:r>
      <w:r w:rsidRPr="000479E9">
        <w:rPr>
          <w:rFonts w:ascii="Times New Roman" w:eastAsia="Times New Roman" w:hAnsi="Times New Roman" w:cs="Times New Roman"/>
          <w:sz w:val="24"/>
          <w:szCs w:val="24"/>
          <w:lang w:eastAsia="hr-HR"/>
        </w:rPr>
        <w:t xml:space="preserve">) Kada se zahtjev za uvrštenje podnosi za novi blok dionica istoga roda, </w:t>
      </w:r>
      <w:r w:rsidR="00B723DC" w:rsidRPr="000479E9">
        <w:rPr>
          <w:rFonts w:ascii="Times New Roman" w:eastAsia="Times New Roman" w:hAnsi="Times New Roman" w:cs="Times New Roman"/>
          <w:sz w:val="24"/>
          <w:szCs w:val="24"/>
          <w:lang w:eastAsia="hr-HR"/>
        </w:rPr>
        <w:t>dostatnog broja dionica distribuiranih javnosti iz članka 328. stavaka 3. do 5. ovoga Zakona može se odnositi na sve izdane dionice istoga roda, a ne samo na novi blok dionica na koji se zahtjev odnosi.</w:t>
      </w:r>
    </w:p>
    <w:p w14:paraId="30366774"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22B8CD5" w14:textId="5939140F"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w:t>
      </w:r>
      <w:r w:rsidR="00B723DC" w:rsidRPr="000479E9">
        <w:rPr>
          <w:rFonts w:ascii="Times New Roman" w:eastAsia="Times New Roman" w:hAnsi="Times New Roman" w:cs="Times New Roman"/>
          <w:sz w:val="24"/>
          <w:szCs w:val="24"/>
          <w:lang w:eastAsia="hr-HR"/>
        </w:rPr>
        <w:t>4</w:t>
      </w:r>
      <w:r w:rsidRPr="000479E9">
        <w:rPr>
          <w:rFonts w:ascii="Times New Roman" w:eastAsia="Times New Roman" w:hAnsi="Times New Roman" w:cs="Times New Roman"/>
          <w:sz w:val="24"/>
          <w:szCs w:val="24"/>
          <w:lang w:eastAsia="hr-HR"/>
        </w:rPr>
        <w:t>) Burza može odobriti zahtjev za uvrštenje dionica onih izdavatelja čije su dionice već uvrštene u trećoj zemlji, ako je dostatan broj dionica distribuiran javnosti u trećoj zemlji ili državi u kojoj su navedene dionice uvrštene na uređeno tržište</w:t>
      </w:r>
      <w:r w:rsidR="00FB417F" w:rsidRPr="000479E9">
        <w:rPr>
          <w:rFonts w:ascii="Times New Roman" w:eastAsia="Times New Roman" w:hAnsi="Times New Roman" w:cs="Times New Roman"/>
          <w:sz w:val="24"/>
          <w:szCs w:val="24"/>
          <w:lang w:eastAsia="hr-HR"/>
        </w:rPr>
        <w:t>, što znači najmanje 10 % upisanog kapitala koji predstavlja razred dionica na koje se odnosi zahtjev za uvrštenje za trgovanje</w:t>
      </w:r>
      <w:r w:rsidRPr="000479E9">
        <w:rPr>
          <w:rFonts w:ascii="Times New Roman" w:eastAsia="Times New Roman" w:hAnsi="Times New Roman" w:cs="Times New Roman"/>
          <w:sz w:val="24"/>
          <w:szCs w:val="24"/>
          <w:lang w:eastAsia="hr-HR"/>
        </w:rPr>
        <w:t>.</w:t>
      </w:r>
    </w:p>
    <w:p w14:paraId="4BC689FD"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0F72C124" w14:textId="7DC379D5"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38F8ED77" w:rsidRPr="000479E9">
        <w:rPr>
          <w:rFonts w:ascii="Times New Roman" w:eastAsia="Times New Roman" w:hAnsi="Times New Roman" w:cs="Times New Roman"/>
          <w:sz w:val="24"/>
          <w:szCs w:val="24"/>
          <w:lang w:eastAsia="hr-HR"/>
        </w:rPr>
        <w:t>1</w:t>
      </w:r>
      <w:r w:rsidR="00B723DC"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xml:space="preserve">) Burza svojim pravilima </w:t>
      </w:r>
      <w:r w:rsidR="000F3FFC" w:rsidRPr="000479E9">
        <w:rPr>
          <w:rFonts w:ascii="Times New Roman" w:eastAsia="Times New Roman" w:hAnsi="Times New Roman" w:cs="Times New Roman"/>
          <w:sz w:val="24"/>
          <w:szCs w:val="24"/>
          <w:lang w:eastAsia="hr-HR"/>
        </w:rPr>
        <w:t xml:space="preserve">određuje </w:t>
      </w:r>
      <w:r w:rsidRPr="000479E9">
        <w:rPr>
          <w:rFonts w:ascii="Times New Roman" w:eastAsia="Times New Roman" w:hAnsi="Times New Roman" w:cs="Times New Roman"/>
          <w:sz w:val="24"/>
          <w:szCs w:val="24"/>
          <w:lang w:eastAsia="hr-HR"/>
        </w:rPr>
        <w:t>koje se dionice ne smatraju dionicama distribuiranima javnosti.</w:t>
      </w:r>
    </w:p>
    <w:p w14:paraId="406836C1"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7909582F" w14:textId="4F25E048"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5954FF" w:rsidRPr="000479E9">
        <w:rPr>
          <w:rFonts w:ascii="Times New Roman" w:eastAsia="Times New Roman" w:hAnsi="Times New Roman" w:cs="Times New Roman"/>
          <w:sz w:val="24"/>
          <w:szCs w:val="24"/>
          <w:lang w:eastAsia="hr-HR"/>
        </w:rPr>
        <w:t>1</w:t>
      </w:r>
      <w:r w:rsidR="00B723DC"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Zahtjev za uvrštenje mora se odnositi na sve izdane dionice istoga roda.</w:t>
      </w:r>
    </w:p>
    <w:p w14:paraId="76890D9D"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02DC3AB2" w14:textId="30741B2C"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2B849395" w:rsidRPr="000479E9">
        <w:rPr>
          <w:rFonts w:ascii="Times New Roman" w:eastAsia="Times New Roman" w:hAnsi="Times New Roman" w:cs="Times New Roman"/>
          <w:sz w:val="24"/>
          <w:szCs w:val="24"/>
          <w:lang w:eastAsia="hr-HR"/>
        </w:rPr>
        <w:t>1</w:t>
      </w:r>
      <w:r w:rsidR="00B723DC"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Iznimno od stavka 1</w:t>
      </w:r>
      <w:r w:rsidR="00B723DC"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ovoga članka, zahtjev za uvrštenje ne mora se odnositi na dionice koje:</w:t>
      </w:r>
    </w:p>
    <w:p w14:paraId="55C47F7A"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pripadaju paketima koji služe za održavanje kontrole nad društvom ili</w:t>
      </w:r>
    </w:p>
    <w:p w14:paraId="6E5B49BB" w14:textId="77777777" w:rsidR="001E615F" w:rsidRPr="000479E9" w:rsidRDefault="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na temelju ugovora nisu prenosive u određenom vremenskom razdoblju, pod uvjetom da je javnost obaviještena o okolnostima iz točaka 1. i 2. ovoga stavka te da interesi vlasnika dionica za koje je podnesen zahtjev za uvrštenje neće biti oštećeni.“.</w:t>
      </w:r>
    </w:p>
    <w:p w14:paraId="3F2876AE" w14:textId="77777777" w:rsidR="001E615F" w:rsidRPr="000479E9" w:rsidRDefault="001E615F" w:rsidP="001E615F">
      <w:pPr>
        <w:spacing w:beforeLines="30" w:before="72" w:afterLines="30" w:after="72" w:line="240" w:lineRule="auto"/>
        <w:jc w:val="center"/>
        <w:textAlignment w:val="baseline"/>
        <w:rPr>
          <w:rFonts w:ascii="Times New Roman" w:eastAsia="Times New Roman" w:hAnsi="Times New Roman" w:cs="Times New Roman"/>
          <w:b/>
          <w:bCs/>
          <w:sz w:val="24"/>
          <w:szCs w:val="24"/>
          <w:lang w:eastAsia="hr-HR"/>
        </w:rPr>
      </w:pPr>
    </w:p>
    <w:p w14:paraId="0E5DD2D9" w14:textId="71432FBD" w:rsidR="001E615F" w:rsidRPr="000479E9" w:rsidRDefault="001E615F" w:rsidP="00286452">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071C5C" w:rsidRPr="000479E9">
        <w:rPr>
          <w:rFonts w:ascii="Times New Roman" w:eastAsia="Times New Roman" w:hAnsi="Times New Roman" w:cs="Times New Roman"/>
          <w:b/>
          <w:sz w:val="24"/>
          <w:szCs w:val="24"/>
          <w:lang w:eastAsia="hr-HR"/>
        </w:rPr>
        <w:t>4</w:t>
      </w:r>
      <w:r w:rsidR="009E6CB9"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w:t>
      </w:r>
    </w:p>
    <w:p w14:paraId="406E75F2" w14:textId="77777777" w:rsidR="001E615F" w:rsidRPr="000479E9" w:rsidRDefault="001E615F" w:rsidP="00617A00">
      <w:pPr>
        <w:spacing w:after="0" w:line="240" w:lineRule="auto"/>
        <w:jc w:val="center"/>
        <w:rPr>
          <w:rFonts w:ascii="Times New Roman" w:eastAsia="Times New Roman" w:hAnsi="Times New Roman" w:cs="Times New Roman"/>
          <w:b/>
          <w:bCs/>
          <w:iCs/>
          <w:sz w:val="24"/>
          <w:szCs w:val="24"/>
          <w:lang w:eastAsia="hr-HR"/>
        </w:rPr>
      </w:pPr>
    </w:p>
    <w:p w14:paraId="68F918FD" w14:textId="68DF4D1E" w:rsidR="001C05FF" w:rsidRPr="000479E9" w:rsidRDefault="00C758BB" w:rsidP="00617A00">
      <w:pPr>
        <w:spacing w:after="0" w:line="240" w:lineRule="auto"/>
        <w:jc w:val="both"/>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Naslovi iznad članka i č</w:t>
      </w:r>
      <w:r w:rsidR="001E615F" w:rsidRPr="000479E9">
        <w:rPr>
          <w:rFonts w:ascii="Times New Roman" w:eastAsia="Times New Roman" w:hAnsi="Times New Roman" w:cs="Times New Roman"/>
          <w:iCs/>
          <w:sz w:val="24"/>
          <w:szCs w:val="24"/>
          <w:lang w:eastAsia="hr-HR"/>
        </w:rPr>
        <w:t>lanci 331. do 338. brišu se.</w:t>
      </w:r>
    </w:p>
    <w:p w14:paraId="335BEFF1" w14:textId="0FCAFD36" w:rsidR="001E615F" w:rsidRPr="000479E9" w:rsidRDefault="001E615F" w:rsidP="00617A00">
      <w:pPr>
        <w:spacing w:after="0" w:line="240" w:lineRule="auto"/>
        <w:jc w:val="both"/>
        <w:rPr>
          <w:rFonts w:ascii="Times New Roman" w:eastAsia="Times New Roman" w:hAnsi="Times New Roman" w:cs="Times New Roman"/>
          <w:iCs/>
          <w:sz w:val="24"/>
          <w:szCs w:val="24"/>
          <w:lang w:eastAsia="hr-HR"/>
        </w:rPr>
      </w:pPr>
    </w:p>
    <w:p w14:paraId="75B681D8" w14:textId="77777777" w:rsidR="00E31794" w:rsidRPr="000479E9" w:rsidRDefault="00E31794" w:rsidP="00617A00">
      <w:pPr>
        <w:spacing w:after="0" w:line="240" w:lineRule="auto"/>
        <w:jc w:val="center"/>
        <w:rPr>
          <w:rFonts w:ascii="Times New Roman" w:eastAsia="Times New Roman" w:hAnsi="Times New Roman" w:cs="Times New Roman"/>
          <w:b/>
          <w:bCs/>
          <w:sz w:val="24"/>
          <w:szCs w:val="24"/>
          <w:lang w:eastAsia="hr-HR"/>
        </w:rPr>
      </w:pPr>
    </w:p>
    <w:p w14:paraId="1CB6E2E9" w14:textId="398B4DD0" w:rsidR="00E31794" w:rsidRPr="000479E9" w:rsidRDefault="00E31794"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4</w:t>
      </w:r>
      <w:r w:rsidR="009E6CB9" w:rsidRPr="000479E9">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3C2F0454" w14:textId="5EF3C236" w:rsidR="00E31794" w:rsidRPr="000479E9" w:rsidRDefault="00E31794" w:rsidP="00E31794">
      <w:pPr>
        <w:spacing w:after="0" w:line="240" w:lineRule="auto"/>
        <w:rPr>
          <w:rFonts w:ascii="Times New Roman" w:eastAsia="Times New Roman" w:hAnsi="Times New Roman" w:cs="Times New Roman"/>
          <w:b/>
          <w:bCs/>
          <w:sz w:val="24"/>
          <w:szCs w:val="24"/>
          <w:lang w:eastAsia="hr-HR"/>
        </w:rPr>
      </w:pPr>
    </w:p>
    <w:p w14:paraId="2C7031D7" w14:textId="77777777" w:rsidR="00840D67" w:rsidRPr="000479E9" w:rsidRDefault="00E31794" w:rsidP="00840D67">
      <w:pPr>
        <w:spacing w:beforeLines="30" w:before="72" w:afterLines="30" w:after="72" w:line="240" w:lineRule="auto"/>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339. mijenja se i glasi:</w:t>
      </w:r>
    </w:p>
    <w:p w14:paraId="486E708D" w14:textId="35C01471" w:rsidR="00E31794" w:rsidRPr="000479E9" w:rsidRDefault="00E31794" w:rsidP="00840D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br/>
      </w:r>
      <w:r w:rsidR="00840D67"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(1) Burza može svojim pravilima, koja prihvaća izdavatelj u postupku uvrštenja, </w:t>
      </w:r>
      <w:r w:rsidR="00E3300F" w:rsidRPr="000479E9">
        <w:rPr>
          <w:rFonts w:ascii="Times New Roman" w:eastAsia="Times New Roman" w:hAnsi="Times New Roman" w:cs="Times New Roman"/>
          <w:sz w:val="24"/>
          <w:szCs w:val="24"/>
          <w:lang w:eastAsia="hr-HR"/>
        </w:rPr>
        <w:t xml:space="preserve">urediti </w:t>
      </w:r>
      <w:r w:rsidRPr="000479E9">
        <w:rPr>
          <w:rFonts w:ascii="Times New Roman" w:eastAsia="Times New Roman" w:hAnsi="Times New Roman" w:cs="Times New Roman"/>
          <w:sz w:val="24"/>
          <w:szCs w:val="24"/>
          <w:lang w:eastAsia="hr-HR"/>
        </w:rPr>
        <w:t>dodatne ugovorne obveze u pogledu dostave ili objave podataka radi zaštite ulagatelja ili urednog funkcioniranja tržišta.</w:t>
      </w:r>
    </w:p>
    <w:p w14:paraId="72373D23" w14:textId="77777777" w:rsidR="00840D67" w:rsidRPr="000479E9" w:rsidRDefault="00840D67" w:rsidP="00840D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1ECDC74" w14:textId="4C314C31" w:rsidR="00E31794" w:rsidRPr="000479E9" w:rsidRDefault="00E31794" w:rsidP="00E3179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Izdavatelj će obavijestiti burzu prilikom nove javne ponude dionica koje su istoga roda kao i dionice već uvrštene na uređeno tržište.</w:t>
      </w:r>
    </w:p>
    <w:p w14:paraId="1A44E3F9" w14:textId="77777777" w:rsidR="00840D67" w:rsidRPr="000479E9" w:rsidRDefault="00840D67" w:rsidP="00E3179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79BC50C" w14:textId="3034EA9F" w:rsidR="00E31794" w:rsidRPr="000479E9" w:rsidRDefault="00E31794" w:rsidP="00E3179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(3) Burza će pravilima </w:t>
      </w:r>
      <w:r w:rsidR="00E3300F" w:rsidRPr="000479E9">
        <w:rPr>
          <w:rFonts w:ascii="Times New Roman" w:eastAsia="Times New Roman" w:hAnsi="Times New Roman" w:cs="Times New Roman"/>
          <w:sz w:val="24"/>
          <w:szCs w:val="24"/>
          <w:lang w:eastAsia="hr-HR"/>
        </w:rPr>
        <w:t xml:space="preserve">urediti </w:t>
      </w:r>
      <w:r w:rsidRPr="000479E9">
        <w:rPr>
          <w:rFonts w:ascii="Times New Roman" w:eastAsia="Times New Roman" w:hAnsi="Times New Roman" w:cs="Times New Roman"/>
          <w:sz w:val="24"/>
          <w:szCs w:val="24"/>
          <w:lang w:eastAsia="hr-HR"/>
        </w:rPr>
        <w:t>podatke koje joj je izdavatelj dužan dostaviti u slučaju iz stavka</w:t>
      </w:r>
      <w:r w:rsidR="797AAFDD"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2. ovoga članka</w:t>
      </w:r>
      <w:r w:rsidR="002B2A04"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p>
    <w:p w14:paraId="40FF5A0F" w14:textId="77777777" w:rsidR="00840D67" w:rsidRPr="000479E9" w:rsidRDefault="00840D67" w:rsidP="00E3179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DE32211" w14:textId="7333D746" w:rsidR="00E31794" w:rsidRPr="000479E9" w:rsidRDefault="00E31794" w:rsidP="00E3179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840D67" w:rsidRPr="000479E9">
        <w:rPr>
          <w:rFonts w:ascii="Times New Roman" w:eastAsia="Times New Roman" w:hAnsi="Times New Roman" w:cs="Times New Roman"/>
          <w:sz w:val="24"/>
          <w:szCs w:val="24"/>
          <w:lang w:eastAsia="hr-HR"/>
        </w:rPr>
        <w:t>4</w:t>
      </w:r>
      <w:r w:rsidRPr="000479E9">
        <w:rPr>
          <w:rFonts w:ascii="Times New Roman" w:eastAsia="Times New Roman" w:hAnsi="Times New Roman" w:cs="Times New Roman"/>
          <w:sz w:val="24"/>
          <w:szCs w:val="24"/>
          <w:lang w:eastAsia="hr-HR"/>
        </w:rPr>
        <w:t xml:space="preserve">) Burza će javno objaviti </w:t>
      </w:r>
      <w:r w:rsidR="007F4A91" w:rsidRPr="000479E9">
        <w:rPr>
          <w:rFonts w:ascii="Times New Roman" w:eastAsia="Times New Roman" w:hAnsi="Times New Roman" w:cs="Times New Roman"/>
          <w:sz w:val="24"/>
          <w:szCs w:val="24"/>
          <w:lang w:eastAsia="hr-HR"/>
        </w:rPr>
        <w:t>pravila</w:t>
      </w:r>
      <w:r w:rsidRPr="000479E9">
        <w:rPr>
          <w:rFonts w:ascii="Times New Roman" w:eastAsia="Times New Roman" w:hAnsi="Times New Roman" w:cs="Times New Roman"/>
          <w:sz w:val="24"/>
          <w:szCs w:val="24"/>
          <w:lang w:eastAsia="hr-HR"/>
        </w:rPr>
        <w:t xml:space="preserve"> iz stavka 3. ovoga članka</w:t>
      </w:r>
      <w:r w:rsidR="00840D67" w:rsidRPr="000479E9">
        <w:rPr>
          <w:rFonts w:ascii="Times New Roman" w:eastAsia="Times New Roman" w:hAnsi="Times New Roman" w:cs="Times New Roman"/>
          <w:sz w:val="24"/>
          <w:szCs w:val="24"/>
          <w:lang w:eastAsia="hr-HR"/>
        </w:rPr>
        <w:t xml:space="preserve"> radi informiranja ulagatelja i potencijalnih ulagatelja.“</w:t>
      </w:r>
      <w:r w:rsidR="00B422EF" w:rsidRPr="000479E9">
        <w:rPr>
          <w:rFonts w:ascii="Times New Roman" w:eastAsia="Times New Roman" w:hAnsi="Times New Roman" w:cs="Times New Roman"/>
          <w:sz w:val="24"/>
          <w:szCs w:val="24"/>
          <w:lang w:eastAsia="hr-HR"/>
        </w:rPr>
        <w:t>.</w:t>
      </w:r>
    </w:p>
    <w:p w14:paraId="5D4867A0" w14:textId="3DBC5392" w:rsidR="00840D67" w:rsidRPr="000479E9" w:rsidRDefault="00840D67" w:rsidP="00E3179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7CDED7D6" w14:textId="7919A93B" w:rsidR="00840D67" w:rsidRPr="000479E9" w:rsidRDefault="00840D67" w:rsidP="00840D67">
      <w:pPr>
        <w:spacing w:beforeLines="30" w:before="72" w:afterLines="30" w:after="72" w:line="240" w:lineRule="auto"/>
        <w:jc w:val="center"/>
        <w:textAlignment w:val="baseline"/>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4</w:t>
      </w:r>
      <w:r w:rsidR="009E6CB9"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 xml:space="preserve">. </w:t>
      </w:r>
    </w:p>
    <w:p w14:paraId="74DE2087" w14:textId="61F66369" w:rsidR="00E31794" w:rsidRPr="000479E9" w:rsidRDefault="00E31794" w:rsidP="00E31794">
      <w:pPr>
        <w:spacing w:after="0" w:line="240" w:lineRule="auto"/>
        <w:rPr>
          <w:rFonts w:ascii="Times New Roman" w:eastAsia="Times New Roman" w:hAnsi="Times New Roman" w:cs="Times New Roman"/>
          <w:sz w:val="24"/>
          <w:szCs w:val="24"/>
          <w:lang w:eastAsia="hr-HR"/>
        </w:rPr>
      </w:pPr>
    </w:p>
    <w:p w14:paraId="445094ED" w14:textId="522ACDB5" w:rsidR="00840D67" w:rsidRPr="000479E9" w:rsidRDefault="00D17D06" w:rsidP="00E31794">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340. stavak 10. briše se.</w:t>
      </w:r>
    </w:p>
    <w:p w14:paraId="1897376D" w14:textId="7C360C16" w:rsidR="00D17D06" w:rsidRPr="000479E9" w:rsidRDefault="00D17D06" w:rsidP="00E31794">
      <w:pPr>
        <w:spacing w:after="0" w:line="240" w:lineRule="auto"/>
        <w:rPr>
          <w:rFonts w:ascii="Times New Roman" w:eastAsia="Times New Roman" w:hAnsi="Times New Roman" w:cs="Times New Roman"/>
          <w:sz w:val="24"/>
          <w:szCs w:val="24"/>
          <w:lang w:eastAsia="hr-HR"/>
        </w:rPr>
      </w:pPr>
    </w:p>
    <w:p w14:paraId="16FB8D8A" w14:textId="687E239C" w:rsidR="00D17D06" w:rsidRPr="000479E9" w:rsidRDefault="00D17D06" w:rsidP="00D17D06">
      <w:pPr>
        <w:spacing w:beforeLines="30" w:before="72" w:afterLines="30" w:after="72" w:line="240" w:lineRule="auto"/>
        <w:jc w:val="center"/>
        <w:textAlignment w:val="baseline"/>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4</w:t>
      </w:r>
      <w:r w:rsidR="009E6CB9" w:rsidRPr="000479E9">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 xml:space="preserve">. </w:t>
      </w:r>
    </w:p>
    <w:p w14:paraId="407AB0BD" w14:textId="00F728E6" w:rsidR="00D17D06" w:rsidRPr="000479E9" w:rsidRDefault="00D17D06" w:rsidP="00E31794">
      <w:pPr>
        <w:spacing w:after="0" w:line="240" w:lineRule="auto"/>
        <w:rPr>
          <w:rFonts w:ascii="Times New Roman" w:eastAsia="Times New Roman" w:hAnsi="Times New Roman" w:cs="Times New Roman"/>
          <w:sz w:val="24"/>
          <w:szCs w:val="24"/>
          <w:lang w:eastAsia="hr-HR"/>
        </w:rPr>
      </w:pPr>
    </w:p>
    <w:p w14:paraId="24E8BDD2" w14:textId="0E8B348E" w:rsidR="00D17D06" w:rsidRPr="000479E9" w:rsidRDefault="00D17D06" w:rsidP="00E11A0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341. stavku 6. </w:t>
      </w:r>
      <w:r w:rsidR="00A3605C" w:rsidRPr="000479E9">
        <w:rPr>
          <w:rFonts w:ascii="Times New Roman" w:eastAsia="Times New Roman" w:hAnsi="Times New Roman" w:cs="Times New Roman"/>
          <w:sz w:val="24"/>
          <w:szCs w:val="24"/>
          <w:lang w:eastAsia="hr-HR"/>
        </w:rPr>
        <w:t xml:space="preserve">iza prve rečenice </w:t>
      </w:r>
      <w:r w:rsidRPr="000479E9">
        <w:rPr>
          <w:rFonts w:ascii="Times New Roman" w:eastAsia="Times New Roman" w:hAnsi="Times New Roman" w:cs="Times New Roman"/>
          <w:sz w:val="24"/>
          <w:szCs w:val="24"/>
          <w:lang w:eastAsia="hr-HR"/>
        </w:rPr>
        <w:t>dodaje se rečenica koja glasi: „</w:t>
      </w:r>
      <w:r w:rsidR="007F4A91" w:rsidRPr="000479E9">
        <w:rPr>
          <w:rFonts w:ascii="Times New Roman" w:eastAsia="Times New Roman" w:hAnsi="Times New Roman" w:cs="Times New Roman"/>
          <w:sz w:val="24"/>
          <w:szCs w:val="24"/>
          <w:lang w:eastAsia="hr-HR"/>
        </w:rPr>
        <w:t>Takva odluka</w:t>
      </w:r>
      <w:r w:rsidRPr="000479E9">
        <w:rPr>
          <w:rFonts w:ascii="Times New Roman" w:eastAsia="Times New Roman" w:hAnsi="Times New Roman" w:cs="Times New Roman"/>
          <w:sz w:val="24"/>
          <w:szCs w:val="24"/>
          <w:lang w:eastAsia="hr-HR"/>
        </w:rPr>
        <w:t xml:space="preserve"> ne isključuje pravo manjinskih dioničara da pred nadležnim sudom osporavaju visinu pravične naknade.“</w:t>
      </w:r>
      <w:r w:rsidR="00E5792A" w:rsidRPr="000479E9">
        <w:rPr>
          <w:rFonts w:ascii="Times New Roman" w:eastAsia="Times New Roman" w:hAnsi="Times New Roman" w:cs="Times New Roman"/>
          <w:sz w:val="24"/>
          <w:szCs w:val="24"/>
          <w:lang w:eastAsia="hr-HR"/>
        </w:rPr>
        <w:t>.</w:t>
      </w:r>
    </w:p>
    <w:p w14:paraId="2DDEBCD5" w14:textId="77777777" w:rsidR="00E31794" w:rsidRPr="000479E9" w:rsidRDefault="00E31794" w:rsidP="00617A00">
      <w:pPr>
        <w:spacing w:after="0" w:line="240" w:lineRule="auto"/>
        <w:jc w:val="center"/>
        <w:rPr>
          <w:rFonts w:ascii="Times New Roman" w:eastAsia="Times New Roman" w:hAnsi="Times New Roman" w:cs="Times New Roman"/>
          <w:b/>
          <w:bCs/>
          <w:sz w:val="24"/>
          <w:szCs w:val="24"/>
          <w:lang w:eastAsia="hr-HR"/>
        </w:rPr>
      </w:pPr>
    </w:p>
    <w:p w14:paraId="2B646884" w14:textId="4A28F628" w:rsidR="00D17D06" w:rsidRPr="000479E9" w:rsidRDefault="00D17D06"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4</w:t>
      </w:r>
      <w:r w:rsidR="009E6CB9" w:rsidRPr="000479E9">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 xml:space="preserve">. </w:t>
      </w:r>
    </w:p>
    <w:p w14:paraId="109E4F03" w14:textId="55D6019B" w:rsidR="00D17D06" w:rsidRPr="000479E9" w:rsidRDefault="00D17D06" w:rsidP="00D17D06">
      <w:pPr>
        <w:spacing w:after="0" w:line="240" w:lineRule="auto"/>
        <w:rPr>
          <w:rFonts w:ascii="Times New Roman" w:eastAsia="Times New Roman" w:hAnsi="Times New Roman" w:cs="Times New Roman"/>
          <w:b/>
          <w:bCs/>
          <w:sz w:val="24"/>
          <w:szCs w:val="24"/>
          <w:lang w:eastAsia="hr-HR"/>
        </w:rPr>
      </w:pPr>
    </w:p>
    <w:p w14:paraId="089FD2DB" w14:textId="5644130D" w:rsidR="00D17D06" w:rsidRPr="000479E9" w:rsidRDefault="4706D875" w:rsidP="1DEA14D9">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344.a mijenja se i glasi:</w:t>
      </w:r>
    </w:p>
    <w:p w14:paraId="2C42D1EC" w14:textId="5B906DDF" w:rsidR="00D17D06" w:rsidRPr="000479E9" w:rsidRDefault="00D17D06" w:rsidP="1DEA14D9">
      <w:pPr>
        <w:spacing w:after="0" w:line="240" w:lineRule="auto"/>
        <w:rPr>
          <w:rFonts w:ascii="Times New Roman" w:eastAsia="Times New Roman" w:hAnsi="Times New Roman" w:cs="Times New Roman"/>
          <w:sz w:val="24"/>
          <w:szCs w:val="24"/>
          <w:lang w:eastAsia="hr-HR"/>
        </w:rPr>
      </w:pPr>
    </w:p>
    <w:p w14:paraId="40FC6F6E" w14:textId="178AAAF6" w:rsidR="00D17D06" w:rsidRPr="000479E9" w:rsidRDefault="00F34CE1"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4706D875" w:rsidRPr="000479E9">
        <w:rPr>
          <w:rFonts w:ascii="Times New Roman" w:eastAsia="Times New Roman" w:hAnsi="Times New Roman" w:cs="Times New Roman"/>
          <w:sz w:val="24"/>
          <w:szCs w:val="24"/>
          <w:lang w:eastAsia="hr-HR"/>
        </w:rPr>
        <w:t xml:space="preserve">Operater MTP-a ili OTP-a dužan je postupati sukladno članku 295. </w:t>
      </w:r>
      <w:r w:rsidR="00DD0BA8">
        <w:rPr>
          <w:rFonts w:ascii="Times New Roman" w:eastAsia="Times New Roman" w:hAnsi="Times New Roman" w:cs="Times New Roman"/>
          <w:sz w:val="24"/>
          <w:szCs w:val="24"/>
          <w:lang w:eastAsia="hr-HR"/>
        </w:rPr>
        <w:t>stavcima</w:t>
      </w:r>
      <w:r w:rsidR="00DD0BA8" w:rsidRPr="000479E9">
        <w:rPr>
          <w:rFonts w:ascii="Times New Roman" w:eastAsia="Times New Roman" w:hAnsi="Times New Roman" w:cs="Times New Roman"/>
          <w:sz w:val="24"/>
          <w:szCs w:val="24"/>
          <w:lang w:eastAsia="hr-HR"/>
        </w:rPr>
        <w:t xml:space="preserve"> </w:t>
      </w:r>
      <w:r w:rsidR="4706D875" w:rsidRPr="000479E9">
        <w:rPr>
          <w:rFonts w:ascii="Times New Roman" w:eastAsia="Times New Roman" w:hAnsi="Times New Roman" w:cs="Times New Roman"/>
          <w:sz w:val="24"/>
          <w:szCs w:val="24"/>
          <w:lang w:eastAsia="hr-HR"/>
        </w:rPr>
        <w:t>8. i 13. ovoga Zakona.”</w:t>
      </w:r>
      <w:r w:rsidRPr="000479E9">
        <w:rPr>
          <w:rFonts w:ascii="Times New Roman" w:eastAsia="Times New Roman" w:hAnsi="Times New Roman" w:cs="Times New Roman"/>
          <w:sz w:val="24"/>
          <w:szCs w:val="24"/>
          <w:lang w:eastAsia="hr-HR"/>
        </w:rPr>
        <w:t>.</w:t>
      </w:r>
    </w:p>
    <w:p w14:paraId="48771A8A" w14:textId="77777777" w:rsidR="00D17D06" w:rsidRPr="000479E9" w:rsidRDefault="00D17D06" w:rsidP="00617A00">
      <w:pPr>
        <w:spacing w:after="0" w:line="240" w:lineRule="auto"/>
        <w:jc w:val="center"/>
        <w:rPr>
          <w:rFonts w:ascii="Times New Roman" w:eastAsia="Times New Roman" w:hAnsi="Times New Roman" w:cs="Times New Roman"/>
          <w:b/>
          <w:bCs/>
          <w:sz w:val="24"/>
          <w:szCs w:val="24"/>
          <w:lang w:eastAsia="hr-HR"/>
        </w:rPr>
      </w:pPr>
    </w:p>
    <w:p w14:paraId="6910CDAF" w14:textId="2078383F"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4</w:t>
      </w:r>
      <w:r w:rsidR="009E6CB9" w:rsidRPr="000479E9">
        <w:rPr>
          <w:rFonts w:ascii="Times New Roman" w:eastAsia="Times New Roman" w:hAnsi="Times New Roman" w:cs="Times New Roman"/>
          <w:b/>
          <w:bCs/>
          <w:sz w:val="24"/>
          <w:szCs w:val="24"/>
          <w:lang w:eastAsia="hr-HR"/>
        </w:rPr>
        <w:t>9</w:t>
      </w:r>
      <w:r w:rsidRPr="000479E9">
        <w:rPr>
          <w:rFonts w:ascii="Times New Roman" w:eastAsia="Times New Roman" w:hAnsi="Times New Roman" w:cs="Times New Roman"/>
          <w:b/>
          <w:bCs/>
          <w:sz w:val="24"/>
          <w:szCs w:val="24"/>
          <w:lang w:eastAsia="hr-HR"/>
        </w:rPr>
        <w:t>.</w:t>
      </w:r>
    </w:p>
    <w:p w14:paraId="44AFAA4F"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2257C95"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352. stavku 1. iza riječi: „registrirati MTP“ dodaju se riječi: „ili segment MTP-a“, a iza riječi: „ovoga članka“ dodaju se riječi: „ili ako segment MTP-a ispunjava uvjete iz stavka 4. ovoga članka“. </w:t>
      </w:r>
    </w:p>
    <w:p w14:paraId="1329187A" w14:textId="4B5D4090"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A9CCA93"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stavka 3. dodaje se novi stavak 4. koji glasi:</w:t>
      </w:r>
    </w:p>
    <w:p w14:paraId="5C144377"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06D12CF"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Operater MTP-a koji namjerava registrirati segment MTP-a kao rastuće tržište malih i srednjih poduzeća, osim uvjeta iz stavka 3. ovoga članka, dužan je osigurati da se na njega primjenjuju i sljedeći uvjeti:</w:t>
      </w:r>
    </w:p>
    <w:p w14:paraId="43775C3A"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5519EC6B"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segment MTP-a koji je registriran kao „rastuće tržište malih i srednjih poduzeća“ jasno je odvojen od ostalih tržišnih segmenata kojima upravlja, što se, između ostaloga, dokazuje različitim nazivom, različitim pravilima, različitom strategijom trgovanja i različitom javnom promidžbom, kao i specifičnom identifikacijskom oznakom tržišta dodijeljenom segmentu koji je registriran kao segment rastućeg tržišta malih i srednjih poduzeća</w:t>
      </w:r>
    </w:p>
    <w:p w14:paraId="5E8FAC6C"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48D6861F"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transakcije izvršene na dotičnom segmentu rastućeg tržišta malih i srednjih poduzeća jasno se razlikuju od drugih tržišnih aktivnosti na drugim segmentima MTP-a i</w:t>
      </w:r>
    </w:p>
    <w:p w14:paraId="68E439C3"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1688DA44"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na zahtjev Agencije, dostavlja detaljan popis instrumenata uvrštenih na dotični segment rastućeg tržišta malih i srednjih poduzeća, kao i sve informacije o poslovanju tog segmenta koje nadležno tijelo može zatražiti.“.</w:t>
      </w:r>
    </w:p>
    <w:p w14:paraId="1B2A0FD0" w14:textId="77777777" w:rsidR="001E615F" w:rsidRPr="000479E9" w:rsidRDefault="001E615F" w:rsidP="001E615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7AD5F60"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4. koji postaje stavak 5. iza riječi: „iz stavka 3.“ dodaju se riječi: „odnosno stavka 4.“, a iza riječi: „registraciju MTP-a“ dodaju se riječi: „ili segmenta MTP-a“.</w:t>
      </w:r>
    </w:p>
    <w:p w14:paraId="1130C44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6E6F94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stavci 5. i 6. brišu se.</w:t>
      </w:r>
    </w:p>
    <w:p w14:paraId="35F569E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2EC0E8C" w14:textId="0B8C02DC"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7. koji postaje stavak 6. iza riječi: „registraciju MTP-a“ dodaju se riječi: „ili segmenta MTP-a“</w:t>
      </w:r>
      <w:r w:rsidR="001B0BA8" w:rsidRPr="000479E9">
        <w:rPr>
          <w:rFonts w:ascii="Times New Roman" w:eastAsia="Times New Roman" w:hAnsi="Times New Roman" w:cs="Times New Roman"/>
          <w:sz w:val="24"/>
          <w:szCs w:val="24"/>
          <w:lang w:eastAsia="hr-HR"/>
        </w:rPr>
        <w:t>,</w:t>
      </w:r>
      <w:r w:rsidR="2F07A8DB" w:rsidRPr="000479E9">
        <w:rPr>
          <w:rFonts w:ascii="Times New Roman" w:eastAsia="Times New Roman" w:hAnsi="Times New Roman" w:cs="Times New Roman"/>
          <w:sz w:val="24"/>
          <w:szCs w:val="24"/>
          <w:lang w:eastAsia="hr-HR"/>
        </w:rPr>
        <w:t xml:space="preserve"> a iza broja </w:t>
      </w:r>
      <w:r w:rsidR="00434E0D" w:rsidRPr="000479E9">
        <w:rPr>
          <w:rFonts w:ascii="Times New Roman" w:eastAsia="Times New Roman" w:hAnsi="Times New Roman" w:cs="Times New Roman"/>
          <w:sz w:val="24"/>
          <w:szCs w:val="24"/>
          <w:lang w:eastAsia="hr-HR"/>
        </w:rPr>
        <w:t>„</w:t>
      </w:r>
      <w:r w:rsidR="2F07A8DB" w:rsidRPr="000479E9">
        <w:rPr>
          <w:rFonts w:ascii="Times New Roman" w:eastAsia="Times New Roman" w:hAnsi="Times New Roman" w:cs="Times New Roman"/>
          <w:sz w:val="24"/>
          <w:szCs w:val="24"/>
          <w:lang w:eastAsia="hr-HR"/>
        </w:rPr>
        <w:t>3.</w:t>
      </w:r>
      <w:r w:rsidR="00434E0D" w:rsidRPr="000479E9">
        <w:rPr>
          <w:rFonts w:ascii="Times New Roman" w:eastAsia="Times New Roman" w:hAnsi="Times New Roman" w:cs="Times New Roman"/>
          <w:sz w:val="24"/>
          <w:szCs w:val="24"/>
          <w:lang w:eastAsia="hr-HR"/>
        </w:rPr>
        <w:t>“</w:t>
      </w:r>
      <w:r w:rsidR="2F07A8DB" w:rsidRPr="000479E9">
        <w:rPr>
          <w:rFonts w:ascii="Times New Roman" w:eastAsia="Times New Roman" w:hAnsi="Times New Roman" w:cs="Times New Roman"/>
          <w:sz w:val="24"/>
          <w:szCs w:val="24"/>
          <w:lang w:eastAsia="hr-HR"/>
        </w:rPr>
        <w:t xml:space="preserve"> dodaju se riječi</w:t>
      </w:r>
      <w:r w:rsidR="00434E0D" w:rsidRPr="000479E9">
        <w:rPr>
          <w:rFonts w:ascii="Times New Roman" w:eastAsia="Times New Roman" w:hAnsi="Times New Roman" w:cs="Times New Roman"/>
          <w:sz w:val="24"/>
          <w:szCs w:val="24"/>
          <w:lang w:eastAsia="hr-HR"/>
        </w:rPr>
        <w:t>:</w:t>
      </w:r>
      <w:r w:rsidR="2F07A8DB" w:rsidRPr="000479E9">
        <w:rPr>
          <w:rFonts w:ascii="Times New Roman" w:eastAsia="Times New Roman" w:hAnsi="Times New Roman" w:cs="Times New Roman"/>
          <w:sz w:val="24"/>
          <w:szCs w:val="24"/>
          <w:lang w:eastAsia="hr-HR"/>
        </w:rPr>
        <w:t xml:space="preserve"> </w:t>
      </w:r>
      <w:r w:rsidR="00244681" w:rsidRPr="000479E9">
        <w:rPr>
          <w:rFonts w:ascii="Times New Roman" w:eastAsia="Times New Roman" w:hAnsi="Times New Roman" w:cs="Times New Roman"/>
          <w:sz w:val="24"/>
          <w:szCs w:val="24"/>
          <w:lang w:eastAsia="hr-HR"/>
        </w:rPr>
        <w:t>„</w:t>
      </w:r>
      <w:r w:rsidR="2F07A8DB" w:rsidRPr="000479E9">
        <w:rPr>
          <w:rFonts w:ascii="Times New Roman" w:eastAsia="Times New Roman" w:hAnsi="Times New Roman" w:cs="Times New Roman"/>
          <w:sz w:val="24"/>
          <w:szCs w:val="24"/>
          <w:lang w:eastAsia="hr-HR"/>
        </w:rPr>
        <w:t>i 4.”</w:t>
      </w:r>
      <w:r w:rsidRPr="000479E9">
        <w:rPr>
          <w:rFonts w:ascii="Times New Roman" w:eastAsia="Times New Roman" w:hAnsi="Times New Roman" w:cs="Times New Roman"/>
          <w:sz w:val="24"/>
          <w:szCs w:val="24"/>
          <w:lang w:eastAsia="hr-HR"/>
        </w:rPr>
        <w:t>.</w:t>
      </w:r>
    </w:p>
    <w:p w14:paraId="54F6C59C"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095E82D" w14:textId="3F1288F3" w:rsidR="009E6CB9" w:rsidRPr="000479E9" w:rsidRDefault="001E615F" w:rsidP="009E6CB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8. koji postaje stavak 7. iza riječi: „registrirati MTP“ dodaju se riječi: „ili segment MTP-a“, iza riječi: „pravilima MTP-a“ dodaju se riječi: „ili segmenta MTP-a“</w:t>
      </w:r>
      <w:r w:rsidR="009E6CB9" w:rsidRPr="000479E9">
        <w:rPr>
          <w:rFonts w:ascii="Times New Roman" w:eastAsia="Times New Roman" w:hAnsi="Times New Roman" w:cs="Times New Roman"/>
          <w:sz w:val="24"/>
          <w:szCs w:val="24"/>
          <w:lang w:eastAsia="hr-HR"/>
        </w:rPr>
        <w:t>, a iza broja: „3.” dodaju se riječi: „i 4.”.</w:t>
      </w:r>
    </w:p>
    <w:p w14:paraId="1A07C6B8" w14:textId="451CB7BB"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B5594B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stavak 9. briše se.</w:t>
      </w:r>
    </w:p>
    <w:p w14:paraId="7D37802E"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53D5208" w14:textId="096DF37C"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9344D6" w:rsidRPr="000479E9">
        <w:rPr>
          <w:rFonts w:ascii="Times New Roman" w:eastAsia="Times New Roman" w:hAnsi="Times New Roman" w:cs="Times New Roman"/>
          <w:b/>
          <w:bCs/>
          <w:sz w:val="24"/>
          <w:szCs w:val="24"/>
          <w:lang w:eastAsia="hr-HR"/>
        </w:rPr>
        <w:t>50</w:t>
      </w:r>
      <w:r w:rsidRPr="000479E9">
        <w:rPr>
          <w:rFonts w:ascii="Times New Roman" w:eastAsia="Times New Roman" w:hAnsi="Times New Roman" w:cs="Times New Roman"/>
          <w:b/>
          <w:bCs/>
          <w:sz w:val="24"/>
          <w:szCs w:val="24"/>
          <w:lang w:eastAsia="hr-HR"/>
        </w:rPr>
        <w:t>.</w:t>
      </w:r>
    </w:p>
    <w:p w14:paraId="2C80D759"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65D22E06"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353. stavku 1. u uvodnoj rečenici iza riječi: „registra MTP“ dodaju se riječi: „ili segment MTP-a“.</w:t>
      </w:r>
    </w:p>
    <w:p w14:paraId="4B3C7AF7"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A4626F3"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točki 3. iza riječi: „iz članka 352. stavka 3. točaka 2. do 7.“ dodaju se riječi: „ili stavka 4.“.</w:t>
      </w:r>
    </w:p>
    <w:p w14:paraId="20513496"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65B1F1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stavku 2. iza riječi: „ registra MTP“ dodaju se riječi: „ili segment MTP-a“.</w:t>
      </w:r>
    </w:p>
    <w:p w14:paraId="50C43222"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1C42376"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C9128EE" w14:textId="7C1F4B62"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9344D6" w:rsidRPr="000479E9">
        <w:rPr>
          <w:rFonts w:ascii="Times New Roman" w:eastAsia="Times New Roman" w:hAnsi="Times New Roman" w:cs="Times New Roman"/>
          <w:b/>
          <w:bCs/>
          <w:sz w:val="24"/>
          <w:szCs w:val="24"/>
          <w:lang w:eastAsia="hr-HR"/>
        </w:rPr>
        <w:t>51</w:t>
      </w:r>
      <w:r w:rsidRPr="000479E9">
        <w:rPr>
          <w:rFonts w:ascii="Times New Roman" w:eastAsia="Times New Roman" w:hAnsi="Times New Roman" w:cs="Times New Roman"/>
          <w:b/>
          <w:bCs/>
          <w:sz w:val="24"/>
          <w:szCs w:val="24"/>
          <w:lang w:eastAsia="hr-HR"/>
        </w:rPr>
        <w:t>.</w:t>
      </w:r>
    </w:p>
    <w:p w14:paraId="57DBFBBD"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D55743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354. mijenja se i glasi:</w:t>
      </w:r>
    </w:p>
    <w:p w14:paraId="4258A47F"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7396CB3" w14:textId="2AA1CCD0" w:rsidR="00B60E4E"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Ako je financijski instrument izdavatelja primljen u trgovinu na jednom MTP-u koji je registriran kao rastuće tržište malih i srednjih poduzeća u državi članici Europske unije, on može biti primljen u trgovinu na nekom drugom mjestu trgovanja samo ako je izdavatelj o tome obaviješten i ako se izdavatelj nije usprotivio primanju financijskog instrumenta u trgovinu na tom drugom mjestu trgovanja. </w:t>
      </w:r>
    </w:p>
    <w:p w14:paraId="1333680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362A21F8" w14:textId="579BD746"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FB417F"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 xml:space="preserve">) U slučaju iz stavka 1. ovoga članka, ako je to drugo mjesto trgovanja drugo rastuće tržište malih i srednjih poduzeća ili segment rastućeg tržišta malih i srednjih poduzeća izdavatelj ne podliježe obvezama vezanim uz korporativno upravljanje i </w:t>
      </w:r>
      <w:r w:rsidRPr="000479E9">
        <w:rPr>
          <w:rFonts w:ascii="Times New Roman" w:eastAsia="Times New Roman" w:hAnsi="Times New Roman" w:cs="Times New Roman"/>
          <w:sz w:val="24"/>
          <w:szCs w:val="24"/>
          <w:lang w:eastAsia="hr-HR"/>
        </w:rPr>
        <w:lastRenderedPageBreak/>
        <w:t>obvezama vezanim za početno, stalno ili </w:t>
      </w:r>
      <w:r w:rsidRPr="000479E9">
        <w:rPr>
          <w:rFonts w:ascii="Times New Roman" w:eastAsia="Times New Roman" w:hAnsi="Times New Roman" w:cs="Times New Roman"/>
          <w:i/>
          <w:sz w:val="24"/>
          <w:szCs w:val="24"/>
          <w:lang w:eastAsia="hr-HR"/>
        </w:rPr>
        <w:t>ad hoc</w:t>
      </w:r>
      <w:r w:rsidRPr="000479E9">
        <w:rPr>
          <w:rFonts w:ascii="Times New Roman" w:eastAsia="Times New Roman" w:hAnsi="Times New Roman" w:cs="Times New Roman"/>
          <w:iCs/>
          <w:sz w:val="24"/>
          <w:szCs w:val="24"/>
          <w:lang w:eastAsia="hr-HR"/>
        </w:rPr>
        <w:t> </w:t>
      </w:r>
      <w:r w:rsidRPr="000479E9">
        <w:rPr>
          <w:rFonts w:ascii="Times New Roman" w:eastAsia="Times New Roman" w:hAnsi="Times New Roman" w:cs="Times New Roman"/>
          <w:sz w:val="24"/>
          <w:szCs w:val="24"/>
          <w:lang w:eastAsia="hr-HR"/>
        </w:rPr>
        <w:t>objavljivanje informacija u odnosu na takav drugi MTP-u registriran kao rastuće tržište malih i srednjih poduzeća.</w:t>
      </w:r>
    </w:p>
    <w:p w14:paraId="0965E9A2"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5C0AAB8" w14:textId="747FBF50"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FB417F" w:rsidRPr="000479E9">
        <w:rPr>
          <w:rFonts w:ascii="Times New Roman" w:eastAsia="Times New Roman" w:hAnsi="Times New Roman" w:cs="Times New Roman"/>
          <w:sz w:val="24"/>
          <w:szCs w:val="24"/>
          <w:lang w:eastAsia="hr-HR"/>
        </w:rPr>
        <w:t>3</w:t>
      </w:r>
      <w:r w:rsidRPr="000479E9">
        <w:rPr>
          <w:rFonts w:ascii="Times New Roman" w:eastAsia="Times New Roman" w:hAnsi="Times New Roman" w:cs="Times New Roman"/>
          <w:sz w:val="24"/>
          <w:szCs w:val="24"/>
          <w:lang w:eastAsia="hr-HR"/>
        </w:rPr>
        <w:t xml:space="preserve">) Ako drugo mjesto trgovanja </w:t>
      </w:r>
      <w:r w:rsidR="0073555D" w:rsidRPr="000479E9">
        <w:rPr>
          <w:rFonts w:ascii="Times New Roman" w:eastAsia="Times New Roman" w:hAnsi="Times New Roman" w:cs="Times New Roman"/>
          <w:sz w:val="24"/>
          <w:szCs w:val="24"/>
          <w:lang w:eastAsia="hr-HR"/>
        </w:rPr>
        <w:t xml:space="preserve">iz stavka 1. ovoga članka </w:t>
      </w:r>
      <w:r w:rsidRPr="000479E9">
        <w:rPr>
          <w:rFonts w:ascii="Times New Roman" w:eastAsia="Times New Roman" w:hAnsi="Times New Roman" w:cs="Times New Roman"/>
          <w:sz w:val="24"/>
          <w:szCs w:val="24"/>
          <w:lang w:eastAsia="hr-HR"/>
        </w:rPr>
        <w:t xml:space="preserve">nije rastuće tržište malih i srednjih poduzeća, izdavatelja se obavješćuje o svim obvezama kojima će podlijegati, a koje se odnose na korporativno upravljanje ili početno, stalno ili </w:t>
      </w:r>
      <w:r w:rsidRPr="000479E9">
        <w:rPr>
          <w:rFonts w:ascii="Times New Roman" w:eastAsia="Times New Roman" w:hAnsi="Times New Roman" w:cs="Times New Roman"/>
          <w:i/>
          <w:iCs/>
          <w:sz w:val="24"/>
          <w:szCs w:val="24"/>
          <w:lang w:eastAsia="hr-HR"/>
        </w:rPr>
        <w:t>ad hoc</w:t>
      </w:r>
      <w:r w:rsidRPr="000479E9">
        <w:rPr>
          <w:rFonts w:ascii="Times New Roman" w:eastAsia="Times New Roman" w:hAnsi="Times New Roman" w:cs="Times New Roman"/>
          <w:sz w:val="24"/>
          <w:szCs w:val="24"/>
          <w:lang w:eastAsia="hr-HR"/>
        </w:rPr>
        <w:t xml:space="preserve"> objavljivanje u pogledu tog drugog mjesta trgovanja.“.</w:t>
      </w:r>
    </w:p>
    <w:p w14:paraId="6B621787"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4940405A" w14:textId="2DE820D2" w:rsidR="00D6689E" w:rsidRPr="000479E9" w:rsidRDefault="00D6689E"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9344D6" w:rsidRPr="000479E9">
        <w:rPr>
          <w:rFonts w:ascii="Times New Roman" w:eastAsia="Times New Roman" w:hAnsi="Times New Roman" w:cs="Times New Roman"/>
          <w:b/>
          <w:bCs/>
          <w:sz w:val="24"/>
          <w:szCs w:val="24"/>
          <w:lang w:eastAsia="hr-HR"/>
        </w:rPr>
        <w:t>52</w:t>
      </w:r>
      <w:r w:rsidRPr="000479E9">
        <w:rPr>
          <w:rFonts w:ascii="Times New Roman" w:eastAsia="Times New Roman" w:hAnsi="Times New Roman" w:cs="Times New Roman"/>
          <w:b/>
          <w:bCs/>
          <w:sz w:val="24"/>
          <w:szCs w:val="24"/>
          <w:lang w:eastAsia="hr-HR"/>
        </w:rPr>
        <w:t xml:space="preserve">. </w:t>
      </w:r>
    </w:p>
    <w:p w14:paraId="4B35613B" w14:textId="7D6106F9" w:rsidR="00D6689E" w:rsidRPr="000479E9" w:rsidRDefault="00D6689E" w:rsidP="00D6689E">
      <w:pPr>
        <w:spacing w:after="0" w:line="240" w:lineRule="auto"/>
        <w:rPr>
          <w:rFonts w:ascii="Times New Roman" w:eastAsia="Times New Roman" w:hAnsi="Times New Roman" w:cs="Times New Roman"/>
          <w:b/>
          <w:bCs/>
          <w:sz w:val="24"/>
          <w:szCs w:val="24"/>
          <w:lang w:eastAsia="hr-HR"/>
        </w:rPr>
      </w:pPr>
    </w:p>
    <w:p w14:paraId="0E558448" w14:textId="3F6B19B0" w:rsidR="00D6689E" w:rsidRPr="000479E9" w:rsidRDefault="00D6689E" w:rsidP="00D6689E">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članka 354. dodaju se naslov iznad članka i članak 354.a koji glase: </w:t>
      </w:r>
    </w:p>
    <w:p w14:paraId="0AC54CE8" w14:textId="77777777" w:rsidR="00AB3A7F" w:rsidRPr="000479E9" w:rsidRDefault="00AB3A7F" w:rsidP="00D6689E">
      <w:pPr>
        <w:spacing w:after="0" w:line="240" w:lineRule="auto"/>
        <w:rPr>
          <w:rFonts w:ascii="Times New Roman" w:eastAsia="Times New Roman" w:hAnsi="Times New Roman" w:cs="Times New Roman"/>
          <w:sz w:val="24"/>
          <w:szCs w:val="24"/>
          <w:lang w:eastAsia="hr-HR"/>
        </w:rPr>
      </w:pPr>
    </w:p>
    <w:p w14:paraId="04126B48" w14:textId="684060F4" w:rsidR="00D6689E" w:rsidRPr="000479E9" w:rsidRDefault="007B4D43" w:rsidP="0065340E">
      <w:pPr>
        <w:shd w:val="clear" w:color="auto" w:fill="FFFFFF" w:themeFill="background1"/>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D6689E" w:rsidRPr="000479E9">
        <w:rPr>
          <w:rFonts w:ascii="Times New Roman" w:eastAsia="Times New Roman" w:hAnsi="Times New Roman" w:cs="Times New Roman"/>
          <w:sz w:val="24"/>
          <w:szCs w:val="24"/>
          <w:lang w:eastAsia="hr-HR"/>
        </w:rPr>
        <w:t xml:space="preserve">Transparentnost kod uvrštenja i trgovanja dionica društva sa strukturom dionica s višestrukim pravom glasa na uređeno tržište, MTP ili MTP kao rastuće tržište malih i srednjih poduzeća </w:t>
      </w:r>
    </w:p>
    <w:p w14:paraId="51AA54FD" w14:textId="1498E8A7" w:rsidR="00D6689E" w:rsidRPr="000479E9" w:rsidRDefault="00AB3A7F" w:rsidP="00D6689E">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w:t>
      </w:r>
      <w:r w:rsidR="00D6689E" w:rsidRPr="000479E9">
        <w:rPr>
          <w:rFonts w:ascii="Times New Roman" w:eastAsia="Times New Roman" w:hAnsi="Times New Roman" w:cs="Times New Roman"/>
          <w:sz w:val="24"/>
          <w:szCs w:val="24"/>
          <w:lang w:eastAsia="hr-HR"/>
        </w:rPr>
        <w:t>354.a</w:t>
      </w:r>
    </w:p>
    <w:p w14:paraId="49221E2B" w14:textId="77777777" w:rsidR="00AB3A7F" w:rsidRPr="000479E9" w:rsidRDefault="00AB3A7F" w:rsidP="00D6689E">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27FDA615" w14:textId="77777777"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Ako se na uređeno tržište, MTP ili segment MTP-a uvrštavaju dionice društva koje ima dionice s višestrukim pravom glasa, izdavatelj odnosno podnositelj zahtjeva za uvrštenje je dužan osigurati da su javnosti dostupne informacije o:</w:t>
      </w:r>
    </w:p>
    <w:p w14:paraId="32CAC007" w14:textId="77777777" w:rsidR="00AB3A7F" w:rsidRPr="000479E9" w:rsidRDefault="00AB3A7F"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48D94D51" w14:textId="65C0DC27"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strukturi dionica društva, s naznakom različitih rodova dionica, uključujući dionice koje nisu uvrštene za trgovanje, te za svaki rod dionica:</w:t>
      </w:r>
    </w:p>
    <w:p w14:paraId="08463D09" w14:textId="77777777" w:rsidR="00AB3A7F" w:rsidRPr="000479E9" w:rsidRDefault="00AB3A7F"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53780686" w14:textId="0F8BFBC4"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a) o pravima i obvezama povezanima s dionicama tog roda</w:t>
      </w:r>
    </w:p>
    <w:p w14:paraId="3E9F2450" w14:textId="77777777"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b) postotku ukupnog dioničkog kapitala ili ukupnog broja dionica koje dionice tog roda predstavljaju i</w:t>
      </w:r>
    </w:p>
    <w:p w14:paraId="7A40DE89" w14:textId="77777777"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c) ukupnom broju glasova koje dionice tog roda predstavljaju.</w:t>
      </w:r>
    </w:p>
    <w:p w14:paraId="4E5AFF2A" w14:textId="77777777" w:rsidR="00AB3A7F" w:rsidRPr="000479E9" w:rsidRDefault="00AB3A7F"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25A626EE" w14:textId="2F637BD2"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svim ograničenjima prijenosa dionica, uključujući sporazume među dioničarima koji su poznati društvu i koji bi mogli dovesti do takvih ograničenja</w:t>
      </w:r>
    </w:p>
    <w:p w14:paraId="7A1EB9C1" w14:textId="77777777" w:rsidR="00AB3A7F" w:rsidRPr="000479E9" w:rsidRDefault="00AB3A7F"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7230475C" w14:textId="76DF9331"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svim ograničenjima glasačkih prava povezanih s dionicama, uključujući sporazume među dioničarima koji su poznati društvu i koji bi mogli dovesti do takvih ograničenja</w:t>
      </w:r>
    </w:p>
    <w:p w14:paraId="6DC6732E" w14:textId="77777777" w:rsidR="00AB3A7F" w:rsidRPr="000479E9" w:rsidRDefault="00AB3A7F"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412E7887" w14:textId="0A7CB8B3"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je društvu poznat, identitet dioničara koji imaju dionice s višestrukim pravom glasa koje predstavljaju više od 5 % glasačkih prava na razini svih dionica društva te identitet fizičkih osoba ili pravnih subjekata koji imaju pravo ostvarivanja glasačkih prava u ime tih dioničara, ako je to primjenjivo.</w:t>
      </w:r>
    </w:p>
    <w:p w14:paraId="09D9EFFA" w14:textId="77777777" w:rsidR="00AB3A7F" w:rsidRPr="000479E9" w:rsidRDefault="00AB3A7F"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2ED2A04C" w14:textId="3B1640B6"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w:t>
      </w:r>
      <w:r w:rsidR="00B60E4E" w:rsidRPr="000479E9">
        <w:rPr>
          <w:rFonts w:ascii="Times New Roman" w:eastAsia="Times New Roman" w:hAnsi="Times New Roman" w:cs="Times New Roman"/>
          <w:sz w:val="24"/>
          <w:szCs w:val="24"/>
          <w:lang w:eastAsia="hr-HR"/>
        </w:rPr>
        <w:t>U slučaju iz</w:t>
      </w:r>
      <w:r w:rsidRPr="000479E9">
        <w:rPr>
          <w:rFonts w:ascii="Times New Roman" w:eastAsia="Times New Roman" w:hAnsi="Times New Roman" w:cs="Times New Roman"/>
          <w:sz w:val="24"/>
          <w:szCs w:val="24"/>
          <w:lang w:eastAsia="hr-HR"/>
        </w:rPr>
        <w:t xml:space="preserve"> točke 4. stavka 1. ovoga članka, ako se radi o fizičkim osobama objavljuje se samo ime i prezime dioničara.</w:t>
      </w:r>
    </w:p>
    <w:p w14:paraId="03FD0E4A" w14:textId="77777777" w:rsidR="007B4D43" w:rsidRPr="000479E9" w:rsidRDefault="007B4D43" w:rsidP="00AB3A7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615C4180" w14:textId="39C2A03B" w:rsidR="00D6689E" w:rsidRPr="000479E9" w:rsidRDefault="00D6689E" w:rsidP="00AB3A7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 xml:space="preserve">(3) Ako će se dionicama društva iz stavka 1. </w:t>
      </w:r>
      <w:r w:rsidR="00E33F2B" w:rsidRPr="000479E9">
        <w:rPr>
          <w:rFonts w:ascii="Times New Roman" w:eastAsia="Times New Roman" w:hAnsi="Times New Roman" w:cs="Times New Roman"/>
          <w:sz w:val="24"/>
          <w:szCs w:val="24"/>
          <w:lang w:eastAsia="hr-HR"/>
        </w:rPr>
        <w:t xml:space="preserve">ovoga članka </w:t>
      </w:r>
      <w:r w:rsidRPr="000479E9">
        <w:rPr>
          <w:rFonts w:ascii="Times New Roman" w:eastAsia="Times New Roman" w:hAnsi="Times New Roman" w:cs="Times New Roman"/>
          <w:sz w:val="24"/>
          <w:szCs w:val="24"/>
          <w:lang w:eastAsia="hr-HR"/>
        </w:rPr>
        <w:t xml:space="preserve">trgovati ili se već trguje na rastućem tržištu malih i srednjih poduzeća, informacije iz stavka 1. </w:t>
      </w:r>
      <w:r w:rsidR="00E33F2B" w:rsidRPr="000479E9">
        <w:rPr>
          <w:rFonts w:ascii="Times New Roman" w:eastAsia="Times New Roman" w:hAnsi="Times New Roman" w:cs="Times New Roman"/>
          <w:sz w:val="24"/>
          <w:szCs w:val="24"/>
          <w:lang w:eastAsia="hr-HR"/>
        </w:rPr>
        <w:t xml:space="preserve">ovoga članka </w:t>
      </w:r>
      <w:r w:rsidRPr="000479E9">
        <w:rPr>
          <w:rFonts w:ascii="Times New Roman" w:eastAsia="Times New Roman" w:hAnsi="Times New Roman" w:cs="Times New Roman"/>
          <w:sz w:val="24"/>
          <w:szCs w:val="24"/>
          <w:lang w:eastAsia="hr-HR"/>
        </w:rPr>
        <w:t>uvrštavaju se u sljedeće dokumente:</w:t>
      </w:r>
    </w:p>
    <w:p w14:paraId="5013CB00" w14:textId="77777777" w:rsidR="00AB3A7F" w:rsidRPr="000479E9" w:rsidRDefault="00AB3A7F" w:rsidP="00AB3A7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B49A6B0" w14:textId="00C387F0"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prospekt iz članka 6. Uredbe (EU) 2017/1129, prospekt EU-a o izdanjima za rast iz članka 15.a </w:t>
      </w:r>
      <w:r w:rsidR="0048487F" w:rsidRPr="000479E9">
        <w:rPr>
          <w:rFonts w:ascii="Times New Roman" w:eastAsia="Times New Roman" w:hAnsi="Times New Roman" w:cs="Times New Roman"/>
          <w:sz w:val="24"/>
          <w:szCs w:val="24"/>
          <w:lang w:eastAsia="hr-HR"/>
        </w:rPr>
        <w:t>Uredbe (EU) 2017/1129</w:t>
      </w:r>
      <w:r w:rsidRPr="000479E9">
        <w:rPr>
          <w:rFonts w:ascii="Times New Roman" w:eastAsia="Times New Roman" w:hAnsi="Times New Roman" w:cs="Times New Roman"/>
          <w:sz w:val="24"/>
          <w:szCs w:val="24"/>
          <w:lang w:eastAsia="hr-HR"/>
        </w:rPr>
        <w:t>, ili odgovarajući dokumenta za primanje u trgovinu iz članka 352. stavka 3. točke 3. ovoga Zakona, ovisno o tome koji dokument je društvo u obvezi objaviti</w:t>
      </w:r>
    </w:p>
    <w:p w14:paraId="7810AB2B" w14:textId="77777777" w:rsidR="00AB3A7F" w:rsidRPr="000479E9" w:rsidRDefault="00AB3A7F"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438C89F3" w14:textId="520B8807"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godišnji financijski izvještaj iz članka 78. stavka 2. točke (g) Delegirane uredbe Komisije (EU) 2017/565, ako su se informacije iz stavka 1. ovog</w:t>
      </w:r>
      <w:r w:rsidR="00E33F2B"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članka promijenile od posljednje objave u prospektu, prospektu EU-a o izdanjima za rast ili dokumentu za primanje u trgovinu iz točke 1. ovoga stavka ili u prethodnom godišnjem financijskom izvještaju.</w:t>
      </w:r>
    </w:p>
    <w:p w14:paraId="2C6C02D6" w14:textId="77777777" w:rsidR="007B4D43" w:rsidRPr="000479E9" w:rsidRDefault="007B4D43"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p>
    <w:p w14:paraId="01950B38" w14:textId="3D3FDFD9" w:rsidR="00D6689E" w:rsidRPr="000479E9" w:rsidRDefault="00D6689E" w:rsidP="0065340E">
      <w:pPr>
        <w:shd w:val="clear" w:color="auto" w:fill="FFFFFF" w:themeFill="background1"/>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(4) Ako će se dionicama društva iz stavka 1. </w:t>
      </w:r>
      <w:r w:rsidR="00E33F2B" w:rsidRPr="000479E9">
        <w:rPr>
          <w:rFonts w:ascii="Times New Roman" w:eastAsia="Times New Roman" w:hAnsi="Times New Roman" w:cs="Times New Roman"/>
          <w:sz w:val="24"/>
          <w:szCs w:val="24"/>
          <w:lang w:eastAsia="hr-HR"/>
        </w:rPr>
        <w:t xml:space="preserve">ovoga članka </w:t>
      </w:r>
      <w:r w:rsidRPr="000479E9">
        <w:rPr>
          <w:rFonts w:ascii="Times New Roman" w:eastAsia="Times New Roman" w:hAnsi="Times New Roman" w:cs="Times New Roman"/>
          <w:sz w:val="24"/>
          <w:szCs w:val="24"/>
          <w:lang w:eastAsia="hr-HR"/>
        </w:rPr>
        <w:t>trgovati, ili se već trguje na uređenom tržištu ili MTP-u koji nije registriran kao rastuće tržište MSP-ova, informacije iz stavka 1.</w:t>
      </w:r>
      <w:r w:rsidR="00E33F2B" w:rsidRPr="000479E9">
        <w:rPr>
          <w:rFonts w:ascii="Times New Roman" w:eastAsia="Times New Roman" w:hAnsi="Times New Roman" w:cs="Times New Roman"/>
          <w:sz w:val="24"/>
          <w:szCs w:val="24"/>
          <w:lang w:eastAsia="hr-HR"/>
        </w:rPr>
        <w:t xml:space="preserve"> ovoga članka</w:t>
      </w:r>
      <w:r w:rsidRPr="000479E9">
        <w:rPr>
          <w:rFonts w:ascii="Times New Roman" w:eastAsia="Times New Roman" w:hAnsi="Times New Roman" w:cs="Times New Roman"/>
          <w:sz w:val="24"/>
          <w:szCs w:val="24"/>
          <w:lang w:eastAsia="hr-HR"/>
        </w:rPr>
        <w:t xml:space="preserve"> uvrštavaju se u sljedeće dokumente:</w:t>
      </w:r>
    </w:p>
    <w:p w14:paraId="60D30ABA" w14:textId="77777777" w:rsidR="00AB3A7F" w:rsidRPr="000479E9" w:rsidRDefault="00AB3A7F" w:rsidP="00AB3A7F">
      <w:pPr>
        <w:spacing w:after="0" w:line="240" w:lineRule="auto"/>
        <w:jc w:val="both"/>
        <w:rPr>
          <w:rFonts w:ascii="Times New Roman" w:eastAsia="Times New Roman" w:hAnsi="Times New Roman" w:cs="Times New Roman"/>
          <w:sz w:val="24"/>
          <w:szCs w:val="24"/>
          <w:lang w:eastAsia="hr-HR"/>
        </w:rPr>
      </w:pPr>
    </w:p>
    <w:p w14:paraId="0A3947F3" w14:textId="6842A34E" w:rsidR="00D6689E" w:rsidRPr="000479E9" w:rsidRDefault="00D6689E" w:rsidP="00AB3A7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prospekt iz članka 6. Uredbe (EU) 2017/1129, prospekt EU-a o izdanjima za rast iz članka 15.a </w:t>
      </w:r>
      <w:r w:rsidR="00503A45" w:rsidRPr="000479E9">
        <w:rPr>
          <w:rFonts w:ascii="Times New Roman" w:eastAsia="Times New Roman" w:hAnsi="Times New Roman" w:cs="Times New Roman"/>
          <w:sz w:val="24"/>
          <w:szCs w:val="24"/>
          <w:lang w:eastAsia="hr-HR"/>
        </w:rPr>
        <w:t>Uredbe (EU) 2017/1129</w:t>
      </w:r>
      <w:r w:rsidRPr="000479E9">
        <w:rPr>
          <w:rFonts w:ascii="Times New Roman" w:eastAsia="Times New Roman" w:hAnsi="Times New Roman" w:cs="Times New Roman"/>
          <w:sz w:val="24"/>
          <w:szCs w:val="24"/>
          <w:lang w:eastAsia="hr-HR"/>
        </w:rPr>
        <w:t>, ili bilo koji dokument o uvrštenju koji je obvezan u skladu s pravilima relevantnog MTP-a, ako društvo objavljuje takav prospekt ili dokument</w:t>
      </w:r>
    </w:p>
    <w:p w14:paraId="4F3E30DE" w14:textId="77777777" w:rsidR="00AB3A7F" w:rsidRPr="000479E9" w:rsidRDefault="00AB3A7F" w:rsidP="00AB3A7F">
      <w:pPr>
        <w:spacing w:after="0" w:line="240" w:lineRule="auto"/>
        <w:jc w:val="both"/>
        <w:rPr>
          <w:rFonts w:ascii="Times New Roman" w:eastAsia="Times New Roman" w:hAnsi="Times New Roman" w:cs="Times New Roman"/>
          <w:sz w:val="24"/>
          <w:szCs w:val="24"/>
          <w:lang w:eastAsia="hr-HR"/>
        </w:rPr>
      </w:pPr>
    </w:p>
    <w:p w14:paraId="5289F231" w14:textId="0FACB0AA" w:rsidR="00D6689E" w:rsidRPr="000479E9" w:rsidRDefault="00D6689E" w:rsidP="00AB3A7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sve godišnje financijske izvještaje koji se zahtijevaju na temelju ovoga Zakona ako informacije iz stavka 1.</w:t>
      </w:r>
      <w:r w:rsidR="0048487F" w:rsidRPr="000479E9">
        <w:rPr>
          <w:rFonts w:ascii="Times New Roman" w:eastAsia="Times New Roman" w:hAnsi="Times New Roman" w:cs="Times New Roman"/>
          <w:sz w:val="24"/>
          <w:szCs w:val="24"/>
          <w:lang w:eastAsia="hr-HR"/>
        </w:rPr>
        <w:t xml:space="preserve"> ovoga članka</w:t>
      </w:r>
      <w:r w:rsidRPr="000479E9">
        <w:rPr>
          <w:rFonts w:ascii="Times New Roman" w:eastAsia="Times New Roman" w:hAnsi="Times New Roman" w:cs="Times New Roman"/>
          <w:sz w:val="24"/>
          <w:szCs w:val="24"/>
          <w:lang w:eastAsia="hr-HR"/>
        </w:rPr>
        <w:t xml:space="preserve"> nisu prethodno objavljene ili je došlo do promjena od njihove posljednje objave u prospektu, prospektu EU-a o izdanjima za rast i dokumentu o uvrštenju iz točke 1. ovog</w:t>
      </w:r>
      <w:r w:rsidR="00E33F2B"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stavka ili u prethodnom godišnjem financijskom izvještaju.</w:t>
      </w:r>
    </w:p>
    <w:p w14:paraId="66F5A22B" w14:textId="77777777" w:rsidR="00D6689E" w:rsidRPr="000479E9" w:rsidRDefault="00D6689E" w:rsidP="00AB3A7F">
      <w:pPr>
        <w:spacing w:after="0" w:line="240" w:lineRule="auto"/>
        <w:jc w:val="both"/>
        <w:rPr>
          <w:rFonts w:ascii="Times New Roman" w:eastAsia="Times New Roman" w:hAnsi="Times New Roman" w:cs="Times New Roman"/>
          <w:sz w:val="24"/>
          <w:szCs w:val="24"/>
          <w:lang w:eastAsia="hr-HR"/>
        </w:rPr>
      </w:pPr>
    </w:p>
    <w:p w14:paraId="111D357E" w14:textId="68177523" w:rsidR="00D6689E" w:rsidRPr="000479E9" w:rsidRDefault="00D6689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(5) Tržišni operater uređenog tržišta i operater MTP-a dužan je, u skladu s regulatornim tehničkim standardima Europske komisije, jasno identificirati kao takve dionice društava sa strukturama dionica s višestrukim pravom glasa koja su uvrštena za trgovanje na tom uređenom tržištu ili MTP-u. </w:t>
      </w:r>
    </w:p>
    <w:p w14:paraId="4440FEDA" w14:textId="77777777" w:rsidR="00D6689E" w:rsidRPr="000479E9" w:rsidRDefault="00D6689E">
      <w:pPr>
        <w:spacing w:after="0" w:line="240" w:lineRule="auto"/>
        <w:jc w:val="both"/>
        <w:rPr>
          <w:rFonts w:ascii="Times New Roman" w:eastAsia="Times New Roman" w:hAnsi="Times New Roman" w:cs="Times New Roman"/>
          <w:sz w:val="24"/>
          <w:szCs w:val="24"/>
          <w:lang w:eastAsia="hr-HR"/>
        </w:rPr>
      </w:pPr>
    </w:p>
    <w:p w14:paraId="4FF4E950" w14:textId="29524E0D" w:rsidR="00D6689E" w:rsidRPr="000479E9" w:rsidRDefault="00D6689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Društvo koje ima ili naknadno usvoji strukturu dionica s višestrukim pravom glasa dužno je, u skladu s regulatornim tehničkim standardima Europske komisije, o tome obavijestiti relevantnog tržišnog operatera uređenog tržišta odnosno operatera MTP-a.“</w:t>
      </w:r>
      <w:r w:rsidR="00AB3A7F" w:rsidRPr="000479E9">
        <w:rPr>
          <w:rFonts w:ascii="Times New Roman" w:eastAsia="Times New Roman" w:hAnsi="Times New Roman" w:cs="Times New Roman"/>
          <w:sz w:val="24"/>
          <w:szCs w:val="24"/>
          <w:lang w:eastAsia="hr-HR"/>
        </w:rPr>
        <w:t>.</w:t>
      </w:r>
    </w:p>
    <w:p w14:paraId="34EB9DA9" w14:textId="77777777" w:rsidR="00D6689E" w:rsidRPr="000479E9" w:rsidRDefault="00D6689E" w:rsidP="00617A00">
      <w:pPr>
        <w:spacing w:after="0" w:line="240" w:lineRule="auto"/>
        <w:jc w:val="center"/>
        <w:rPr>
          <w:rFonts w:ascii="Times New Roman" w:eastAsia="Times New Roman" w:hAnsi="Times New Roman" w:cs="Times New Roman"/>
          <w:b/>
          <w:bCs/>
          <w:sz w:val="24"/>
          <w:szCs w:val="24"/>
          <w:lang w:eastAsia="hr-HR"/>
        </w:rPr>
      </w:pPr>
    </w:p>
    <w:p w14:paraId="7547942C" w14:textId="4D81A5B3" w:rsidR="00053B8D" w:rsidRPr="000479E9" w:rsidRDefault="00053B8D" w:rsidP="00617A00">
      <w:pPr>
        <w:spacing w:after="0" w:line="240" w:lineRule="auto"/>
        <w:jc w:val="center"/>
        <w:rPr>
          <w:rFonts w:ascii="Times New Roman" w:eastAsia="Times New Roman" w:hAnsi="Times New Roman" w:cs="Times New Roman"/>
          <w:b/>
          <w:bCs/>
          <w:sz w:val="24"/>
          <w:szCs w:val="24"/>
          <w:lang w:eastAsia="hr-HR"/>
        </w:rPr>
      </w:pPr>
    </w:p>
    <w:p w14:paraId="0898A0E0" w14:textId="567B4D37" w:rsidR="00053B8D" w:rsidRPr="000479E9" w:rsidRDefault="00053B8D" w:rsidP="00053B8D">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071C5C" w:rsidRPr="000479E9">
        <w:rPr>
          <w:rFonts w:ascii="Times New Roman" w:eastAsia="Times New Roman" w:hAnsi="Times New Roman" w:cs="Times New Roman"/>
          <w:b/>
          <w:sz w:val="24"/>
          <w:szCs w:val="24"/>
          <w:lang w:eastAsia="hr-HR"/>
        </w:rPr>
        <w:t>5</w:t>
      </w:r>
      <w:r w:rsidR="009344D6" w:rsidRPr="000479E9">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w:t>
      </w:r>
    </w:p>
    <w:p w14:paraId="62606F7E" w14:textId="77777777" w:rsidR="00053B8D" w:rsidRPr="000479E9" w:rsidRDefault="00053B8D" w:rsidP="00053B8D">
      <w:pPr>
        <w:spacing w:after="0" w:line="240" w:lineRule="auto"/>
        <w:jc w:val="center"/>
        <w:rPr>
          <w:rFonts w:ascii="Times New Roman" w:eastAsia="Times New Roman" w:hAnsi="Times New Roman" w:cs="Times New Roman"/>
          <w:b/>
          <w:bCs/>
          <w:sz w:val="24"/>
          <w:szCs w:val="24"/>
          <w:lang w:eastAsia="hr-HR"/>
        </w:rPr>
      </w:pPr>
    </w:p>
    <w:p w14:paraId="28A21580" w14:textId="459E0195" w:rsidR="00053B8D" w:rsidRPr="000479E9" w:rsidRDefault="00F2546E" w:rsidP="00053B8D">
      <w:pPr>
        <w:spacing w:after="0" w:line="240" w:lineRule="auto"/>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Iza članka 385. </w:t>
      </w:r>
      <w:r w:rsidR="00053B8D" w:rsidRPr="000479E9">
        <w:rPr>
          <w:rFonts w:ascii="Times New Roman" w:eastAsia="Times New Roman" w:hAnsi="Times New Roman" w:cs="Times New Roman"/>
          <w:bCs/>
          <w:sz w:val="24"/>
          <w:szCs w:val="24"/>
          <w:lang w:eastAsia="hr-HR"/>
        </w:rPr>
        <w:t>GLAVA VI.</w:t>
      </w:r>
      <w:r w:rsidRPr="000479E9">
        <w:rPr>
          <w:rFonts w:ascii="Times New Roman" w:eastAsia="Times New Roman" w:hAnsi="Times New Roman" w:cs="Times New Roman"/>
          <w:bCs/>
          <w:sz w:val="24"/>
          <w:szCs w:val="24"/>
          <w:lang w:eastAsia="hr-HR"/>
        </w:rPr>
        <w:t xml:space="preserve">, NAZIV GLAVE VI., naslovi iznad članaka </w:t>
      </w:r>
      <w:r w:rsidR="00053B8D" w:rsidRPr="000479E9">
        <w:rPr>
          <w:rFonts w:ascii="Times New Roman" w:eastAsia="Times New Roman" w:hAnsi="Times New Roman" w:cs="Times New Roman"/>
          <w:bCs/>
          <w:sz w:val="24"/>
          <w:szCs w:val="24"/>
          <w:lang w:eastAsia="hr-HR"/>
        </w:rPr>
        <w:t xml:space="preserve">i članci 386. do 390. brišu se. </w:t>
      </w:r>
    </w:p>
    <w:p w14:paraId="6D1F86CB" w14:textId="77777777" w:rsidR="00053B8D" w:rsidRPr="000479E9" w:rsidRDefault="00053B8D" w:rsidP="00053B8D">
      <w:pPr>
        <w:spacing w:after="0" w:line="240" w:lineRule="auto"/>
        <w:rPr>
          <w:rFonts w:ascii="Times New Roman" w:eastAsia="Times New Roman" w:hAnsi="Times New Roman" w:cs="Times New Roman"/>
          <w:b/>
          <w:bCs/>
          <w:sz w:val="24"/>
          <w:szCs w:val="24"/>
          <w:lang w:eastAsia="hr-HR"/>
        </w:rPr>
      </w:pPr>
    </w:p>
    <w:p w14:paraId="6D831BE5" w14:textId="534E1876" w:rsidR="00053B8D" w:rsidRPr="000479E9" w:rsidRDefault="00053B8D" w:rsidP="00053B8D">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071C5C" w:rsidRPr="000479E9">
        <w:rPr>
          <w:rFonts w:ascii="Times New Roman" w:eastAsia="Times New Roman" w:hAnsi="Times New Roman" w:cs="Times New Roman"/>
          <w:b/>
          <w:sz w:val="24"/>
          <w:szCs w:val="24"/>
          <w:lang w:eastAsia="hr-HR"/>
        </w:rPr>
        <w:t>5</w:t>
      </w:r>
      <w:r w:rsidR="006426EC"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w:t>
      </w:r>
    </w:p>
    <w:p w14:paraId="59D20DA9" w14:textId="77777777" w:rsidR="00053B8D" w:rsidRPr="000479E9" w:rsidRDefault="00053B8D" w:rsidP="00053B8D">
      <w:pPr>
        <w:spacing w:after="0" w:line="240" w:lineRule="auto"/>
        <w:rPr>
          <w:rFonts w:ascii="Times New Roman" w:eastAsia="Times New Roman" w:hAnsi="Times New Roman" w:cs="Times New Roman"/>
          <w:b/>
          <w:bCs/>
          <w:sz w:val="24"/>
          <w:szCs w:val="24"/>
          <w:lang w:eastAsia="hr-HR"/>
        </w:rPr>
      </w:pPr>
    </w:p>
    <w:p w14:paraId="6A62F4C4" w14:textId="0E66FA48" w:rsidR="00053B8D" w:rsidRPr="000479E9" w:rsidRDefault="00053B8D" w:rsidP="00053B8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405. stavku 2. točki 1. </w:t>
      </w:r>
      <w:r w:rsidR="000118B1" w:rsidRPr="000479E9">
        <w:rPr>
          <w:rFonts w:ascii="Times New Roman" w:eastAsia="Times New Roman" w:hAnsi="Times New Roman" w:cs="Times New Roman"/>
          <w:sz w:val="24"/>
          <w:szCs w:val="24"/>
          <w:lang w:eastAsia="hr-HR"/>
        </w:rPr>
        <w:t xml:space="preserve">podstavku </w:t>
      </w:r>
      <w:r w:rsidRPr="000479E9">
        <w:rPr>
          <w:rFonts w:ascii="Times New Roman" w:eastAsia="Times New Roman" w:hAnsi="Times New Roman" w:cs="Times New Roman"/>
          <w:sz w:val="24"/>
          <w:szCs w:val="24"/>
          <w:lang w:eastAsia="hr-HR"/>
        </w:rPr>
        <w:t>1. iza riječi</w:t>
      </w:r>
      <w:r w:rsidR="00F34CE1"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„prospekta“ dodaju se</w:t>
      </w:r>
      <w:r w:rsidR="000118B1" w:rsidRPr="000479E9">
        <w:rPr>
          <w:rFonts w:ascii="Times New Roman" w:eastAsia="Times New Roman" w:hAnsi="Times New Roman" w:cs="Times New Roman"/>
          <w:sz w:val="24"/>
          <w:szCs w:val="24"/>
          <w:lang w:eastAsia="hr-HR"/>
        </w:rPr>
        <w:t xml:space="preserve"> zarez i</w:t>
      </w:r>
      <w:r w:rsidRPr="000479E9">
        <w:rPr>
          <w:rFonts w:ascii="Times New Roman" w:eastAsia="Times New Roman" w:hAnsi="Times New Roman" w:cs="Times New Roman"/>
          <w:sz w:val="24"/>
          <w:szCs w:val="24"/>
          <w:lang w:eastAsia="hr-HR"/>
        </w:rPr>
        <w:t xml:space="preserve"> riječi: „prospekta za naknadna izdanja i prospekta EU-a o izdanjima za rast“</w:t>
      </w:r>
      <w:r w:rsidR="001B0BA8" w:rsidRPr="000479E9">
        <w:rPr>
          <w:rFonts w:ascii="Times New Roman" w:eastAsia="Times New Roman" w:hAnsi="Times New Roman" w:cs="Times New Roman"/>
          <w:sz w:val="24"/>
          <w:szCs w:val="24"/>
          <w:lang w:eastAsia="hr-HR"/>
        </w:rPr>
        <w:t>.</w:t>
      </w:r>
    </w:p>
    <w:p w14:paraId="71550460" w14:textId="77777777" w:rsidR="00053B8D" w:rsidRPr="000479E9" w:rsidRDefault="00053B8D" w:rsidP="00053B8D">
      <w:pPr>
        <w:spacing w:after="0" w:line="240" w:lineRule="auto"/>
        <w:rPr>
          <w:rFonts w:ascii="Times New Roman" w:eastAsia="Times New Roman" w:hAnsi="Times New Roman" w:cs="Times New Roman"/>
          <w:sz w:val="24"/>
          <w:szCs w:val="24"/>
          <w:lang w:eastAsia="hr-HR"/>
        </w:rPr>
      </w:pPr>
    </w:p>
    <w:p w14:paraId="6595DCC5" w14:textId="316F695E" w:rsidR="00053B8D" w:rsidRPr="000479E9" w:rsidRDefault="00053B8D" w:rsidP="00053B8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stavka 8. dodaje se stavak 9. koji glasi: </w:t>
      </w:r>
    </w:p>
    <w:p w14:paraId="4143622F" w14:textId="77777777" w:rsidR="00053B8D" w:rsidRPr="000479E9" w:rsidRDefault="00053B8D" w:rsidP="00053B8D">
      <w:pPr>
        <w:spacing w:after="0" w:line="240" w:lineRule="auto"/>
        <w:rPr>
          <w:rFonts w:ascii="Times New Roman" w:eastAsia="Times New Roman" w:hAnsi="Times New Roman" w:cs="Times New Roman"/>
          <w:sz w:val="24"/>
          <w:szCs w:val="24"/>
          <w:lang w:eastAsia="hr-HR"/>
        </w:rPr>
      </w:pPr>
    </w:p>
    <w:p w14:paraId="511A7F23" w14:textId="760D4CC4" w:rsidR="00053B8D" w:rsidRPr="000479E9" w:rsidRDefault="00053B8D" w:rsidP="00053B8D">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Agencija će pravilnikom propisati postupak provjere prospekta te oblik i način dostave prospekta i dokumenata iz članka 1. stavka 4. točaka (da) i (db) i stavka 5. točke (</w:t>
      </w:r>
      <w:r w:rsidR="009344D6" w:rsidRPr="000479E9">
        <w:rPr>
          <w:rFonts w:ascii="Times New Roman" w:eastAsia="Times New Roman" w:hAnsi="Times New Roman" w:cs="Times New Roman"/>
          <w:sz w:val="24"/>
          <w:szCs w:val="24"/>
          <w:lang w:eastAsia="hr-HR"/>
        </w:rPr>
        <w:t>ba</w:t>
      </w:r>
      <w:r w:rsidRPr="000479E9">
        <w:rPr>
          <w:rFonts w:ascii="Times New Roman" w:eastAsia="Times New Roman" w:hAnsi="Times New Roman" w:cs="Times New Roman"/>
          <w:sz w:val="24"/>
          <w:szCs w:val="24"/>
          <w:lang w:eastAsia="hr-HR"/>
        </w:rPr>
        <w:t>) Uredbe (EU) 2017/1129.“</w:t>
      </w:r>
      <w:r w:rsidR="00F34CE1" w:rsidRPr="000479E9">
        <w:rPr>
          <w:rFonts w:ascii="Times New Roman" w:eastAsia="Times New Roman" w:hAnsi="Times New Roman" w:cs="Times New Roman"/>
          <w:sz w:val="24"/>
          <w:szCs w:val="24"/>
          <w:lang w:eastAsia="hr-HR"/>
        </w:rPr>
        <w:t>.</w:t>
      </w:r>
    </w:p>
    <w:p w14:paraId="01BE9CF9" w14:textId="77777777" w:rsidR="00053B8D" w:rsidRPr="000479E9" w:rsidRDefault="00053B8D" w:rsidP="00617A00">
      <w:pPr>
        <w:spacing w:after="0" w:line="240" w:lineRule="auto"/>
        <w:jc w:val="center"/>
        <w:rPr>
          <w:rFonts w:ascii="Times New Roman" w:eastAsia="Times New Roman" w:hAnsi="Times New Roman" w:cs="Times New Roman"/>
          <w:b/>
          <w:bCs/>
          <w:sz w:val="24"/>
          <w:szCs w:val="24"/>
          <w:lang w:eastAsia="hr-HR"/>
        </w:rPr>
      </w:pPr>
    </w:p>
    <w:p w14:paraId="2D2D8936" w14:textId="7746FC9A"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5</w:t>
      </w:r>
      <w:r w:rsidR="009344D6" w:rsidRPr="000479E9">
        <w:rPr>
          <w:rFonts w:ascii="Times New Roman" w:eastAsia="Times New Roman" w:hAnsi="Times New Roman" w:cs="Times New Roman"/>
          <w:b/>
          <w:bCs/>
          <w:sz w:val="24"/>
          <w:szCs w:val="24"/>
          <w:lang w:eastAsia="hr-HR"/>
        </w:rPr>
        <w:t>5</w:t>
      </w:r>
      <w:r w:rsidRPr="000479E9">
        <w:rPr>
          <w:rFonts w:ascii="Times New Roman" w:eastAsia="Times New Roman" w:hAnsi="Times New Roman" w:cs="Times New Roman"/>
          <w:b/>
          <w:bCs/>
          <w:sz w:val="24"/>
          <w:szCs w:val="24"/>
          <w:lang w:eastAsia="hr-HR"/>
        </w:rPr>
        <w:t>.</w:t>
      </w:r>
    </w:p>
    <w:p w14:paraId="46F59723"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56B3EE3C"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409. mijenja se i glasi:</w:t>
      </w:r>
    </w:p>
    <w:p w14:paraId="4FC74970"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B593F21" w14:textId="632D37B9"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smislu članka 3. stavka 2. Uredbe (EU) br. 2017/1129, javne ponude vrijednosnih papira</w:t>
      </w:r>
      <w:r w:rsidR="00053B8D" w:rsidRPr="000479E9">
        <w:rPr>
          <w:rFonts w:ascii="Times New Roman" w:eastAsia="Times New Roman" w:hAnsi="Times New Roman" w:cs="Times New Roman"/>
          <w:sz w:val="24"/>
          <w:szCs w:val="24"/>
          <w:lang w:eastAsia="hr-HR"/>
        </w:rPr>
        <w:t xml:space="preserve"> koje</w:t>
      </w:r>
      <w:r w:rsidR="009344D6" w:rsidRPr="000479E9">
        <w:rPr>
          <w:rFonts w:ascii="Times New Roman" w:eastAsia="Times New Roman" w:hAnsi="Times New Roman" w:cs="Times New Roman"/>
          <w:sz w:val="24"/>
          <w:szCs w:val="24"/>
          <w:lang w:eastAsia="hr-HR"/>
        </w:rPr>
        <w:t xml:space="preserve"> ne</w:t>
      </w:r>
      <w:r w:rsidR="00053B8D" w:rsidRPr="000479E9">
        <w:rPr>
          <w:rFonts w:ascii="Times New Roman" w:eastAsia="Times New Roman" w:hAnsi="Times New Roman" w:cs="Times New Roman"/>
          <w:sz w:val="24"/>
          <w:szCs w:val="24"/>
          <w:lang w:eastAsia="hr-HR"/>
        </w:rPr>
        <w:t xml:space="preserve"> podliježu obvezi obavještavanja u skladu s člankom 25. Uredbe (EU) br. 2017/1129 i</w:t>
      </w:r>
      <w:r w:rsidRPr="000479E9">
        <w:rPr>
          <w:rFonts w:ascii="Times New Roman" w:eastAsia="Times New Roman" w:hAnsi="Times New Roman" w:cs="Times New Roman"/>
          <w:sz w:val="24"/>
          <w:szCs w:val="24"/>
          <w:lang w:eastAsia="hr-HR"/>
        </w:rPr>
        <w:t xml:space="preserve"> </w:t>
      </w:r>
      <w:r w:rsidR="009344D6" w:rsidRPr="000479E9">
        <w:rPr>
          <w:rFonts w:ascii="Times New Roman" w:eastAsia="Times New Roman" w:hAnsi="Times New Roman" w:cs="Times New Roman"/>
          <w:sz w:val="24"/>
          <w:szCs w:val="24"/>
          <w:lang w:eastAsia="hr-HR"/>
        </w:rPr>
        <w:t xml:space="preserve">čija </w:t>
      </w:r>
      <w:r w:rsidRPr="000479E9">
        <w:rPr>
          <w:rFonts w:ascii="Times New Roman" w:eastAsia="Times New Roman" w:hAnsi="Times New Roman" w:cs="Times New Roman"/>
          <w:sz w:val="24"/>
          <w:szCs w:val="24"/>
          <w:lang w:eastAsia="hr-HR"/>
        </w:rPr>
        <w:t>je ukupna agregirana vrijednost u Europskoj uniji</w:t>
      </w:r>
      <w:r w:rsidR="009344D6" w:rsidRPr="000479E9">
        <w:rPr>
          <w:rFonts w:ascii="Times New Roman" w:eastAsia="Times New Roman" w:hAnsi="Times New Roman" w:cs="Times New Roman"/>
          <w:sz w:val="24"/>
          <w:szCs w:val="24"/>
          <w:lang w:eastAsia="hr-HR"/>
        </w:rPr>
        <w:t xml:space="preserve"> po izdavatelju ili ponuditelju,</w:t>
      </w:r>
      <w:r w:rsidRPr="000479E9">
        <w:rPr>
          <w:rFonts w:ascii="Times New Roman" w:eastAsia="Times New Roman" w:hAnsi="Times New Roman" w:cs="Times New Roman"/>
          <w:sz w:val="24"/>
          <w:szCs w:val="24"/>
          <w:lang w:eastAsia="hr-HR"/>
        </w:rPr>
        <w:t xml:space="preserve"> koja se izračunava tijekom razdoblja od dvanaest mjeseci manja od 12.000.000,00 eura, izuzete su od obveze objave prospekta u skladu s Uredbom (EU) br. 2017/1129.</w:t>
      </w:r>
      <w:r w:rsidR="00A01C8B" w:rsidRPr="000479E9">
        <w:rPr>
          <w:rFonts w:ascii="Times New Roman" w:eastAsia="Times New Roman" w:hAnsi="Times New Roman" w:cs="Times New Roman"/>
          <w:sz w:val="24"/>
          <w:szCs w:val="24"/>
          <w:lang w:eastAsia="hr-HR"/>
        </w:rPr>
        <w:t>“</w:t>
      </w:r>
      <w:r w:rsidR="00F34CE1" w:rsidRPr="000479E9">
        <w:rPr>
          <w:rFonts w:ascii="Times New Roman" w:eastAsia="Times New Roman" w:hAnsi="Times New Roman" w:cs="Times New Roman"/>
          <w:sz w:val="24"/>
          <w:szCs w:val="24"/>
          <w:lang w:eastAsia="hr-HR"/>
        </w:rPr>
        <w:t>.</w:t>
      </w:r>
    </w:p>
    <w:p w14:paraId="19D7AEFB"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660466C" w14:textId="58BFB1B6" w:rsidR="00AF206A" w:rsidRPr="000479E9" w:rsidRDefault="00053B8D"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5</w:t>
      </w:r>
      <w:r w:rsidR="009344D6" w:rsidRPr="000479E9">
        <w:rPr>
          <w:rFonts w:ascii="Times New Roman" w:eastAsia="Times New Roman" w:hAnsi="Times New Roman" w:cs="Times New Roman"/>
          <w:b/>
          <w:bCs/>
          <w:sz w:val="24"/>
          <w:szCs w:val="24"/>
          <w:lang w:eastAsia="hr-HR"/>
        </w:rPr>
        <w:t>6</w:t>
      </w:r>
      <w:r w:rsidRPr="000479E9">
        <w:rPr>
          <w:rFonts w:ascii="Times New Roman" w:eastAsia="Times New Roman" w:hAnsi="Times New Roman" w:cs="Times New Roman"/>
          <w:b/>
          <w:bCs/>
          <w:sz w:val="24"/>
          <w:szCs w:val="24"/>
          <w:lang w:eastAsia="hr-HR"/>
        </w:rPr>
        <w:t>.</w:t>
      </w:r>
    </w:p>
    <w:p w14:paraId="09E57238" w14:textId="6FE94833" w:rsidR="00053B8D" w:rsidRPr="000479E9" w:rsidRDefault="00053B8D" w:rsidP="00053B8D">
      <w:pPr>
        <w:spacing w:after="0" w:line="240" w:lineRule="auto"/>
        <w:rPr>
          <w:rFonts w:ascii="Times New Roman" w:eastAsia="Times New Roman" w:hAnsi="Times New Roman" w:cs="Times New Roman"/>
          <w:b/>
          <w:bCs/>
          <w:sz w:val="24"/>
          <w:szCs w:val="24"/>
          <w:lang w:eastAsia="hr-HR"/>
        </w:rPr>
      </w:pPr>
    </w:p>
    <w:p w14:paraId="6383BAD2" w14:textId="11D25772" w:rsidR="00053B8D" w:rsidRPr="000479E9" w:rsidRDefault="00053B8D" w:rsidP="00053B8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417. mijenja se i glasi: </w:t>
      </w:r>
    </w:p>
    <w:p w14:paraId="4D716E87" w14:textId="13AA2124" w:rsidR="00053B8D" w:rsidRPr="000479E9" w:rsidRDefault="00053B8D" w:rsidP="00053B8D">
      <w:pPr>
        <w:spacing w:after="0" w:line="240" w:lineRule="auto"/>
        <w:rPr>
          <w:rFonts w:ascii="Times New Roman" w:eastAsia="Times New Roman" w:hAnsi="Times New Roman" w:cs="Times New Roman"/>
          <w:sz w:val="24"/>
          <w:szCs w:val="24"/>
          <w:lang w:eastAsia="hr-HR"/>
        </w:rPr>
      </w:pPr>
    </w:p>
    <w:p w14:paraId="00C60B5E" w14:textId="1FC33A51" w:rsidR="00053B8D" w:rsidRPr="000479E9" w:rsidRDefault="006139BC" w:rsidP="00017BB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 odgovornost za informacije navedene u dokumentima koji se objavljuju kada ne postoji obveza objave prospekta u skladu s člankom 1. stavkom 4. točkama (da), (db), (f), (g), (h) i (i) i stavkom 5. točkama (ba), (e), (f), (g) i (h) Uredbe (EU) br. 2017/1129 na odgovarajući će se način primjenjivati pravila općeg propisa kojim su uređeni obvezni odnosi.</w:t>
      </w:r>
      <w:r w:rsidR="004244A3" w:rsidRPr="000479E9">
        <w:rPr>
          <w:rFonts w:ascii="Times New Roman" w:eastAsia="Times New Roman" w:hAnsi="Times New Roman" w:cs="Times New Roman"/>
          <w:sz w:val="24"/>
          <w:szCs w:val="24"/>
          <w:lang w:eastAsia="hr-HR"/>
        </w:rPr>
        <w:t>“</w:t>
      </w:r>
      <w:r w:rsidR="00F34CE1" w:rsidRPr="000479E9">
        <w:rPr>
          <w:rFonts w:ascii="Times New Roman" w:eastAsia="Times New Roman" w:hAnsi="Times New Roman" w:cs="Times New Roman"/>
          <w:sz w:val="24"/>
          <w:szCs w:val="24"/>
          <w:lang w:eastAsia="hr-HR"/>
        </w:rPr>
        <w:t>.</w:t>
      </w:r>
    </w:p>
    <w:p w14:paraId="4DAC8EA6" w14:textId="77777777" w:rsidR="00053B8D" w:rsidRPr="000479E9" w:rsidRDefault="00053B8D" w:rsidP="00053B8D">
      <w:pPr>
        <w:spacing w:after="0" w:line="240" w:lineRule="auto"/>
        <w:rPr>
          <w:rFonts w:ascii="Times New Roman" w:eastAsia="Times New Roman" w:hAnsi="Times New Roman" w:cs="Times New Roman"/>
          <w:b/>
          <w:bCs/>
          <w:sz w:val="24"/>
          <w:szCs w:val="24"/>
          <w:lang w:eastAsia="hr-HR"/>
        </w:rPr>
      </w:pPr>
    </w:p>
    <w:p w14:paraId="3CD49451" w14:textId="77777777" w:rsidR="00AF206A" w:rsidRPr="000479E9" w:rsidRDefault="00AF206A" w:rsidP="00617A00">
      <w:pPr>
        <w:spacing w:after="0" w:line="240" w:lineRule="auto"/>
        <w:jc w:val="center"/>
        <w:rPr>
          <w:rFonts w:ascii="Times New Roman" w:eastAsia="Times New Roman" w:hAnsi="Times New Roman" w:cs="Times New Roman"/>
          <w:b/>
          <w:bCs/>
          <w:sz w:val="24"/>
          <w:szCs w:val="24"/>
          <w:lang w:eastAsia="hr-HR"/>
        </w:rPr>
      </w:pPr>
    </w:p>
    <w:p w14:paraId="07A31606" w14:textId="4D117679"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5</w:t>
      </w:r>
      <w:r w:rsidR="009344D6" w:rsidRPr="000479E9">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w:t>
      </w:r>
    </w:p>
    <w:p w14:paraId="16908E38"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42ACAA00"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420. mijenja se i glasi:</w:t>
      </w:r>
    </w:p>
    <w:p w14:paraId="7502898E"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4DB8C70" w14:textId="6D7442A7" w:rsidR="006139BC" w:rsidRPr="000479E9" w:rsidRDefault="00F34CE1" w:rsidP="006139B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6139BC" w:rsidRPr="000479E9">
        <w:rPr>
          <w:rFonts w:ascii="Times New Roman" w:eastAsia="Times New Roman" w:hAnsi="Times New Roman" w:cs="Times New Roman"/>
          <w:sz w:val="24"/>
          <w:szCs w:val="24"/>
          <w:lang w:eastAsia="hr-HR"/>
        </w:rPr>
        <w:t>(1) Kada je Republika Hrvatska matična država članica, a javna ponuda vrijednosnih papira i</w:t>
      </w:r>
      <w:r w:rsidR="006426EC" w:rsidRPr="000479E9">
        <w:rPr>
          <w:rFonts w:ascii="Times New Roman" w:eastAsia="Times New Roman" w:hAnsi="Times New Roman" w:cs="Times New Roman"/>
          <w:sz w:val="24"/>
          <w:szCs w:val="24"/>
          <w:lang w:eastAsia="hr-HR"/>
        </w:rPr>
        <w:t>li</w:t>
      </w:r>
      <w:r w:rsidR="006139BC" w:rsidRPr="000479E9">
        <w:rPr>
          <w:rFonts w:ascii="Times New Roman" w:eastAsia="Times New Roman" w:hAnsi="Times New Roman" w:cs="Times New Roman"/>
          <w:sz w:val="24"/>
          <w:szCs w:val="24"/>
          <w:lang w:eastAsia="hr-HR"/>
        </w:rPr>
        <w:t xml:space="preserve"> uvrštenje za trgovanje na uređeno tržište se zahtijeva samo na području Republike Hrvatske prospekt se sastavlja na hrvatskom jeziku. </w:t>
      </w:r>
    </w:p>
    <w:p w14:paraId="05A7776A" w14:textId="77777777"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p>
    <w:p w14:paraId="049CBF01" w14:textId="35D9A9EF"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Kada je Republika Hrvatska matična država članica, a javna ponuda vrijednosnih papira ili uvrštenje za trgovanje na uređeno tržište se zahtijeva u Republici Hrvatskoj i</w:t>
      </w:r>
      <w:r w:rsidR="005156DA" w:rsidRPr="000479E9">
        <w:rPr>
          <w:rFonts w:ascii="Times New Roman" w:eastAsia="Times New Roman" w:hAnsi="Times New Roman" w:cs="Times New Roman"/>
          <w:sz w:val="24"/>
          <w:szCs w:val="24"/>
          <w:lang w:eastAsia="hr-HR"/>
        </w:rPr>
        <w:t>/ili</w:t>
      </w:r>
      <w:r w:rsidRPr="000479E9">
        <w:rPr>
          <w:rFonts w:ascii="Times New Roman" w:eastAsia="Times New Roman" w:hAnsi="Times New Roman" w:cs="Times New Roman"/>
          <w:sz w:val="24"/>
          <w:szCs w:val="24"/>
          <w:lang w:eastAsia="hr-HR"/>
        </w:rPr>
        <w:t xml:space="preserve"> u jednoj ili više država članica domaćina, prospekt se sastavlja na hrvatskom </w:t>
      </w:r>
      <w:r w:rsidRPr="000479E9">
        <w:rPr>
          <w:rFonts w:ascii="Times New Roman" w:eastAsia="Times New Roman" w:hAnsi="Times New Roman" w:cs="Times New Roman"/>
          <w:sz w:val="24"/>
          <w:szCs w:val="24"/>
          <w:lang w:eastAsia="hr-HR"/>
        </w:rPr>
        <w:lastRenderedPageBreak/>
        <w:t xml:space="preserve">jeziku i jeziku koje je prihvatilo nadležno tijelo svake države članice domaćina ili na engleskom jeziku, prema izboru izdavatelja, ponuditelja ili osobe koja traži uvrštenje za trgovanje na uređenom tržištu.  </w:t>
      </w:r>
    </w:p>
    <w:p w14:paraId="68AAFFDB" w14:textId="77777777"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p>
    <w:p w14:paraId="22CE1A60" w14:textId="47BE1E99" w:rsidR="000228FA" w:rsidRPr="000479E9" w:rsidRDefault="000228FA" w:rsidP="000228F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DD3A21" w:rsidRPr="000479E9">
        <w:rPr>
          <w:rFonts w:ascii="Times New Roman" w:eastAsia="Times New Roman" w:hAnsi="Times New Roman" w:cs="Times New Roman"/>
          <w:sz w:val="24"/>
          <w:szCs w:val="24"/>
          <w:lang w:eastAsia="hr-HR"/>
        </w:rPr>
        <w:t>3</w:t>
      </w:r>
      <w:r w:rsidRPr="000479E9">
        <w:rPr>
          <w:rFonts w:ascii="Times New Roman" w:eastAsia="Times New Roman" w:hAnsi="Times New Roman" w:cs="Times New Roman"/>
          <w:sz w:val="24"/>
          <w:szCs w:val="24"/>
          <w:lang w:eastAsia="hr-HR"/>
        </w:rPr>
        <w:t xml:space="preserve">) Kada je Republika Hrvatska država članica domaćin, a javna ponuda vrijednosnih papira ili uvrštenje za trgovanje na uređeno tržište se zahtijeva u Republici Hrvatskoj i u jednoj ili više drugih država članica, prospekt se sastavlja na hrvatskom jeziku i jeziku koje je prihvatilo nadležno tijelo svake države članice domaćina i matične države članice </w:t>
      </w:r>
      <w:r w:rsidR="00012C48" w:rsidRPr="000479E9">
        <w:rPr>
          <w:rFonts w:ascii="Times New Roman" w:eastAsia="Times New Roman" w:hAnsi="Times New Roman" w:cs="Times New Roman"/>
          <w:sz w:val="24"/>
          <w:szCs w:val="24"/>
          <w:lang w:eastAsia="hr-HR"/>
        </w:rPr>
        <w:t>kada je tako uređeno propisima druge države članice</w:t>
      </w:r>
      <w:r w:rsidRPr="000479E9">
        <w:rPr>
          <w:rFonts w:ascii="Times New Roman" w:eastAsia="Times New Roman" w:hAnsi="Times New Roman" w:cs="Times New Roman"/>
          <w:sz w:val="24"/>
          <w:szCs w:val="24"/>
          <w:lang w:eastAsia="hr-HR"/>
        </w:rPr>
        <w:t xml:space="preserve"> ili na engleskom jeziku, prema izboru izdavatelja, ponuditelja ili osobe koja traži uvrštenje za trgovanje na uređenom tržištu </w:t>
      </w:r>
    </w:p>
    <w:p w14:paraId="6E3969F7" w14:textId="77777777" w:rsidR="000228FA" w:rsidRPr="000479E9" w:rsidRDefault="000228FA" w:rsidP="000228FA">
      <w:pPr>
        <w:spacing w:after="0" w:line="240" w:lineRule="auto"/>
        <w:jc w:val="both"/>
        <w:rPr>
          <w:rFonts w:ascii="Times New Roman" w:eastAsia="Times New Roman" w:hAnsi="Times New Roman" w:cs="Times New Roman"/>
          <w:sz w:val="24"/>
          <w:szCs w:val="24"/>
          <w:lang w:eastAsia="hr-HR"/>
        </w:rPr>
      </w:pPr>
    </w:p>
    <w:p w14:paraId="032667E1" w14:textId="2F6408A0"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D677A3" w:rsidRPr="000479E9">
        <w:rPr>
          <w:rFonts w:ascii="Times New Roman" w:eastAsia="Times New Roman" w:hAnsi="Times New Roman" w:cs="Times New Roman"/>
          <w:sz w:val="24"/>
          <w:szCs w:val="24"/>
          <w:lang w:eastAsia="hr-HR"/>
        </w:rPr>
        <w:t>4</w:t>
      </w:r>
      <w:r w:rsidRPr="000479E9">
        <w:rPr>
          <w:rFonts w:ascii="Times New Roman" w:eastAsia="Times New Roman" w:hAnsi="Times New Roman" w:cs="Times New Roman"/>
          <w:sz w:val="24"/>
          <w:szCs w:val="24"/>
          <w:lang w:eastAsia="hr-HR"/>
        </w:rPr>
        <w:t xml:space="preserve">) U slučajevima iz stavaka 2. i 3. ovoga članka kada prospekt prema izboru izdavatelja, ponuditelja ili osobe koja traži uvrštenje za trgovanje na uređenom tržištu </w:t>
      </w:r>
      <w:r w:rsidR="00BF458E" w:rsidRPr="000479E9">
        <w:rPr>
          <w:rFonts w:ascii="Times New Roman" w:eastAsia="Times New Roman" w:hAnsi="Times New Roman" w:cs="Times New Roman"/>
          <w:sz w:val="24"/>
          <w:szCs w:val="24"/>
          <w:lang w:eastAsia="hr-HR"/>
        </w:rPr>
        <w:t xml:space="preserve">nije </w:t>
      </w:r>
      <w:r w:rsidRPr="000479E9">
        <w:rPr>
          <w:rFonts w:ascii="Times New Roman" w:eastAsia="Times New Roman" w:hAnsi="Times New Roman" w:cs="Times New Roman"/>
          <w:sz w:val="24"/>
          <w:szCs w:val="24"/>
          <w:lang w:eastAsia="hr-HR"/>
        </w:rPr>
        <w:t xml:space="preserve">sastavljen na </w:t>
      </w:r>
      <w:r w:rsidR="00DD3A21" w:rsidRPr="000479E9">
        <w:rPr>
          <w:rFonts w:ascii="Times New Roman" w:eastAsia="Times New Roman" w:hAnsi="Times New Roman" w:cs="Times New Roman"/>
          <w:sz w:val="24"/>
          <w:szCs w:val="24"/>
          <w:lang w:eastAsia="hr-HR"/>
        </w:rPr>
        <w:t>hrvatskom</w:t>
      </w:r>
      <w:r w:rsidRPr="000479E9">
        <w:rPr>
          <w:rFonts w:ascii="Times New Roman" w:eastAsia="Times New Roman" w:hAnsi="Times New Roman" w:cs="Times New Roman"/>
          <w:sz w:val="24"/>
          <w:szCs w:val="24"/>
          <w:lang w:eastAsia="hr-HR"/>
        </w:rPr>
        <w:t xml:space="preserve"> jeziku, sažetak prospekta iz članka 7. Uredbe (EU) br. 2017/1129 se sastavlja na hrvatskom jeziku. </w:t>
      </w:r>
    </w:p>
    <w:p w14:paraId="7EFB4A0E" w14:textId="77777777"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p>
    <w:p w14:paraId="0954F30D" w14:textId="31FAD441"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D677A3"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xml:space="preserve">) Kada je Republika Hrvatska matična država članica koja je odobrila osnovni prospekt, </w:t>
      </w:r>
      <w:r w:rsidR="009344D6" w:rsidRPr="000479E9">
        <w:rPr>
          <w:rFonts w:ascii="Times New Roman" w:eastAsia="Times New Roman" w:hAnsi="Times New Roman" w:cs="Times New Roman"/>
          <w:sz w:val="24"/>
          <w:szCs w:val="24"/>
          <w:lang w:eastAsia="hr-HR"/>
        </w:rPr>
        <w:t>konačni uvjeti sastavljaju se na jeziku na kojem je sastavljen odobreni osnovni prospekt, a sažetak pojedinog izdanja sastavlja se na hrvatskom jeziku</w:t>
      </w:r>
      <w:r w:rsidRPr="000479E9">
        <w:rPr>
          <w:rFonts w:ascii="Times New Roman" w:eastAsia="Times New Roman" w:hAnsi="Times New Roman" w:cs="Times New Roman"/>
          <w:sz w:val="24"/>
          <w:szCs w:val="24"/>
          <w:lang w:eastAsia="hr-HR"/>
        </w:rPr>
        <w:t xml:space="preserve">. </w:t>
      </w:r>
    </w:p>
    <w:p w14:paraId="1AFCE5DC" w14:textId="77777777"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p>
    <w:p w14:paraId="730ADBDF" w14:textId="1C897A64"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D677A3"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xml:space="preserve">) </w:t>
      </w:r>
      <w:r w:rsidR="004031DE" w:rsidRPr="000479E9">
        <w:rPr>
          <w:rFonts w:ascii="Times New Roman" w:eastAsia="Times New Roman" w:hAnsi="Times New Roman" w:cs="Times New Roman"/>
          <w:sz w:val="24"/>
          <w:szCs w:val="24"/>
          <w:lang w:eastAsia="hr-HR"/>
        </w:rPr>
        <w:t>Kada je u</w:t>
      </w:r>
      <w:r w:rsidRPr="000479E9">
        <w:rPr>
          <w:rFonts w:ascii="Times New Roman" w:eastAsia="Times New Roman" w:hAnsi="Times New Roman" w:cs="Times New Roman"/>
          <w:sz w:val="24"/>
          <w:szCs w:val="24"/>
          <w:lang w:eastAsia="hr-HR"/>
        </w:rPr>
        <w:t xml:space="preserve"> slučaju iz članka 25. stavka 4. Uredbe (EU) br. 2017/1129 Republika Hrvatska država članica domaćin, sažetak pojedinog izdanja priložen konačnim uvjetima izdanja se sastavlja na hrvatskom jeziku. </w:t>
      </w:r>
    </w:p>
    <w:p w14:paraId="02A1E7A3" w14:textId="77777777"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p>
    <w:p w14:paraId="184001CE" w14:textId="6394944B" w:rsidR="006139BC" w:rsidRPr="000479E9" w:rsidRDefault="006139BC" w:rsidP="006139BC">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D677A3"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xml:space="preserve">) </w:t>
      </w:r>
      <w:r w:rsidR="00BC00F2" w:rsidRPr="000479E9">
        <w:rPr>
          <w:rFonts w:ascii="Times New Roman" w:eastAsia="Times New Roman" w:hAnsi="Times New Roman" w:cs="Times New Roman"/>
          <w:sz w:val="24"/>
          <w:szCs w:val="24"/>
          <w:lang w:eastAsia="hr-HR"/>
        </w:rPr>
        <w:t>U</w:t>
      </w:r>
      <w:r w:rsidRPr="000479E9">
        <w:rPr>
          <w:rFonts w:ascii="Times New Roman" w:eastAsia="Times New Roman" w:hAnsi="Times New Roman" w:cs="Times New Roman"/>
          <w:sz w:val="24"/>
          <w:szCs w:val="24"/>
          <w:lang w:eastAsia="hr-HR"/>
        </w:rPr>
        <w:t xml:space="preserve"> slučaju iz članka 27. stavka 5. Uredbe (EU) br. 2017/1129, prospekt se sastavlja na hrvatskom jeziku i jeziku koje je prihvatilo nadležno tijelo svake države članice ili na engleskom jeziku, prema izboru izdavatelja, ponuditelja ili osobe koja traži uvrštenje za trgovanje na uređeno tržište</w:t>
      </w:r>
      <w:r w:rsidR="00017B35" w:rsidRPr="000479E9">
        <w:rPr>
          <w:rFonts w:ascii="Times New Roman" w:eastAsia="Times New Roman" w:hAnsi="Times New Roman" w:cs="Times New Roman"/>
          <w:sz w:val="24"/>
          <w:szCs w:val="24"/>
          <w:lang w:eastAsia="hr-HR"/>
        </w:rPr>
        <w:t>.</w:t>
      </w:r>
      <w:r w:rsidR="00F34CE1" w:rsidRPr="000479E9">
        <w:rPr>
          <w:rFonts w:ascii="Times New Roman" w:eastAsia="Times New Roman" w:hAnsi="Times New Roman" w:cs="Times New Roman"/>
          <w:sz w:val="24"/>
          <w:szCs w:val="24"/>
          <w:lang w:eastAsia="hr-HR"/>
        </w:rPr>
        <w:t>“.</w:t>
      </w:r>
      <w:r w:rsidR="00017B35" w:rsidRPr="000479E9">
        <w:rPr>
          <w:rFonts w:ascii="Times New Roman" w:eastAsia="Times New Roman" w:hAnsi="Times New Roman" w:cs="Times New Roman"/>
          <w:sz w:val="24"/>
          <w:szCs w:val="24"/>
          <w:lang w:eastAsia="hr-HR"/>
        </w:rPr>
        <w:t xml:space="preserve"> </w:t>
      </w:r>
      <w:r w:rsidR="00665863" w:rsidRPr="000479E9">
        <w:rPr>
          <w:rFonts w:ascii="Times New Roman" w:eastAsia="Times New Roman" w:hAnsi="Times New Roman" w:cs="Times New Roman"/>
          <w:sz w:val="24"/>
          <w:szCs w:val="24"/>
          <w:lang w:eastAsia="hr-HR"/>
        </w:rPr>
        <w:t xml:space="preserve"> </w:t>
      </w:r>
    </w:p>
    <w:p w14:paraId="5088A577"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E2BE44B" w14:textId="77777777" w:rsidR="006139BC" w:rsidRPr="000479E9" w:rsidRDefault="006139BC" w:rsidP="00617A00">
      <w:pPr>
        <w:spacing w:after="0" w:line="240" w:lineRule="auto"/>
        <w:jc w:val="center"/>
        <w:rPr>
          <w:rFonts w:ascii="Times New Roman" w:eastAsia="Times New Roman" w:hAnsi="Times New Roman" w:cs="Times New Roman"/>
          <w:b/>
          <w:bCs/>
          <w:sz w:val="24"/>
          <w:szCs w:val="24"/>
          <w:lang w:eastAsia="hr-HR"/>
        </w:rPr>
      </w:pPr>
    </w:p>
    <w:p w14:paraId="1025F621" w14:textId="7EAD8259" w:rsidR="006139BC" w:rsidRPr="000479E9" w:rsidRDefault="006139BC"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5</w:t>
      </w:r>
      <w:r w:rsidR="009344D6" w:rsidRPr="000479E9">
        <w:rPr>
          <w:rFonts w:ascii="Times New Roman" w:eastAsia="Times New Roman" w:hAnsi="Times New Roman" w:cs="Times New Roman"/>
          <w:b/>
          <w:sz w:val="24"/>
          <w:szCs w:val="24"/>
          <w:lang w:eastAsia="hr-HR"/>
        </w:rPr>
        <w:t>8</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506B7BA1" w14:textId="77777777" w:rsidR="006139BC" w:rsidRPr="000479E9" w:rsidRDefault="006139BC" w:rsidP="00617A00">
      <w:pPr>
        <w:spacing w:after="0" w:line="240" w:lineRule="auto"/>
        <w:jc w:val="center"/>
        <w:rPr>
          <w:rFonts w:ascii="Times New Roman" w:eastAsia="Times New Roman" w:hAnsi="Times New Roman" w:cs="Times New Roman"/>
          <w:b/>
          <w:bCs/>
          <w:sz w:val="24"/>
          <w:szCs w:val="24"/>
          <w:lang w:eastAsia="hr-HR"/>
        </w:rPr>
      </w:pPr>
    </w:p>
    <w:p w14:paraId="3AD64AA8" w14:textId="42335600" w:rsidR="006139BC" w:rsidRPr="000479E9" w:rsidRDefault="006139BC" w:rsidP="006139B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421. stavak 2. mijenja se i glasi:</w:t>
      </w:r>
    </w:p>
    <w:p w14:paraId="46772148" w14:textId="6344947B" w:rsidR="006139BC" w:rsidRPr="000479E9" w:rsidRDefault="006139BC" w:rsidP="006139BC">
      <w:pPr>
        <w:spacing w:after="0" w:line="240" w:lineRule="auto"/>
        <w:rPr>
          <w:rFonts w:ascii="Times New Roman" w:eastAsia="Times New Roman" w:hAnsi="Times New Roman" w:cs="Times New Roman"/>
          <w:sz w:val="24"/>
          <w:szCs w:val="24"/>
          <w:lang w:eastAsia="hr-HR"/>
        </w:rPr>
      </w:pPr>
    </w:p>
    <w:p w14:paraId="59011DE8" w14:textId="1205B2FC" w:rsidR="006139BC" w:rsidRPr="000479E9" w:rsidRDefault="006139BC" w:rsidP="006139B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U slučajevima iz članka 26. stavka 4. Uredbe (EU) br. 2017/1129, na odgovarajući način primjenjuju se pravila o jeziku iz članka 420. ovoga Zakona.“</w:t>
      </w:r>
      <w:r w:rsidR="00F34CE1" w:rsidRPr="000479E9">
        <w:rPr>
          <w:rFonts w:ascii="Times New Roman" w:eastAsia="Times New Roman" w:hAnsi="Times New Roman" w:cs="Times New Roman"/>
          <w:sz w:val="24"/>
          <w:szCs w:val="24"/>
          <w:lang w:eastAsia="hr-HR"/>
        </w:rPr>
        <w:t>.</w:t>
      </w:r>
    </w:p>
    <w:p w14:paraId="53F82C80" w14:textId="72D004A3" w:rsidR="006139BC" w:rsidRPr="000479E9" w:rsidRDefault="006139BC" w:rsidP="006139BC">
      <w:pPr>
        <w:spacing w:after="0" w:line="240" w:lineRule="auto"/>
        <w:rPr>
          <w:rFonts w:ascii="Times New Roman" w:eastAsia="Times New Roman" w:hAnsi="Times New Roman" w:cs="Times New Roman"/>
          <w:sz w:val="24"/>
          <w:szCs w:val="24"/>
          <w:lang w:eastAsia="hr-HR"/>
        </w:rPr>
      </w:pPr>
    </w:p>
    <w:p w14:paraId="314ECEC3" w14:textId="375ED7E5" w:rsidR="006139BC" w:rsidRPr="000479E9" w:rsidRDefault="006139BC" w:rsidP="006139BC">
      <w:pPr>
        <w:spacing w:after="0" w:line="240" w:lineRule="auto"/>
        <w:rPr>
          <w:rFonts w:ascii="Times New Roman" w:eastAsia="Times New Roman" w:hAnsi="Times New Roman" w:cs="Times New Roman"/>
          <w:sz w:val="24"/>
          <w:szCs w:val="24"/>
          <w:lang w:eastAsia="hr-HR"/>
        </w:rPr>
      </w:pPr>
    </w:p>
    <w:p w14:paraId="4C8D49DA" w14:textId="616E8E23" w:rsidR="006139BC" w:rsidRPr="000479E9" w:rsidRDefault="006139BC" w:rsidP="006139BC">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5</w:t>
      </w:r>
      <w:r w:rsidR="009344D6" w:rsidRPr="000479E9">
        <w:rPr>
          <w:rFonts w:ascii="Times New Roman" w:eastAsia="Times New Roman" w:hAnsi="Times New Roman" w:cs="Times New Roman"/>
          <w:b/>
          <w:sz w:val="24"/>
          <w:szCs w:val="24"/>
          <w:lang w:eastAsia="hr-HR"/>
        </w:rPr>
        <w:t>9</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29D17A9D" w14:textId="546D6A1C" w:rsidR="006139BC" w:rsidRPr="000479E9" w:rsidRDefault="006139BC" w:rsidP="006139BC">
      <w:pPr>
        <w:spacing w:after="0" w:line="240" w:lineRule="auto"/>
        <w:rPr>
          <w:rFonts w:ascii="Times New Roman" w:eastAsia="Times New Roman" w:hAnsi="Times New Roman" w:cs="Times New Roman"/>
          <w:b/>
          <w:bCs/>
          <w:sz w:val="24"/>
          <w:szCs w:val="24"/>
          <w:lang w:eastAsia="hr-HR"/>
        </w:rPr>
      </w:pPr>
    </w:p>
    <w:p w14:paraId="048C86D2" w14:textId="7ADD222B" w:rsidR="006139BC" w:rsidRPr="000479E9" w:rsidRDefault="00546509" w:rsidP="006139B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i č</w:t>
      </w:r>
      <w:r w:rsidR="006139BC" w:rsidRPr="000479E9">
        <w:rPr>
          <w:rFonts w:ascii="Times New Roman" w:eastAsia="Times New Roman" w:hAnsi="Times New Roman" w:cs="Times New Roman"/>
          <w:sz w:val="24"/>
          <w:szCs w:val="24"/>
          <w:lang w:eastAsia="hr-HR"/>
        </w:rPr>
        <w:t>lanak 427. briš</w:t>
      </w:r>
      <w:r w:rsidRPr="000479E9">
        <w:rPr>
          <w:rFonts w:ascii="Times New Roman" w:eastAsia="Times New Roman" w:hAnsi="Times New Roman" w:cs="Times New Roman"/>
          <w:sz w:val="24"/>
          <w:szCs w:val="24"/>
          <w:lang w:eastAsia="hr-HR"/>
        </w:rPr>
        <w:t>u</w:t>
      </w:r>
      <w:r w:rsidR="006139BC" w:rsidRPr="000479E9">
        <w:rPr>
          <w:rFonts w:ascii="Times New Roman" w:eastAsia="Times New Roman" w:hAnsi="Times New Roman" w:cs="Times New Roman"/>
          <w:sz w:val="24"/>
          <w:szCs w:val="24"/>
          <w:lang w:eastAsia="hr-HR"/>
        </w:rPr>
        <w:t xml:space="preserve"> se. </w:t>
      </w:r>
    </w:p>
    <w:p w14:paraId="5BB3E1BD" w14:textId="1EE7F44B" w:rsidR="006139BC" w:rsidRPr="000479E9" w:rsidRDefault="006139BC" w:rsidP="006139BC">
      <w:pPr>
        <w:spacing w:after="0" w:line="240" w:lineRule="auto"/>
        <w:rPr>
          <w:rFonts w:ascii="Times New Roman" w:eastAsia="Times New Roman" w:hAnsi="Times New Roman" w:cs="Times New Roman"/>
          <w:sz w:val="24"/>
          <w:szCs w:val="24"/>
          <w:lang w:eastAsia="hr-HR"/>
        </w:rPr>
      </w:pPr>
    </w:p>
    <w:p w14:paraId="4393928D" w14:textId="30C5D0D0" w:rsidR="006139BC" w:rsidRPr="000479E9" w:rsidRDefault="006139BC" w:rsidP="006139BC">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9344D6" w:rsidRPr="000479E9">
        <w:rPr>
          <w:rFonts w:ascii="Times New Roman" w:eastAsia="Times New Roman" w:hAnsi="Times New Roman" w:cs="Times New Roman"/>
          <w:b/>
          <w:sz w:val="24"/>
          <w:szCs w:val="24"/>
          <w:lang w:eastAsia="hr-HR"/>
        </w:rPr>
        <w:t>60</w:t>
      </w:r>
      <w:r w:rsidR="00B453AA" w:rsidRPr="000479E9">
        <w:rPr>
          <w:rFonts w:ascii="Times New Roman" w:eastAsia="Times New Roman" w:hAnsi="Times New Roman" w:cs="Times New Roman"/>
          <w:b/>
          <w:sz w:val="24"/>
          <w:szCs w:val="24"/>
          <w:lang w:eastAsia="hr-HR"/>
        </w:rPr>
        <w:t>.</w:t>
      </w:r>
    </w:p>
    <w:p w14:paraId="6E8DE84C" w14:textId="385CBA29" w:rsidR="006139BC" w:rsidRPr="000479E9" w:rsidRDefault="006139BC" w:rsidP="006139BC">
      <w:pPr>
        <w:spacing w:after="0" w:line="240" w:lineRule="auto"/>
        <w:rPr>
          <w:rFonts w:ascii="Times New Roman" w:eastAsia="Times New Roman" w:hAnsi="Times New Roman" w:cs="Times New Roman"/>
          <w:sz w:val="24"/>
          <w:szCs w:val="24"/>
          <w:lang w:eastAsia="hr-HR"/>
        </w:rPr>
      </w:pPr>
    </w:p>
    <w:p w14:paraId="585E863E" w14:textId="0FD825E1" w:rsidR="00B453AA" w:rsidRPr="000479E9" w:rsidRDefault="00B453AA" w:rsidP="006139B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U članku 463. stavak 2. briše se.</w:t>
      </w:r>
    </w:p>
    <w:p w14:paraId="7231F011" w14:textId="00D3B963" w:rsidR="00B453AA" w:rsidRPr="000479E9" w:rsidRDefault="00B453AA" w:rsidP="006139BC">
      <w:pPr>
        <w:spacing w:after="0" w:line="240" w:lineRule="auto"/>
        <w:rPr>
          <w:rFonts w:ascii="Times New Roman" w:eastAsia="Times New Roman" w:hAnsi="Times New Roman" w:cs="Times New Roman"/>
          <w:sz w:val="24"/>
          <w:szCs w:val="24"/>
          <w:lang w:eastAsia="hr-HR"/>
        </w:rPr>
      </w:pPr>
    </w:p>
    <w:p w14:paraId="557BAC28" w14:textId="173E81FC" w:rsidR="00B453AA" w:rsidRPr="000479E9" w:rsidRDefault="00FB76FC" w:rsidP="006139B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w:t>
      </w:r>
      <w:r w:rsidR="00B453AA" w:rsidRPr="000479E9">
        <w:rPr>
          <w:rFonts w:ascii="Times New Roman" w:eastAsia="Times New Roman" w:hAnsi="Times New Roman" w:cs="Times New Roman"/>
          <w:sz w:val="24"/>
          <w:szCs w:val="24"/>
          <w:lang w:eastAsia="hr-HR"/>
        </w:rPr>
        <w:t xml:space="preserve">tavak 3. postaje stavak 2. </w:t>
      </w:r>
    </w:p>
    <w:p w14:paraId="4EE78FAA" w14:textId="247F4E64" w:rsidR="00B453AA" w:rsidRPr="000479E9" w:rsidRDefault="00B453AA" w:rsidP="006139BC">
      <w:pPr>
        <w:spacing w:after="0" w:line="240" w:lineRule="auto"/>
        <w:rPr>
          <w:rFonts w:ascii="Times New Roman" w:eastAsia="Times New Roman" w:hAnsi="Times New Roman" w:cs="Times New Roman"/>
          <w:sz w:val="24"/>
          <w:szCs w:val="24"/>
          <w:lang w:eastAsia="hr-HR"/>
        </w:rPr>
      </w:pPr>
    </w:p>
    <w:p w14:paraId="42EF1FCE" w14:textId="09ADB048" w:rsidR="00B453AA" w:rsidRPr="000479E9" w:rsidRDefault="00B453AA" w:rsidP="000479E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w:t>
      </w:r>
      <w:r w:rsidR="00FB76FC" w:rsidRPr="000479E9">
        <w:rPr>
          <w:rFonts w:ascii="Times New Roman" w:eastAsia="Times New Roman" w:hAnsi="Times New Roman" w:cs="Times New Roman"/>
          <w:sz w:val="24"/>
          <w:szCs w:val="24"/>
          <w:lang w:eastAsia="hr-HR"/>
        </w:rPr>
        <w:t xml:space="preserve">dosadašnjem </w:t>
      </w:r>
      <w:r w:rsidRPr="000479E9">
        <w:rPr>
          <w:rFonts w:ascii="Times New Roman" w:eastAsia="Times New Roman" w:hAnsi="Times New Roman" w:cs="Times New Roman"/>
          <w:sz w:val="24"/>
          <w:szCs w:val="24"/>
          <w:lang w:eastAsia="hr-HR"/>
        </w:rPr>
        <w:t>stavku 4. koji postaje stavak 3. riječi</w:t>
      </w:r>
      <w:r w:rsidR="004C493F"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r w:rsidR="0097401E" w:rsidRPr="000479E9">
        <w:rPr>
          <w:rFonts w:ascii="Times New Roman" w:eastAsia="Times New Roman" w:hAnsi="Times New Roman" w:cs="Times New Roman"/>
          <w:sz w:val="24"/>
          <w:szCs w:val="24"/>
          <w:lang w:eastAsia="hr-HR"/>
        </w:rPr>
        <w:t xml:space="preserve">„stavka 3.“ zamjenjuju se riječima: „stavka 2.“, a riječi: </w:t>
      </w:r>
      <w:r w:rsidRPr="000479E9">
        <w:rPr>
          <w:rFonts w:ascii="Times New Roman" w:eastAsia="Times New Roman" w:hAnsi="Times New Roman" w:cs="Times New Roman"/>
          <w:sz w:val="24"/>
          <w:szCs w:val="24"/>
          <w:lang w:eastAsia="hr-HR"/>
        </w:rPr>
        <w:t>„te odluku o upotrebi dobiti ili pokriću gubitka“ brišu se.</w:t>
      </w:r>
    </w:p>
    <w:p w14:paraId="05E5F780" w14:textId="51C92B02" w:rsidR="00B453AA" w:rsidRPr="000479E9" w:rsidRDefault="00B453AA" w:rsidP="000479E9">
      <w:pPr>
        <w:spacing w:after="0" w:line="240" w:lineRule="auto"/>
        <w:jc w:val="both"/>
        <w:rPr>
          <w:rFonts w:ascii="Times New Roman" w:eastAsia="Times New Roman" w:hAnsi="Times New Roman" w:cs="Times New Roman"/>
          <w:sz w:val="24"/>
          <w:szCs w:val="24"/>
          <w:lang w:eastAsia="hr-HR"/>
        </w:rPr>
      </w:pPr>
    </w:p>
    <w:p w14:paraId="336D1B48" w14:textId="0490D1F2" w:rsidR="00B453AA" w:rsidRPr="000479E9" w:rsidRDefault="00B453AA" w:rsidP="00B453AA">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9344D6" w:rsidRPr="000479E9">
        <w:rPr>
          <w:rFonts w:ascii="Times New Roman" w:eastAsia="Times New Roman" w:hAnsi="Times New Roman" w:cs="Times New Roman"/>
          <w:b/>
          <w:sz w:val="24"/>
          <w:szCs w:val="24"/>
          <w:lang w:eastAsia="hr-HR"/>
        </w:rPr>
        <w:t>61</w:t>
      </w:r>
      <w:r w:rsidRPr="000479E9">
        <w:rPr>
          <w:rFonts w:ascii="Times New Roman" w:eastAsia="Times New Roman" w:hAnsi="Times New Roman" w:cs="Times New Roman"/>
          <w:b/>
          <w:sz w:val="24"/>
          <w:szCs w:val="24"/>
          <w:lang w:eastAsia="hr-HR"/>
        </w:rPr>
        <w:t>.</w:t>
      </w:r>
    </w:p>
    <w:p w14:paraId="2D83C6C4" w14:textId="77777777" w:rsidR="00B453AA" w:rsidRPr="000479E9" w:rsidRDefault="00B453AA" w:rsidP="00B453AA">
      <w:pPr>
        <w:spacing w:after="0" w:line="240" w:lineRule="auto"/>
        <w:jc w:val="center"/>
        <w:rPr>
          <w:rFonts w:ascii="Times New Roman" w:eastAsia="Times New Roman" w:hAnsi="Times New Roman" w:cs="Times New Roman"/>
          <w:sz w:val="24"/>
          <w:szCs w:val="24"/>
          <w:lang w:eastAsia="hr-HR"/>
        </w:rPr>
      </w:pPr>
    </w:p>
    <w:p w14:paraId="6059940C" w14:textId="7824E47E" w:rsidR="00B453AA" w:rsidRPr="000479E9" w:rsidRDefault="00B453AA" w:rsidP="006139B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466. mijenja se i glasi: </w:t>
      </w:r>
    </w:p>
    <w:p w14:paraId="3A5E9C80" w14:textId="5AA6B589" w:rsidR="00B453AA" w:rsidRPr="000479E9" w:rsidRDefault="00B453AA" w:rsidP="006139BC">
      <w:pPr>
        <w:spacing w:after="0" w:line="240" w:lineRule="auto"/>
        <w:rPr>
          <w:rFonts w:ascii="Times New Roman" w:eastAsia="Times New Roman" w:hAnsi="Times New Roman" w:cs="Times New Roman"/>
          <w:sz w:val="24"/>
          <w:szCs w:val="24"/>
          <w:lang w:eastAsia="hr-HR"/>
        </w:rPr>
      </w:pPr>
    </w:p>
    <w:p w14:paraId="49DE6E53" w14:textId="540D7152" w:rsidR="00B453AA" w:rsidRPr="000479E9" w:rsidRDefault="00B453AA" w:rsidP="00B453A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Izdavatelj dionica ili dužničkih vrijednosnih papira koji ima sjedište u Republici Hrvatskoj, obvezan je izvještaje iz članka 465. stavka 2. toč</w:t>
      </w:r>
      <w:r w:rsidR="0098297D"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k</w:t>
      </w:r>
      <w:r w:rsidR="0098297D"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1. </w:t>
      </w:r>
      <w:r w:rsidR="0098297D" w:rsidRPr="000479E9">
        <w:rPr>
          <w:rFonts w:ascii="Times New Roman" w:eastAsia="Times New Roman" w:hAnsi="Times New Roman" w:cs="Times New Roman"/>
          <w:sz w:val="24"/>
          <w:szCs w:val="24"/>
          <w:lang w:eastAsia="hr-HR"/>
        </w:rPr>
        <w:t xml:space="preserve">i 2. </w:t>
      </w:r>
      <w:r w:rsidRPr="000479E9">
        <w:rPr>
          <w:rFonts w:ascii="Times New Roman" w:eastAsia="Times New Roman" w:hAnsi="Times New Roman" w:cs="Times New Roman"/>
          <w:sz w:val="24"/>
          <w:szCs w:val="24"/>
          <w:lang w:eastAsia="hr-HR"/>
        </w:rPr>
        <w:t xml:space="preserve">ovoga Zakona sastavljati u skladu s međunarodnim računovodstvenim standardom za razdoblja tijekom godine usvojenom u skladu s postupkom predviđenim u članku 6. Uredbe (EZ) br. 1606/2002. </w:t>
      </w:r>
    </w:p>
    <w:p w14:paraId="753B5378" w14:textId="77777777" w:rsidR="00B453AA" w:rsidRPr="000479E9" w:rsidRDefault="00B453AA" w:rsidP="00B453AA">
      <w:pPr>
        <w:spacing w:after="0" w:line="240" w:lineRule="auto"/>
        <w:jc w:val="both"/>
        <w:rPr>
          <w:rFonts w:ascii="Times New Roman" w:eastAsia="Times New Roman" w:hAnsi="Times New Roman" w:cs="Times New Roman"/>
          <w:sz w:val="24"/>
          <w:szCs w:val="24"/>
          <w:lang w:eastAsia="hr-HR"/>
        </w:rPr>
      </w:pPr>
    </w:p>
    <w:p w14:paraId="7FFE2351" w14:textId="77777777" w:rsidR="00B453AA" w:rsidRPr="000479E9" w:rsidRDefault="00B453AA" w:rsidP="00B453A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Izdavatelj dionica ili dužničkih vrijednosnih papira koji ima sjedište u Republici Hrvatskoj, obvezan je u izvještaj iz članka 465. stavka 2. točke 2. ovoga Zakona uključiti najmanje naznaku značajnih događaja koji su se dogodili u prvih šest mjeseci poslovne godine i njihov utjecaj na polugodišnje financijske izvještaje, uz opis najznačajnijih rizika i neizvjesnosti za preostalih šest mjeseci poslovne godine. </w:t>
      </w:r>
    </w:p>
    <w:p w14:paraId="539DDD06" w14:textId="77777777" w:rsidR="00B453AA" w:rsidRPr="000479E9" w:rsidRDefault="00B453AA" w:rsidP="00B453AA">
      <w:pPr>
        <w:spacing w:after="0" w:line="240" w:lineRule="auto"/>
        <w:jc w:val="both"/>
        <w:rPr>
          <w:rFonts w:ascii="Times New Roman" w:eastAsia="Times New Roman" w:hAnsi="Times New Roman" w:cs="Times New Roman"/>
          <w:sz w:val="24"/>
          <w:szCs w:val="24"/>
          <w:lang w:eastAsia="hr-HR"/>
        </w:rPr>
      </w:pPr>
    </w:p>
    <w:p w14:paraId="488F3D35" w14:textId="69257931" w:rsidR="00B453AA" w:rsidRPr="000479E9" w:rsidRDefault="00B453AA" w:rsidP="00B453A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(3) Izdavatelj dionica koji ima sjedište u Republici Hrvatskoj, obvezan je u izvještaj iz članka 465. stavka 2. točke 2. ovoga Zakona, u skladu međunarodnim računovodstvenim standardom objavljivanja povezanih osoba usvojenom u skladu s postupkom predviđenim u članku 6. Uredbe (EZ) br. 1606/2002, uključiti podatke u vezi sa značajnim transakcijama s povezanim osobama koje su se dogodile u prvih šest mjeseci poslovne godine i koje su u tom razdoblju značajno utjecale na financijski položaj ili rezultat izdavatelja, te promjene u transakcijama s povezanim osoba navedenim u posljednjim godišnjim financijskim izvještajima izdavatelja </w:t>
      </w:r>
      <w:r w:rsidR="00FE52E5" w:rsidRPr="000479E9">
        <w:rPr>
          <w:rFonts w:ascii="Times New Roman" w:eastAsia="Times New Roman" w:hAnsi="Times New Roman" w:cs="Times New Roman"/>
          <w:sz w:val="24"/>
          <w:szCs w:val="24"/>
          <w:lang w:eastAsia="hr-HR"/>
        </w:rPr>
        <w:t xml:space="preserve">koje </w:t>
      </w:r>
      <w:r w:rsidRPr="000479E9">
        <w:rPr>
          <w:rFonts w:ascii="Times New Roman" w:eastAsia="Times New Roman" w:hAnsi="Times New Roman" w:cs="Times New Roman"/>
          <w:sz w:val="24"/>
          <w:szCs w:val="24"/>
          <w:lang w:eastAsia="hr-HR"/>
        </w:rPr>
        <w:t>su mogle značajno utjecati na financijski položaj ili rezultat izdavatelja u prvih šest mjeseci poslovne godine.“</w:t>
      </w:r>
      <w:r w:rsidR="004C493F" w:rsidRPr="000479E9">
        <w:rPr>
          <w:rFonts w:ascii="Times New Roman" w:eastAsia="Times New Roman" w:hAnsi="Times New Roman" w:cs="Times New Roman"/>
          <w:sz w:val="24"/>
          <w:szCs w:val="24"/>
          <w:lang w:eastAsia="hr-HR"/>
        </w:rPr>
        <w:t>.</w:t>
      </w:r>
    </w:p>
    <w:p w14:paraId="380EC31C" w14:textId="2E09B397" w:rsidR="006139BC" w:rsidRPr="000479E9" w:rsidRDefault="00B453AA" w:rsidP="00B453AA">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9344D6" w:rsidRPr="000479E9">
        <w:rPr>
          <w:rFonts w:ascii="Times New Roman" w:eastAsia="Times New Roman" w:hAnsi="Times New Roman" w:cs="Times New Roman"/>
          <w:b/>
          <w:sz w:val="24"/>
          <w:szCs w:val="24"/>
          <w:lang w:eastAsia="hr-HR"/>
        </w:rPr>
        <w:t>62</w:t>
      </w:r>
      <w:r w:rsidRPr="000479E9">
        <w:rPr>
          <w:rFonts w:ascii="Times New Roman" w:eastAsia="Times New Roman" w:hAnsi="Times New Roman" w:cs="Times New Roman"/>
          <w:b/>
          <w:sz w:val="24"/>
          <w:szCs w:val="24"/>
          <w:lang w:eastAsia="hr-HR"/>
        </w:rPr>
        <w:t>.</w:t>
      </w:r>
    </w:p>
    <w:p w14:paraId="5B1C83B9" w14:textId="3FE09FC4" w:rsidR="006139BC" w:rsidRPr="000479E9" w:rsidRDefault="006139BC" w:rsidP="00617A00">
      <w:pPr>
        <w:spacing w:after="0" w:line="240" w:lineRule="auto"/>
        <w:jc w:val="center"/>
        <w:rPr>
          <w:rFonts w:ascii="Times New Roman" w:eastAsia="Times New Roman" w:hAnsi="Times New Roman" w:cs="Times New Roman"/>
          <w:b/>
          <w:bCs/>
          <w:sz w:val="24"/>
          <w:szCs w:val="24"/>
          <w:lang w:eastAsia="hr-HR"/>
        </w:rPr>
      </w:pPr>
    </w:p>
    <w:p w14:paraId="275E03B0" w14:textId="743B8319" w:rsidR="00B453AA" w:rsidRPr="000479E9" w:rsidRDefault="00B453AA" w:rsidP="00B453AA">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w:t>
      </w:r>
      <w:r w:rsidR="00ED5AA8" w:rsidRPr="000479E9">
        <w:rPr>
          <w:rFonts w:ascii="Times New Roman" w:eastAsia="Times New Roman" w:hAnsi="Times New Roman" w:cs="Times New Roman"/>
          <w:sz w:val="24"/>
          <w:szCs w:val="24"/>
          <w:lang w:eastAsia="hr-HR"/>
        </w:rPr>
        <w:t>468. stavku 1. riječi: „jednog mjeseca“ zamjenjuju se riječima „45 dana“.</w:t>
      </w:r>
    </w:p>
    <w:p w14:paraId="2A2139AA" w14:textId="57ADF1AB" w:rsidR="00ED5AA8" w:rsidRPr="000479E9" w:rsidRDefault="00ED5AA8" w:rsidP="00B453AA">
      <w:pPr>
        <w:spacing w:after="0" w:line="240" w:lineRule="auto"/>
        <w:rPr>
          <w:rFonts w:ascii="Times New Roman" w:eastAsia="Times New Roman" w:hAnsi="Times New Roman" w:cs="Times New Roman"/>
          <w:sz w:val="24"/>
          <w:szCs w:val="24"/>
          <w:lang w:eastAsia="hr-HR"/>
        </w:rPr>
      </w:pPr>
    </w:p>
    <w:p w14:paraId="471D0ED4" w14:textId="497FAEB6" w:rsidR="00ED5AA8" w:rsidRPr="000479E9" w:rsidRDefault="00ED5AA8" w:rsidP="00B453AA">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stavku 4. iza broja</w:t>
      </w:r>
      <w:r w:rsidR="00DD0BA8">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r w:rsidR="00DD0BA8">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466.</w:t>
      </w:r>
      <w:r w:rsidR="00DD0BA8">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dodaju se riječi: „stav</w:t>
      </w:r>
      <w:r w:rsidR="00495334"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ka 1. i 2.“.</w:t>
      </w:r>
    </w:p>
    <w:p w14:paraId="7EFB7CE1" w14:textId="10F2B4A9" w:rsidR="00ED5AA8" w:rsidRPr="000479E9" w:rsidRDefault="00ED5AA8" w:rsidP="00B453AA">
      <w:pPr>
        <w:spacing w:after="0" w:line="240" w:lineRule="auto"/>
        <w:rPr>
          <w:rFonts w:ascii="Times New Roman" w:eastAsia="Times New Roman" w:hAnsi="Times New Roman" w:cs="Times New Roman"/>
          <w:sz w:val="24"/>
          <w:szCs w:val="24"/>
          <w:lang w:eastAsia="hr-HR"/>
        </w:rPr>
      </w:pPr>
    </w:p>
    <w:p w14:paraId="4A0960AE" w14:textId="57526EB8" w:rsidR="00ED5AA8" w:rsidRPr="000479E9" w:rsidRDefault="00ED5AA8" w:rsidP="00B453AA">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stavka 4. dodaje se novi stavak 5. koji glasi:</w:t>
      </w:r>
      <w:r w:rsidRPr="000479E9">
        <w:br/>
      </w:r>
    </w:p>
    <w:p w14:paraId="106E5F04" w14:textId="22C1294A" w:rsidR="00ED5AA8" w:rsidRPr="000479E9" w:rsidRDefault="00ED5AA8" w:rsidP="00ED5AA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„(5) Za izdavatelja iz stavka 1. ovoga članka koji je tromjesečni izvještaj za drugo tromjesečje sastavio i objavio javnosti u roku iz stavka 1. ovoga članka smatra se da je ispunio svoju obvezu sastavljanja i objavljivanja javnosti polugodišnjeg izvještaja iz članka 465. stavka 2. ovoga Zakona, ako međuizvještaj rukovodstva osim podataka </w:t>
      </w:r>
      <w:r w:rsidRPr="000479E9">
        <w:rPr>
          <w:rFonts w:ascii="Times New Roman" w:eastAsia="Times New Roman" w:hAnsi="Times New Roman" w:cs="Times New Roman"/>
          <w:sz w:val="24"/>
          <w:szCs w:val="24"/>
          <w:lang w:eastAsia="hr-HR"/>
        </w:rPr>
        <w:lastRenderedPageBreak/>
        <w:t>za drugo tromjesečje sadrži i podatke za prvih šest mjeseci odnosne poslovne godine uključujući i podatke iz članka 466. stavka 3. ovoga Zakona te izjavu da polugodišnji financijski izvještaji nisu revidirani ili nije obavljen revizijski uvid.“</w:t>
      </w:r>
      <w:r w:rsidR="004C493F" w:rsidRPr="000479E9">
        <w:rPr>
          <w:rFonts w:ascii="Times New Roman" w:eastAsia="Times New Roman" w:hAnsi="Times New Roman" w:cs="Times New Roman"/>
          <w:sz w:val="24"/>
          <w:szCs w:val="24"/>
          <w:lang w:eastAsia="hr-HR"/>
        </w:rPr>
        <w:t>.</w:t>
      </w:r>
    </w:p>
    <w:p w14:paraId="2A24184F" w14:textId="45C55714" w:rsidR="00ED5AA8" w:rsidRPr="000479E9" w:rsidRDefault="00ED5AA8" w:rsidP="00ED5AA8">
      <w:pPr>
        <w:spacing w:after="0" w:line="240" w:lineRule="auto"/>
        <w:jc w:val="both"/>
        <w:rPr>
          <w:rFonts w:ascii="Times New Roman" w:eastAsia="Times New Roman" w:hAnsi="Times New Roman" w:cs="Times New Roman"/>
          <w:sz w:val="24"/>
          <w:szCs w:val="24"/>
          <w:lang w:eastAsia="hr-HR"/>
        </w:rPr>
      </w:pPr>
    </w:p>
    <w:p w14:paraId="3EAA85F0" w14:textId="1A235C77" w:rsidR="00ED5AA8" w:rsidRPr="000479E9" w:rsidRDefault="00ED5AA8" w:rsidP="00ED5AA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stavak 5. postaje stavak 6. </w:t>
      </w:r>
    </w:p>
    <w:p w14:paraId="54F6C15B" w14:textId="1964B480" w:rsidR="00B453AA" w:rsidRPr="000479E9" w:rsidRDefault="00B453AA" w:rsidP="00617A00">
      <w:pPr>
        <w:spacing w:after="0" w:line="240" w:lineRule="auto"/>
        <w:jc w:val="center"/>
        <w:rPr>
          <w:rFonts w:ascii="Times New Roman" w:eastAsia="Times New Roman" w:hAnsi="Times New Roman" w:cs="Times New Roman"/>
          <w:b/>
          <w:bCs/>
          <w:sz w:val="24"/>
          <w:szCs w:val="24"/>
          <w:lang w:eastAsia="hr-HR"/>
        </w:rPr>
      </w:pPr>
    </w:p>
    <w:p w14:paraId="46ADA0EB" w14:textId="453B7242" w:rsidR="00ED5AA8" w:rsidRPr="000479E9" w:rsidRDefault="00ED5AA8" w:rsidP="00ED5AA8">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6</w:t>
      </w:r>
      <w:r w:rsidR="009344D6" w:rsidRPr="000479E9">
        <w:rPr>
          <w:rFonts w:ascii="Times New Roman" w:eastAsia="Times New Roman" w:hAnsi="Times New Roman" w:cs="Times New Roman"/>
          <w:b/>
          <w:bCs/>
          <w:sz w:val="24"/>
          <w:szCs w:val="24"/>
          <w:lang w:eastAsia="hr-HR"/>
        </w:rPr>
        <w:t>3</w:t>
      </w:r>
      <w:r w:rsidRPr="000479E9">
        <w:rPr>
          <w:rFonts w:ascii="Times New Roman" w:eastAsia="Times New Roman" w:hAnsi="Times New Roman" w:cs="Times New Roman"/>
          <w:b/>
          <w:bCs/>
          <w:sz w:val="24"/>
          <w:szCs w:val="24"/>
          <w:lang w:eastAsia="hr-HR"/>
        </w:rPr>
        <w:t>.</w:t>
      </w:r>
    </w:p>
    <w:p w14:paraId="4888975D" w14:textId="3B23A5AC" w:rsidR="00ED5AA8" w:rsidRPr="000479E9" w:rsidRDefault="00ED5AA8" w:rsidP="00ED5AA8">
      <w:pPr>
        <w:spacing w:after="0" w:line="240" w:lineRule="auto"/>
        <w:rPr>
          <w:rFonts w:ascii="Times New Roman" w:eastAsia="Times New Roman" w:hAnsi="Times New Roman" w:cs="Times New Roman"/>
          <w:b/>
          <w:bCs/>
          <w:sz w:val="24"/>
          <w:szCs w:val="24"/>
          <w:lang w:eastAsia="hr-HR"/>
        </w:rPr>
      </w:pPr>
    </w:p>
    <w:p w14:paraId="61979DFC" w14:textId="6AB97B09" w:rsidR="00ED5AA8" w:rsidRPr="000479E9" w:rsidRDefault="007846E4" w:rsidP="00ED5AA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i č</w:t>
      </w:r>
      <w:r w:rsidR="00ED5AA8" w:rsidRPr="000479E9">
        <w:rPr>
          <w:rFonts w:ascii="Times New Roman" w:eastAsia="Times New Roman" w:hAnsi="Times New Roman" w:cs="Times New Roman"/>
          <w:sz w:val="24"/>
          <w:szCs w:val="24"/>
          <w:lang w:eastAsia="hr-HR"/>
        </w:rPr>
        <w:t>lanak 470. briš</w:t>
      </w:r>
      <w:r w:rsidRPr="000479E9">
        <w:rPr>
          <w:rFonts w:ascii="Times New Roman" w:eastAsia="Times New Roman" w:hAnsi="Times New Roman" w:cs="Times New Roman"/>
          <w:sz w:val="24"/>
          <w:szCs w:val="24"/>
          <w:lang w:eastAsia="hr-HR"/>
        </w:rPr>
        <w:t>u</w:t>
      </w:r>
      <w:r w:rsidR="00ED5AA8" w:rsidRPr="000479E9">
        <w:rPr>
          <w:rFonts w:ascii="Times New Roman" w:eastAsia="Times New Roman" w:hAnsi="Times New Roman" w:cs="Times New Roman"/>
          <w:sz w:val="24"/>
          <w:szCs w:val="24"/>
          <w:lang w:eastAsia="hr-HR"/>
        </w:rPr>
        <w:t xml:space="preserve"> se.</w:t>
      </w:r>
    </w:p>
    <w:p w14:paraId="35B8BF92" w14:textId="0B9A11BE" w:rsidR="00ED5AA8" w:rsidRPr="000479E9" w:rsidRDefault="00ED5AA8" w:rsidP="00ED5AA8">
      <w:pPr>
        <w:spacing w:after="0" w:line="240" w:lineRule="auto"/>
        <w:rPr>
          <w:rFonts w:ascii="Times New Roman" w:eastAsia="Times New Roman" w:hAnsi="Times New Roman" w:cs="Times New Roman"/>
          <w:sz w:val="24"/>
          <w:szCs w:val="24"/>
          <w:lang w:eastAsia="hr-HR"/>
        </w:rPr>
      </w:pPr>
    </w:p>
    <w:p w14:paraId="30A7675D" w14:textId="149B35FB" w:rsidR="00ED5AA8" w:rsidRPr="000479E9" w:rsidRDefault="00ED5AA8" w:rsidP="00ED5AA8">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071C5C" w:rsidRPr="000479E9">
        <w:rPr>
          <w:rFonts w:ascii="Times New Roman" w:eastAsia="Times New Roman" w:hAnsi="Times New Roman" w:cs="Times New Roman"/>
          <w:b/>
          <w:sz w:val="24"/>
          <w:szCs w:val="24"/>
          <w:lang w:eastAsia="hr-HR"/>
        </w:rPr>
        <w:t>6</w:t>
      </w:r>
      <w:r w:rsidR="009344D6"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0AF32FE7" w14:textId="028AD1A5" w:rsidR="00ED5AA8" w:rsidRPr="000479E9" w:rsidRDefault="00ED5AA8" w:rsidP="00ED5AA8">
      <w:pPr>
        <w:spacing w:after="0" w:line="240" w:lineRule="auto"/>
        <w:rPr>
          <w:rFonts w:ascii="Times New Roman" w:eastAsia="Times New Roman" w:hAnsi="Times New Roman" w:cs="Times New Roman"/>
          <w:b/>
          <w:bCs/>
          <w:sz w:val="24"/>
          <w:szCs w:val="24"/>
          <w:lang w:eastAsia="hr-HR"/>
        </w:rPr>
      </w:pPr>
    </w:p>
    <w:p w14:paraId="229956BF" w14:textId="3D4F9907" w:rsidR="00ED5AA8" w:rsidRPr="000479E9" w:rsidRDefault="00ED5AA8" w:rsidP="00ED5AA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474. </w:t>
      </w:r>
      <w:r w:rsidR="00A65A87" w:rsidRPr="000479E9">
        <w:rPr>
          <w:rFonts w:ascii="Times New Roman" w:eastAsia="Times New Roman" w:hAnsi="Times New Roman" w:cs="Times New Roman"/>
          <w:sz w:val="24"/>
          <w:szCs w:val="24"/>
          <w:lang w:eastAsia="hr-HR"/>
        </w:rPr>
        <w:t>stavak 1. mijenja se i glasi:</w:t>
      </w:r>
    </w:p>
    <w:p w14:paraId="31AE7158" w14:textId="2ECE3958" w:rsidR="00A65A87" w:rsidRPr="000479E9" w:rsidRDefault="00A65A87" w:rsidP="00ED5AA8">
      <w:pPr>
        <w:spacing w:after="0" w:line="240" w:lineRule="auto"/>
        <w:rPr>
          <w:rFonts w:ascii="Times New Roman" w:eastAsia="Times New Roman" w:hAnsi="Times New Roman" w:cs="Times New Roman"/>
          <w:sz w:val="24"/>
          <w:szCs w:val="24"/>
          <w:lang w:eastAsia="hr-HR"/>
        </w:rPr>
      </w:pPr>
    </w:p>
    <w:p w14:paraId="387ABC43" w14:textId="43F74A4F" w:rsidR="00A65A87" w:rsidRPr="000479E9" w:rsidRDefault="00A65A87" w:rsidP="00A65A8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Izdavatelj dionica koji stjecanjem ili otpuštanjem vlastitih dionica, bilo neposredno bilo putem osobe koja djeluje u svoje ime, a za račun izdavatelja, dosegne, prijeđe ili padne ispod </w:t>
      </w:r>
      <w:r w:rsidR="00ED5648" w:rsidRPr="000479E9">
        <w:rPr>
          <w:rFonts w:ascii="Times New Roman" w:eastAsia="Times New Roman" w:hAnsi="Times New Roman" w:cs="Times New Roman"/>
          <w:sz w:val="24"/>
          <w:szCs w:val="24"/>
          <w:lang w:eastAsia="hr-HR"/>
        </w:rPr>
        <w:t xml:space="preserve">bilo kojeg od pragova </w:t>
      </w:r>
      <w:r w:rsidRPr="000479E9">
        <w:rPr>
          <w:rFonts w:ascii="Times New Roman" w:eastAsia="Times New Roman" w:hAnsi="Times New Roman" w:cs="Times New Roman"/>
          <w:sz w:val="24"/>
          <w:szCs w:val="24"/>
          <w:lang w:eastAsia="hr-HR"/>
        </w:rPr>
        <w:t xml:space="preserve">od 5% </w:t>
      </w:r>
      <w:r w:rsidR="00ED5648" w:rsidRPr="000479E9">
        <w:rPr>
          <w:rFonts w:ascii="Times New Roman" w:eastAsia="Times New Roman" w:hAnsi="Times New Roman" w:cs="Times New Roman"/>
          <w:sz w:val="24"/>
          <w:szCs w:val="24"/>
          <w:lang w:eastAsia="hr-HR"/>
        </w:rPr>
        <w:t xml:space="preserve">odnosno </w:t>
      </w:r>
      <w:r w:rsidRPr="000479E9">
        <w:rPr>
          <w:rFonts w:ascii="Times New Roman" w:eastAsia="Times New Roman" w:hAnsi="Times New Roman" w:cs="Times New Roman"/>
          <w:sz w:val="24"/>
          <w:szCs w:val="24"/>
          <w:lang w:eastAsia="hr-HR"/>
        </w:rPr>
        <w:t>10%</w:t>
      </w:r>
      <w:r w:rsidR="00ED5648"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obvezan je što je prije moguće, a najkasnije u roku od četiri trgovinska dana od dana stjecanja ili otpuštanja vlastitih dionica, objaviti javnosti broj vlastitih dionica u apsolutnom i relativnom iznosu koje drži nakon takvog stjecanja ili otpuštanja vlastitih dionica.“</w:t>
      </w:r>
      <w:r w:rsidR="004C493F" w:rsidRPr="000479E9">
        <w:rPr>
          <w:rFonts w:ascii="Times New Roman" w:eastAsia="Times New Roman" w:hAnsi="Times New Roman" w:cs="Times New Roman"/>
          <w:sz w:val="24"/>
          <w:szCs w:val="24"/>
          <w:lang w:eastAsia="hr-HR"/>
        </w:rPr>
        <w:t>.</w:t>
      </w:r>
    </w:p>
    <w:p w14:paraId="2E2C9C48" w14:textId="007440A4" w:rsidR="00A65A87" w:rsidRPr="000479E9" w:rsidRDefault="00A65A87" w:rsidP="00A65A87">
      <w:pPr>
        <w:spacing w:after="0" w:line="240" w:lineRule="auto"/>
        <w:jc w:val="both"/>
        <w:rPr>
          <w:rFonts w:ascii="Times New Roman" w:eastAsia="Times New Roman" w:hAnsi="Times New Roman" w:cs="Times New Roman"/>
          <w:sz w:val="24"/>
          <w:szCs w:val="24"/>
          <w:lang w:eastAsia="hr-HR"/>
        </w:rPr>
      </w:pPr>
    </w:p>
    <w:p w14:paraId="06E075D3" w14:textId="00EA8102" w:rsidR="00A65A87" w:rsidRPr="000479E9" w:rsidRDefault="00A65A87" w:rsidP="00A65A87">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6</w:t>
      </w:r>
      <w:r w:rsidR="009013F7" w:rsidRPr="000479E9">
        <w:rPr>
          <w:rFonts w:ascii="Times New Roman" w:eastAsia="Times New Roman" w:hAnsi="Times New Roman" w:cs="Times New Roman"/>
          <w:b/>
          <w:bCs/>
          <w:sz w:val="24"/>
          <w:szCs w:val="24"/>
          <w:lang w:eastAsia="hr-HR"/>
        </w:rPr>
        <w:t>5</w:t>
      </w:r>
      <w:r w:rsidRPr="000479E9">
        <w:rPr>
          <w:rFonts w:ascii="Times New Roman" w:eastAsia="Times New Roman" w:hAnsi="Times New Roman" w:cs="Times New Roman"/>
          <w:b/>
          <w:bCs/>
          <w:sz w:val="24"/>
          <w:szCs w:val="24"/>
          <w:lang w:eastAsia="hr-HR"/>
        </w:rPr>
        <w:t xml:space="preserve">. </w:t>
      </w:r>
    </w:p>
    <w:p w14:paraId="682D5978" w14:textId="77777777" w:rsidR="00A65A87" w:rsidRPr="000479E9" w:rsidRDefault="00A65A87" w:rsidP="00ED5AA8">
      <w:pPr>
        <w:spacing w:after="0" w:line="240" w:lineRule="auto"/>
        <w:rPr>
          <w:rFonts w:ascii="Times New Roman" w:eastAsia="Times New Roman" w:hAnsi="Times New Roman" w:cs="Times New Roman"/>
          <w:sz w:val="24"/>
          <w:szCs w:val="24"/>
          <w:lang w:eastAsia="hr-HR"/>
        </w:rPr>
      </w:pPr>
    </w:p>
    <w:p w14:paraId="224FAA91" w14:textId="550D5650" w:rsidR="00AD1523" w:rsidRPr="000479E9" w:rsidRDefault="00A65A87" w:rsidP="00685A4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480. riječi</w:t>
      </w:r>
      <w:r w:rsidR="00AA51E6"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„Izdavatelj</w:t>
      </w:r>
      <w:r w:rsidR="00DD0BA8" w:rsidRPr="00DD0BA8">
        <w:rPr>
          <w:rFonts w:ascii="Times New Roman" w:eastAsia="Times New Roman" w:hAnsi="Times New Roman" w:cs="Times New Roman"/>
          <w:sz w:val="24"/>
          <w:szCs w:val="24"/>
          <w:lang w:eastAsia="hr-HR"/>
        </w:rPr>
        <w:t>, članovi upravnih,</w:t>
      </w:r>
      <w:r w:rsidRPr="000479E9">
        <w:rPr>
          <w:rFonts w:ascii="Times New Roman" w:eastAsia="Times New Roman" w:hAnsi="Times New Roman" w:cs="Times New Roman"/>
          <w:sz w:val="24"/>
          <w:szCs w:val="24"/>
          <w:lang w:eastAsia="hr-HR"/>
        </w:rPr>
        <w:t xml:space="preserve">“ </w:t>
      </w:r>
      <w:r w:rsidR="00DD0BA8">
        <w:rPr>
          <w:rFonts w:ascii="Times New Roman" w:eastAsia="Times New Roman" w:hAnsi="Times New Roman" w:cs="Times New Roman"/>
          <w:sz w:val="24"/>
          <w:szCs w:val="24"/>
          <w:lang w:eastAsia="hr-HR"/>
        </w:rPr>
        <w:t>zamjenjuju se</w:t>
      </w:r>
      <w:r w:rsidR="00AD1523" w:rsidRPr="000479E9">
        <w:rPr>
          <w:rFonts w:ascii="Times New Roman" w:eastAsia="Times New Roman" w:hAnsi="Times New Roman" w:cs="Times New Roman"/>
          <w:sz w:val="24"/>
          <w:szCs w:val="24"/>
          <w:lang w:eastAsia="hr-HR"/>
        </w:rPr>
        <w:t xml:space="preserve"> riječ</w:t>
      </w:r>
      <w:r w:rsidR="00DD0BA8">
        <w:rPr>
          <w:rFonts w:ascii="Times New Roman" w:eastAsia="Times New Roman" w:hAnsi="Times New Roman" w:cs="Times New Roman"/>
          <w:sz w:val="24"/>
          <w:szCs w:val="24"/>
          <w:lang w:eastAsia="hr-HR"/>
        </w:rPr>
        <w:t>ima</w:t>
      </w:r>
      <w:r w:rsidR="007F36E3" w:rsidRPr="000479E9">
        <w:rPr>
          <w:rFonts w:ascii="Times New Roman" w:eastAsia="Times New Roman" w:hAnsi="Times New Roman" w:cs="Times New Roman"/>
          <w:sz w:val="24"/>
          <w:szCs w:val="24"/>
          <w:lang w:eastAsia="hr-HR"/>
        </w:rPr>
        <w:t>:</w:t>
      </w:r>
      <w:r w:rsidR="00AD1523" w:rsidRPr="000479E9">
        <w:rPr>
          <w:rFonts w:ascii="Times New Roman" w:eastAsia="Times New Roman" w:hAnsi="Times New Roman" w:cs="Times New Roman"/>
          <w:sz w:val="24"/>
          <w:szCs w:val="24"/>
          <w:lang w:eastAsia="hr-HR"/>
        </w:rPr>
        <w:t xml:space="preserve"> „</w:t>
      </w:r>
      <w:r w:rsidR="00685A4A" w:rsidRPr="00685A4A">
        <w:rPr>
          <w:rFonts w:ascii="Times New Roman" w:eastAsia="Times New Roman" w:hAnsi="Times New Roman" w:cs="Times New Roman"/>
          <w:sz w:val="24"/>
          <w:szCs w:val="24"/>
          <w:lang w:eastAsia="hr-HR"/>
        </w:rPr>
        <w:t>Izdavatelj te članovi</w:t>
      </w:r>
      <w:r w:rsidR="00685A4A">
        <w:rPr>
          <w:rFonts w:ascii="Times New Roman" w:eastAsia="Times New Roman" w:hAnsi="Times New Roman" w:cs="Times New Roman"/>
          <w:sz w:val="24"/>
          <w:szCs w:val="24"/>
          <w:lang w:eastAsia="hr-HR"/>
        </w:rPr>
        <w:t>“.</w:t>
      </w:r>
      <w:r w:rsidR="00685A4A" w:rsidRPr="00685A4A">
        <w:rPr>
          <w:rFonts w:ascii="Times New Roman" w:eastAsia="Times New Roman" w:hAnsi="Times New Roman" w:cs="Times New Roman"/>
          <w:sz w:val="24"/>
          <w:szCs w:val="24"/>
          <w:lang w:eastAsia="hr-HR"/>
        </w:rPr>
        <w:t xml:space="preserve"> </w:t>
      </w:r>
    </w:p>
    <w:p w14:paraId="42D0E874" w14:textId="3F63E811" w:rsidR="00AD1523" w:rsidRPr="000479E9" w:rsidRDefault="00AD1523" w:rsidP="00AD1523">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66347F" w:rsidRPr="000479E9">
        <w:rPr>
          <w:rFonts w:ascii="Times New Roman" w:eastAsia="Times New Roman" w:hAnsi="Times New Roman" w:cs="Times New Roman"/>
          <w:b/>
          <w:sz w:val="24"/>
          <w:szCs w:val="24"/>
          <w:lang w:eastAsia="hr-HR"/>
        </w:rPr>
        <w:t>6</w:t>
      </w:r>
      <w:r w:rsidR="009013F7"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w:t>
      </w:r>
    </w:p>
    <w:p w14:paraId="2AB7B12D" w14:textId="695A2882" w:rsidR="00AD1523" w:rsidRPr="000479E9" w:rsidRDefault="00AD1523" w:rsidP="00AD1523">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 </w:t>
      </w:r>
    </w:p>
    <w:p w14:paraId="38CBEA46" w14:textId="7626F6EB" w:rsidR="00A65A87" w:rsidRPr="000479E9" w:rsidRDefault="00AD1523" w:rsidP="00ED5AA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496. iza stavka 8. dodaje se stavak 9. koji glasi:</w:t>
      </w:r>
    </w:p>
    <w:p w14:paraId="09E734FC" w14:textId="05E870C1" w:rsidR="00AD1523" w:rsidRPr="000479E9" w:rsidRDefault="00AD1523" w:rsidP="00ED5AA8">
      <w:pPr>
        <w:spacing w:after="0" w:line="240" w:lineRule="auto"/>
        <w:rPr>
          <w:rFonts w:ascii="Times New Roman" w:eastAsia="Times New Roman" w:hAnsi="Times New Roman" w:cs="Times New Roman"/>
          <w:sz w:val="24"/>
          <w:szCs w:val="24"/>
          <w:lang w:eastAsia="hr-HR"/>
        </w:rPr>
      </w:pPr>
    </w:p>
    <w:p w14:paraId="413A6159" w14:textId="77A54309" w:rsidR="00AD1523" w:rsidRPr="000479E9" w:rsidRDefault="00AD1523" w:rsidP="00AD152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Izdavatelj je obvezan osigurati da su kod izdavatelja u izvorniku dostupne sve propisane informacije koje je objavio javnosti.</w:t>
      </w:r>
    </w:p>
    <w:p w14:paraId="1A09A250" w14:textId="7EA49C38" w:rsidR="00AD1523" w:rsidRPr="000479E9" w:rsidRDefault="00AD1523" w:rsidP="00AD1523">
      <w:pPr>
        <w:spacing w:after="0" w:line="240" w:lineRule="auto"/>
        <w:jc w:val="both"/>
        <w:rPr>
          <w:rFonts w:ascii="Times New Roman" w:eastAsia="Times New Roman" w:hAnsi="Times New Roman" w:cs="Times New Roman"/>
          <w:sz w:val="24"/>
          <w:szCs w:val="24"/>
          <w:lang w:eastAsia="hr-HR"/>
        </w:rPr>
      </w:pPr>
    </w:p>
    <w:p w14:paraId="0C0A034A" w14:textId="772CD392" w:rsidR="00AD1523" w:rsidRPr="000479E9" w:rsidRDefault="00AD1523" w:rsidP="00AD1523">
      <w:pPr>
        <w:spacing w:after="0" w:line="240" w:lineRule="auto"/>
        <w:jc w:val="both"/>
        <w:rPr>
          <w:rFonts w:ascii="Times New Roman" w:eastAsia="Times New Roman" w:hAnsi="Times New Roman" w:cs="Times New Roman"/>
          <w:sz w:val="24"/>
          <w:szCs w:val="24"/>
          <w:lang w:eastAsia="hr-HR"/>
        </w:rPr>
      </w:pPr>
    </w:p>
    <w:p w14:paraId="0DBD6FE5" w14:textId="76CAB2CF" w:rsidR="00AD1523" w:rsidRPr="000479E9" w:rsidRDefault="00AD1523" w:rsidP="00AD1523">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6</w:t>
      </w:r>
      <w:r w:rsidR="0042180F" w:rsidRPr="000479E9">
        <w:rPr>
          <w:rFonts w:ascii="Times New Roman" w:eastAsia="Times New Roman" w:hAnsi="Times New Roman" w:cs="Times New Roman"/>
          <w:b/>
          <w:bCs/>
          <w:sz w:val="24"/>
          <w:szCs w:val="24"/>
          <w:lang w:eastAsia="hr-HR"/>
        </w:rPr>
        <w:t>7</w:t>
      </w:r>
      <w:r w:rsidRPr="000479E9">
        <w:rPr>
          <w:rFonts w:ascii="Times New Roman" w:eastAsia="Times New Roman" w:hAnsi="Times New Roman" w:cs="Times New Roman"/>
          <w:b/>
          <w:bCs/>
          <w:sz w:val="24"/>
          <w:szCs w:val="24"/>
          <w:lang w:eastAsia="hr-HR"/>
        </w:rPr>
        <w:t xml:space="preserve">. </w:t>
      </w:r>
    </w:p>
    <w:p w14:paraId="0EDBAA87" w14:textId="034B2AD9" w:rsidR="00AD1523" w:rsidRPr="000479E9" w:rsidRDefault="00AD1523" w:rsidP="00ED5AA8">
      <w:pPr>
        <w:spacing w:after="0" w:line="240" w:lineRule="auto"/>
        <w:rPr>
          <w:rFonts w:ascii="Times New Roman" w:eastAsia="Times New Roman" w:hAnsi="Times New Roman" w:cs="Times New Roman"/>
          <w:b/>
          <w:bCs/>
          <w:sz w:val="24"/>
          <w:szCs w:val="24"/>
          <w:lang w:eastAsia="hr-HR"/>
        </w:rPr>
      </w:pPr>
    </w:p>
    <w:p w14:paraId="75B77ECD" w14:textId="49DC6DF8" w:rsidR="00AD1523" w:rsidRPr="000479E9" w:rsidRDefault="00AD1523" w:rsidP="00ED5AA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499. mijenja se i glasi:</w:t>
      </w:r>
    </w:p>
    <w:p w14:paraId="28739A76" w14:textId="75F972C3" w:rsidR="00AD1523" w:rsidRPr="000479E9" w:rsidRDefault="00AD1523" w:rsidP="00ED5AA8">
      <w:pPr>
        <w:spacing w:after="0" w:line="240" w:lineRule="auto"/>
        <w:rPr>
          <w:rFonts w:ascii="Times New Roman" w:eastAsia="Times New Roman" w:hAnsi="Times New Roman" w:cs="Times New Roman"/>
          <w:sz w:val="24"/>
          <w:szCs w:val="24"/>
          <w:lang w:eastAsia="hr-HR"/>
        </w:rPr>
      </w:pPr>
    </w:p>
    <w:p w14:paraId="7DB49121" w14:textId="13AB9B1E" w:rsidR="00AD1523" w:rsidRPr="000479E9" w:rsidRDefault="00AD1523" w:rsidP="00ED5AA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„Službeni registar propisanih informacija u Republici Hrvatskoj vodi Agencija</w:t>
      </w:r>
      <w:r w:rsidR="0F38EA86"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w:t>
      </w:r>
      <w:r w:rsidR="00581C68" w:rsidRPr="000479E9">
        <w:rPr>
          <w:rFonts w:ascii="Times New Roman" w:eastAsia="Times New Roman" w:hAnsi="Times New Roman" w:cs="Times New Roman"/>
          <w:sz w:val="24"/>
          <w:szCs w:val="24"/>
          <w:lang w:eastAsia="hr-HR"/>
        </w:rPr>
        <w:t>.</w:t>
      </w:r>
    </w:p>
    <w:p w14:paraId="5A95E6D5" w14:textId="77777777" w:rsidR="00AD1523" w:rsidRPr="000479E9" w:rsidRDefault="00AD1523" w:rsidP="00ED5AA8">
      <w:pPr>
        <w:spacing w:after="0" w:line="240" w:lineRule="auto"/>
        <w:rPr>
          <w:rFonts w:ascii="Times New Roman" w:eastAsia="Times New Roman" w:hAnsi="Times New Roman" w:cs="Times New Roman"/>
          <w:sz w:val="24"/>
          <w:szCs w:val="24"/>
          <w:lang w:eastAsia="hr-HR"/>
        </w:rPr>
      </w:pPr>
    </w:p>
    <w:p w14:paraId="260CD784" w14:textId="77777777" w:rsidR="00AD1523" w:rsidRPr="000479E9" w:rsidRDefault="00AD1523" w:rsidP="00ED5AA8">
      <w:pPr>
        <w:spacing w:after="0" w:line="240" w:lineRule="auto"/>
        <w:rPr>
          <w:rFonts w:ascii="Times New Roman" w:eastAsia="Times New Roman" w:hAnsi="Times New Roman" w:cs="Times New Roman"/>
          <w:b/>
          <w:bCs/>
          <w:sz w:val="24"/>
          <w:szCs w:val="24"/>
          <w:lang w:eastAsia="hr-HR"/>
        </w:rPr>
      </w:pPr>
    </w:p>
    <w:p w14:paraId="08748AB6" w14:textId="593AA450"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6</w:t>
      </w:r>
      <w:r w:rsidR="0042180F" w:rsidRPr="000479E9">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 xml:space="preserve">. </w:t>
      </w:r>
    </w:p>
    <w:p w14:paraId="4EBBFA95" w14:textId="1C891267"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p>
    <w:p w14:paraId="5193BEF3" w14:textId="654D65AC" w:rsidR="00AD1523" w:rsidRPr="000479E9" w:rsidRDefault="00AD1523" w:rsidP="00AD152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512. iza stavka 2. dodaje se stavak 3. koji glasi:</w:t>
      </w:r>
    </w:p>
    <w:p w14:paraId="318E9A29" w14:textId="46BCF5E7" w:rsidR="00AD1523" w:rsidRPr="000479E9" w:rsidRDefault="00AD1523" w:rsidP="00AD1523">
      <w:pPr>
        <w:spacing w:after="0" w:line="240" w:lineRule="auto"/>
        <w:jc w:val="both"/>
        <w:rPr>
          <w:rFonts w:ascii="Times New Roman" w:eastAsia="Times New Roman" w:hAnsi="Times New Roman" w:cs="Times New Roman"/>
          <w:sz w:val="24"/>
          <w:szCs w:val="24"/>
          <w:lang w:eastAsia="hr-HR"/>
        </w:rPr>
      </w:pPr>
    </w:p>
    <w:p w14:paraId="5A32850B" w14:textId="1AA5EA84" w:rsidR="00AD1523" w:rsidRPr="000479E9" w:rsidRDefault="00AD1523" w:rsidP="00AD152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„(3) Agencija pravilnikom propis</w:t>
      </w:r>
      <w:r w:rsidR="004A52D8" w:rsidRPr="000479E9">
        <w:rPr>
          <w:rFonts w:ascii="Times New Roman" w:eastAsia="Times New Roman" w:hAnsi="Times New Roman" w:cs="Times New Roman"/>
          <w:sz w:val="24"/>
          <w:szCs w:val="24"/>
          <w:lang w:eastAsia="hr-HR"/>
        </w:rPr>
        <w:t>uje</w:t>
      </w:r>
      <w:r w:rsidRPr="000479E9">
        <w:rPr>
          <w:rFonts w:ascii="Times New Roman" w:eastAsia="Times New Roman" w:hAnsi="Times New Roman" w:cs="Times New Roman"/>
          <w:sz w:val="24"/>
          <w:szCs w:val="24"/>
          <w:lang w:eastAsia="hr-HR"/>
        </w:rPr>
        <w:t xml:space="preserve"> oblik, način i rokove dostave popisa upućenih osoba i popisa osoba koje obavljaju rukovoditeljske dužnosti u izdavatelju i s njima usko povezanih osoba.“</w:t>
      </w:r>
      <w:r w:rsidR="00833C10" w:rsidRPr="000479E9">
        <w:rPr>
          <w:rFonts w:ascii="Times New Roman" w:eastAsia="Times New Roman" w:hAnsi="Times New Roman" w:cs="Times New Roman"/>
          <w:sz w:val="24"/>
          <w:szCs w:val="24"/>
          <w:lang w:eastAsia="hr-HR"/>
        </w:rPr>
        <w:t>.</w:t>
      </w:r>
    </w:p>
    <w:p w14:paraId="4F9DAA53" w14:textId="77777777"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p>
    <w:p w14:paraId="0C297A93" w14:textId="77777777"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p>
    <w:p w14:paraId="2540AE28" w14:textId="39BE674E"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66347F" w:rsidRPr="000479E9">
        <w:rPr>
          <w:rFonts w:ascii="Times New Roman" w:eastAsia="Times New Roman" w:hAnsi="Times New Roman" w:cs="Times New Roman"/>
          <w:b/>
          <w:bCs/>
          <w:sz w:val="24"/>
          <w:szCs w:val="24"/>
          <w:lang w:eastAsia="hr-HR"/>
        </w:rPr>
        <w:t>6</w:t>
      </w:r>
      <w:r w:rsidR="0042180F" w:rsidRPr="000479E9">
        <w:rPr>
          <w:rFonts w:ascii="Times New Roman" w:eastAsia="Times New Roman" w:hAnsi="Times New Roman" w:cs="Times New Roman"/>
          <w:b/>
          <w:bCs/>
          <w:sz w:val="24"/>
          <w:szCs w:val="24"/>
          <w:lang w:eastAsia="hr-HR"/>
        </w:rPr>
        <w:t>9</w:t>
      </w:r>
      <w:r w:rsidRPr="000479E9">
        <w:rPr>
          <w:rFonts w:ascii="Times New Roman" w:eastAsia="Times New Roman" w:hAnsi="Times New Roman" w:cs="Times New Roman"/>
          <w:b/>
          <w:bCs/>
          <w:sz w:val="24"/>
          <w:szCs w:val="24"/>
          <w:lang w:eastAsia="hr-HR"/>
        </w:rPr>
        <w:t>.</w:t>
      </w:r>
    </w:p>
    <w:p w14:paraId="3D660BE6"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0EE3487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518. stavku 1. točke 4. i 5. mijenjaju se i glase:</w:t>
      </w:r>
    </w:p>
    <w:p w14:paraId="405F5212"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3DC64C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privremeno zabraniti obnašanje rukovoditeljske funkcije u investicijskom društvu administratorima referentnih vrijednosti ili nadziranim doprinositeljima ili osobi koja obavlja rukovoditeljske dužnosti u investicijskom društvu ili drugoj fizičkoj osobi koja se smatra odgovornom za kršenje</w:t>
      </w:r>
    </w:p>
    <w:p w14:paraId="5912801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35C8670B"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u slučaju ponovljenog kršenja članaka 14. ili 15. Uredbe (EU) br. 596/2014, najmanje 10 godina zabraniti obnašanje rukovoditeljske funkcije u investicijskom društvu ili kod administratora referentnih vrijednosti ili nadziranih doprinositelja, administratorima referentnih vrijednosti ili nadziranim doprinositeljima ili osobi koja obavlja rukovoditeljske dužnosti u investicijskom društvu ili drugoj fizičkoj osobi koja se smatra odgovornom za kršenje“.</w:t>
      </w:r>
    </w:p>
    <w:p w14:paraId="6425DA6D"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B3961BD" w14:textId="0E42ED23"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točki 6. iza riječi: „investicijskom društvu“ </w:t>
      </w:r>
      <w:r w:rsidR="00894DCF" w:rsidRPr="000479E9">
        <w:rPr>
          <w:rFonts w:ascii="Times New Roman" w:eastAsia="Times New Roman" w:hAnsi="Times New Roman" w:cs="Times New Roman"/>
          <w:sz w:val="24"/>
          <w:szCs w:val="24"/>
          <w:lang w:eastAsia="hr-HR"/>
        </w:rPr>
        <w:t xml:space="preserve">dodaju </w:t>
      </w:r>
      <w:r w:rsidRPr="000479E9">
        <w:rPr>
          <w:rFonts w:ascii="Times New Roman" w:eastAsia="Times New Roman" w:hAnsi="Times New Roman" w:cs="Times New Roman"/>
          <w:sz w:val="24"/>
          <w:szCs w:val="24"/>
          <w:lang w:eastAsia="hr-HR"/>
        </w:rPr>
        <w:t>se zarez i riječi: „administratorima referentnih vrijednosti ili nadziranim doprinositeljima“.</w:t>
      </w:r>
    </w:p>
    <w:p w14:paraId="036756D9"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0E831C6D" w14:textId="77777777"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p>
    <w:p w14:paraId="57137CA5" w14:textId="59682C7E"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w:t>
      </w:r>
      <w:r w:rsidR="007E2A01" w:rsidRPr="000479E9">
        <w:rPr>
          <w:rFonts w:ascii="Times New Roman" w:eastAsia="Times New Roman" w:hAnsi="Times New Roman" w:cs="Times New Roman"/>
          <w:b/>
          <w:bCs/>
          <w:sz w:val="24"/>
          <w:szCs w:val="24"/>
          <w:lang w:eastAsia="hr-HR"/>
        </w:rPr>
        <w:t xml:space="preserve">lanak </w:t>
      </w:r>
      <w:r w:rsidR="0042180F" w:rsidRPr="000479E9">
        <w:rPr>
          <w:rFonts w:ascii="Times New Roman" w:eastAsia="Times New Roman" w:hAnsi="Times New Roman" w:cs="Times New Roman"/>
          <w:b/>
          <w:bCs/>
          <w:sz w:val="24"/>
          <w:szCs w:val="24"/>
          <w:lang w:eastAsia="hr-HR"/>
        </w:rPr>
        <w:t>70</w:t>
      </w:r>
      <w:r w:rsidR="007E2A01" w:rsidRPr="000479E9">
        <w:rPr>
          <w:rFonts w:ascii="Times New Roman" w:eastAsia="Times New Roman" w:hAnsi="Times New Roman" w:cs="Times New Roman"/>
          <w:b/>
          <w:bCs/>
          <w:sz w:val="24"/>
          <w:szCs w:val="24"/>
          <w:lang w:eastAsia="hr-HR"/>
        </w:rPr>
        <w:t>.</w:t>
      </w:r>
    </w:p>
    <w:p w14:paraId="5172C235" w14:textId="77777777"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p>
    <w:p w14:paraId="4A2BD18F" w14:textId="7BB51619" w:rsidR="00715B4E" w:rsidRPr="000479E9" w:rsidRDefault="007E2A01" w:rsidP="007E2A01">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523. </w:t>
      </w:r>
      <w:r w:rsidR="00715B4E" w:rsidRPr="000479E9">
        <w:rPr>
          <w:rFonts w:ascii="Times New Roman" w:eastAsia="Times New Roman" w:hAnsi="Times New Roman" w:cs="Times New Roman"/>
          <w:sz w:val="24"/>
          <w:szCs w:val="24"/>
          <w:lang w:eastAsia="hr-HR"/>
        </w:rPr>
        <w:t>ispred riječi</w:t>
      </w:r>
      <w:r w:rsidR="004C493F" w:rsidRPr="000479E9">
        <w:rPr>
          <w:rFonts w:ascii="Times New Roman" w:eastAsia="Times New Roman" w:hAnsi="Times New Roman" w:cs="Times New Roman"/>
          <w:sz w:val="24"/>
          <w:szCs w:val="24"/>
          <w:lang w:eastAsia="hr-HR"/>
        </w:rPr>
        <w:t>:</w:t>
      </w:r>
      <w:r w:rsidR="00715B4E" w:rsidRPr="000479E9">
        <w:rPr>
          <w:rFonts w:ascii="Times New Roman" w:eastAsia="Times New Roman" w:hAnsi="Times New Roman" w:cs="Times New Roman"/>
          <w:sz w:val="24"/>
          <w:szCs w:val="24"/>
          <w:lang w:eastAsia="hr-HR"/>
        </w:rPr>
        <w:t xml:space="preserve"> „</w:t>
      </w:r>
      <w:r w:rsidR="00685A4A">
        <w:rPr>
          <w:rFonts w:ascii="Times New Roman" w:eastAsia="Times New Roman" w:hAnsi="Times New Roman" w:cs="Times New Roman"/>
          <w:sz w:val="24"/>
          <w:szCs w:val="24"/>
          <w:lang w:eastAsia="hr-HR"/>
        </w:rPr>
        <w:t>P</w:t>
      </w:r>
      <w:r w:rsidR="00715B4E" w:rsidRPr="000479E9">
        <w:rPr>
          <w:rFonts w:ascii="Times New Roman" w:eastAsia="Times New Roman" w:hAnsi="Times New Roman" w:cs="Times New Roman"/>
          <w:sz w:val="24"/>
          <w:szCs w:val="24"/>
          <w:lang w:eastAsia="hr-HR"/>
        </w:rPr>
        <w:t>ojedini“ dodaje se oznaka</w:t>
      </w:r>
      <w:r w:rsidR="00961AF9" w:rsidRPr="000479E9">
        <w:rPr>
          <w:rFonts w:ascii="Times New Roman" w:eastAsia="Times New Roman" w:hAnsi="Times New Roman" w:cs="Times New Roman"/>
          <w:sz w:val="24"/>
          <w:szCs w:val="24"/>
          <w:lang w:eastAsia="hr-HR"/>
        </w:rPr>
        <w:t xml:space="preserve"> stavka</w:t>
      </w:r>
      <w:r w:rsidR="00715B4E" w:rsidRPr="000479E9">
        <w:rPr>
          <w:rFonts w:ascii="Times New Roman" w:eastAsia="Times New Roman" w:hAnsi="Times New Roman" w:cs="Times New Roman"/>
          <w:sz w:val="24"/>
          <w:szCs w:val="24"/>
          <w:lang w:eastAsia="hr-HR"/>
        </w:rPr>
        <w:t>: „(1)</w:t>
      </w:r>
      <w:r w:rsidR="00B126D1">
        <w:rPr>
          <w:rFonts w:ascii="Times New Roman" w:eastAsia="Times New Roman" w:hAnsi="Times New Roman" w:cs="Times New Roman"/>
          <w:sz w:val="24"/>
          <w:szCs w:val="24"/>
          <w:lang w:eastAsia="hr-HR"/>
        </w:rPr>
        <w:t>“</w:t>
      </w:r>
      <w:r w:rsidR="00715B4E" w:rsidRPr="000479E9">
        <w:rPr>
          <w:rFonts w:ascii="Times New Roman" w:eastAsia="Times New Roman" w:hAnsi="Times New Roman" w:cs="Times New Roman"/>
          <w:sz w:val="24"/>
          <w:szCs w:val="24"/>
          <w:lang w:eastAsia="hr-HR"/>
        </w:rPr>
        <w:t>.</w:t>
      </w:r>
    </w:p>
    <w:p w14:paraId="2367F07D" w14:textId="77777777" w:rsidR="00715B4E" w:rsidRPr="000479E9" w:rsidRDefault="00715B4E" w:rsidP="007E2A01">
      <w:pPr>
        <w:spacing w:after="0" w:line="240" w:lineRule="auto"/>
        <w:rPr>
          <w:rFonts w:ascii="Times New Roman" w:eastAsia="Times New Roman" w:hAnsi="Times New Roman" w:cs="Times New Roman"/>
          <w:sz w:val="24"/>
          <w:szCs w:val="24"/>
          <w:lang w:eastAsia="hr-HR"/>
        </w:rPr>
      </w:pPr>
    </w:p>
    <w:p w14:paraId="70A48BF1" w14:textId="71B2DF8F" w:rsidR="00AD1523" w:rsidRPr="000479E9" w:rsidRDefault="004C493F" w:rsidP="007E2A01">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stavka 1. d</w:t>
      </w:r>
      <w:r w:rsidR="007E2A01" w:rsidRPr="000479E9">
        <w:rPr>
          <w:rFonts w:ascii="Times New Roman" w:eastAsia="Times New Roman" w:hAnsi="Times New Roman" w:cs="Times New Roman"/>
          <w:sz w:val="24"/>
          <w:szCs w:val="24"/>
          <w:lang w:eastAsia="hr-HR"/>
        </w:rPr>
        <w:t xml:space="preserve">odaje se stavak 2. koji glasi: </w:t>
      </w:r>
    </w:p>
    <w:p w14:paraId="61997B90" w14:textId="5826410B" w:rsidR="007E2A01" w:rsidRPr="000479E9" w:rsidRDefault="007E2A01" w:rsidP="007E2A01">
      <w:pPr>
        <w:spacing w:after="0" w:line="240" w:lineRule="auto"/>
        <w:rPr>
          <w:rFonts w:ascii="Times New Roman" w:eastAsia="Times New Roman" w:hAnsi="Times New Roman" w:cs="Times New Roman"/>
          <w:sz w:val="24"/>
          <w:szCs w:val="24"/>
          <w:lang w:eastAsia="hr-HR"/>
        </w:rPr>
      </w:pPr>
    </w:p>
    <w:p w14:paraId="4E9A14E4" w14:textId="43C3E78B" w:rsidR="007E2A01" w:rsidRPr="000479E9" w:rsidRDefault="007E2A01" w:rsidP="007E2A0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Drugim registrom u smislu stavka 1. točke 2. ovoga </w:t>
      </w:r>
      <w:r w:rsidR="00715B4E" w:rsidRPr="000479E9">
        <w:rPr>
          <w:rFonts w:ascii="Times New Roman" w:eastAsia="Times New Roman" w:hAnsi="Times New Roman" w:cs="Times New Roman"/>
          <w:sz w:val="24"/>
          <w:szCs w:val="24"/>
          <w:lang w:eastAsia="hr-HR"/>
        </w:rPr>
        <w:t>članka</w:t>
      </w:r>
      <w:r w:rsidRPr="000479E9">
        <w:rPr>
          <w:rFonts w:ascii="Times New Roman" w:eastAsia="Times New Roman" w:hAnsi="Times New Roman" w:cs="Times New Roman"/>
          <w:sz w:val="24"/>
          <w:szCs w:val="24"/>
          <w:lang w:eastAsia="hr-HR"/>
        </w:rPr>
        <w:t xml:space="preserve"> smatra se i evidencija vođena u okviru pilot‑režima za tržišne infrastrukture koje se temelje na distribuiranoj knjizi u skladu s Uredbom (EU) 2022/858, za trajanja tog režima, neovisno o tome je li pružatelj usluge unutar Uredbe (EU) 2022/858 središnji depozitorij ili ne.“</w:t>
      </w:r>
      <w:r w:rsidR="005954FF"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p>
    <w:p w14:paraId="659E3B30" w14:textId="77777777" w:rsidR="00AD1523" w:rsidRPr="000479E9" w:rsidRDefault="00AD1523" w:rsidP="00617A00">
      <w:pPr>
        <w:spacing w:after="0" w:line="240" w:lineRule="auto"/>
        <w:jc w:val="center"/>
        <w:rPr>
          <w:rFonts w:ascii="Times New Roman" w:eastAsia="Times New Roman" w:hAnsi="Times New Roman" w:cs="Times New Roman"/>
          <w:b/>
          <w:bCs/>
          <w:sz w:val="24"/>
          <w:szCs w:val="24"/>
          <w:lang w:eastAsia="hr-HR"/>
        </w:rPr>
      </w:pPr>
    </w:p>
    <w:p w14:paraId="2B5E2286" w14:textId="555F3616" w:rsidR="007E2A01" w:rsidRPr="000479E9" w:rsidRDefault="007E2A01" w:rsidP="00617A00">
      <w:pPr>
        <w:spacing w:after="0" w:line="240" w:lineRule="auto"/>
        <w:jc w:val="center"/>
        <w:rPr>
          <w:rFonts w:ascii="Times New Roman" w:eastAsia="Times New Roman" w:hAnsi="Times New Roman" w:cs="Times New Roman"/>
          <w:b/>
          <w:bCs/>
          <w:sz w:val="24"/>
          <w:szCs w:val="24"/>
          <w:lang w:eastAsia="hr-HR"/>
        </w:rPr>
      </w:pPr>
    </w:p>
    <w:p w14:paraId="17161AC3" w14:textId="1C042494" w:rsidR="00486CA1" w:rsidRPr="000479E9" w:rsidRDefault="00486CA1"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42180F" w:rsidRPr="000479E9">
        <w:rPr>
          <w:rFonts w:ascii="Times New Roman" w:eastAsia="Times New Roman" w:hAnsi="Times New Roman" w:cs="Times New Roman"/>
          <w:b/>
          <w:bCs/>
          <w:sz w:val="24"/>
          <w:szCs w:val="24"/>
          <w:lang w:eastAsia="hr-HR"/>
        </w:rPr>
        <w:t>71</w:t>
      </w:r>
      <w:r w:rsidRPr="000479E9">
        <w:rPr>
          <w:rFonts w:ascii="Times New Roman" w:eastAsia="Times New Roman" w:hAnsi="Times New Roman" w:cs="Times New Roman"/>
          <w:b/>
          <w:bCs/>
          <w:sz w:val="24"/>
          <w:szCs w:val="24"/>
          <w:lang w:eastAsia="hr-HR"/>
        </w:rPr>
        <w:t xml:space="preserve">. </w:t>
      </w:r>
    </w:p>
    <w:p w14:paraId="62143D54" w14:textId="77777777" w:rsidR="00486CA1" w:rsidRPr="000479E9" w:rsidRDefault="00486CA1" w:rsidP="00486CA1">
      <w:pPr>
        <w:spacing w:after="0" w:line="240" w:lineRule="auto"/>
        <w:rPr>
          <w:rFonts w:ascii="Times New Roman" w:eastAsia="Times New Roman" w:hAnsi="Times New Roman" w:cs="Times New Roman"/>
          <w:b/>
          <w:bCs/>
          <w:sz w:val="24"/>
          <w:szCs w:val="24"/>
          <w:lang w:eastAsia="hr-HR"/>
        </w:rPr>
      </w:pPr>
    </w:p>
    <w:p w14:paraId="52BA4948" w14:textId="0A7CF7CB" w:rsidR="00C643F4" w:rsidRPr="000479E9" w:rsidRDefault="00C643F4" w:rsidP="00C643F4">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članka 524. dodaj</w:t>
      </w:r>
      <w:r w:rsidR="00961AF9" w:rsidRPr="000479E9">
        <w:rPr>
          <w:rFonts w:ascii="Times New Roman" w:eastAsia="Times New Roman" w:hAnsi="Times New Roman" w:cs="Times New Roman"/>
          <w:sz w:val="24"/>
          <w:szCs w:val="24"/>
          <w:lang w:eastAsia="hr-HR"/>
        </w:rPr>
        <w:t>u se naslov iznad članka i</w:t>
      </w:r>
      <w:r w:rsidRPr="000479E9">
        <w:rPr>
          <w:rFonts w:ascii="Times New Roman" w:eastAsia="Times New Roman" w:hAnsi="Times New Roman" w:cs="Times New Roman"/>
          <w:sz w:val="24"/>
          <w:szCs w:val="24"/>
          <w:lang w:eastAsia="hr-HR"/>
        </w:rPr>
        <w:t xml:space="preserve"> članak 524.a koji glas</w:t>
      </w:r>
      <w:r w:rsidR="00961AF9" w:rsidRPr="000479E9">
        <w:rPr>
          <w:rFonts w:ascii="Times New Roman" w:eastAsia="Times New Roman" w:hAnsi="Times New Roman" w:cs="Times New Roman"/>
          <w:sz w:val="24"/>
          <w:szCs w:val="24"/>
          <w:lang w:eastAsia="hr-HR"/>
        </w:rPr>
        <w:t>e</w:t>
      </w:r>
      <w:r w:rsidRPr="000479E9">
        <w:rPr>
          <w:rFonts w:ascii="Times New Roman" w:eastAsia="Times New Roman" w:hAnsi="Times New Roman" w:cs="Times New Roman"/>
          <w:sz w:val="24"/>
          <w:szCs w:val="24"/>
          <w:lang w:eastAsia="hr-HR"/>
        </w:rPr>
        <w:t>:</w:t>
      </w:r>
    </w:p>
    <w:p w14:paraId="6D3E520C" w14:textId="77777777" w:rsidR="00C643F4" w:rsidRPr="000479E9" w:rsidRDefault="00C643F4" w:rsidP="00C643F4">
      <w:pPr>
        <w:spacing w:after="0" w:line="240" w:lineRule="auto"/>
        <w:rPr>
          <w:rFonts w:ascii="Times New Roman" w:eastAsia="Times New Roman" w:hAnsi="Times New Roman" w:cs="Times New Roman"/>
          <w:sz w:val="24"/>
          <w:szCs w:val="24"/>
          <w:lang w:eastAsia="hr-HR"/>
        </w:rPr>
      </w:pPr>
    </w:p>
    <w:p w14:paraId="7F248755" w14:textId="4EFC2182" w:rsidR="00961AF9" w:rsidRPr="000479E9" w:rsidRDefault="00C643F4" w:rsidP="00483C20">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961AF9" w:rsidRPr="000479E9">
        <w:rPr>
          <w:rFonts w:ascii="Times New Roman" w:eastAsia="Times New Roman" w:hAnsi="Times New Roman" w:cs="Times New Roman"/>
          <w:sz w:val="24"/>
          <w:szCs w:val="24"/>
          <w:lang w:eastAsia="hr-HR"/>
        </w:rPr>
        <w:t>Isplata dividende</w:t>
      </w:r>
      <w:r w:rsidR="00F41410" w:rsidRPr="000479E9">
        <w:rPr>
          <w:rFonts w:ascii="Times New Roman" w:eastAsia="Times New Roman" w:hAnsi="Times New Roman" w:cs="Times New Roman"/>
          <w:sz w:val="24"/>
          <w:szCs w:val="24"/>
          <w:lang w:eastAsia="hr-HR"/>
        </w:rPr>
        <w:t xml:space="preserve"> ili predujma dividende</w:t>
      </w:r>
    </w:p>
    <w:p w14:paraId="223F459D" w14:textId="3AA8F750" w:rsidR="00C643F4" w:rsidRPr="000479E9" w:rsidRDefault="00C643F4" w:rsidP="00483C20">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524.a</w:t>
      </w:r>
    </w:p>
    <w:p w14:paraId="2B83961C" w14:textId="77777777" w:rsidR="00C643F4" w:rsidRPr="000479E9" w:rsidRDefault="00C643F4" w:rsidP="00C643F4">
      <w:pPr>
        <w:spacing w:after="0" w:line="240" w:lineRule="auto"/>
        <w:rPr>
          <w:rFonts w:ascii="Times New Roman" w:eastAsia="Times New Roman" w:hAnsi="Times New Roman" w:cs="Times New Roman"/>
          <w:sz w:val="24"/>
          <w:szCs w:val="24"/>
          <w:lang w:eastAsia="hr-HR"/>
        </w:rPr>
      </w:pPr>
    </w:p>
    <w:p w14:paraId="6BAD0792" w14:textId="289325B7" w:rsidR="00C643F4" w:rsidRPr="000479E9" w:rsidRDefault="00C643F4"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Isplata dividende ili predujma dividende imateljima vrijednosnih papira provodi se korištenjem usluga središnjeg depozitorija u kojem su vrijednosni papiri upisani te se vode u obliku elektroničkog zapisa.“</w:t>
      </w:r>
      <w:r w:rsidR="0005762C" w:rsidRPr="000479E9">
        <w:rPr>
          <w:rFonts w:ascii="Times New Roman" w:eastAsia="Times New Roman" w:hAnsi="Times New Roman" w:cs="Times New Roman"/>
          <w:sz w:val="24"/>
          <w:szCs w:val="24"/>
          <w:lang w:eastAsia="hr-HR"/>
        </w:rPr>
        <w:t>.</w:t>
      </w:r>
    </w:p>
    <w:p w14:paraId="4A90F0AB" w14:textId="77777777" w:rsidR="00C643F4" w:rsidRPr="000479E9" w:rsidRDefault="00C643F4" w:rsidP="00483C20">
      <w:pPr>
        <w:spacing w:after="0" w:line="240" w:lineRule="auto"/>
        <w:rPr>
          <w:rFonts w:ascii="Times New Roman" w:eastAsia="Times New Roman" w:hAnsi="Times New Roman" w:cs="Times New Roman"/>
          <w:sz w:val="24"/>
          <w:szCs w:val="24"/>
          <w:lang w:eastAsia="hr-HR"/>
        </w:rPr>
      </w:pPr>
    </w:p>
    <w:p w14:paraId="5636D4F2" w14:textId="77777777" w:rsidR="00486CA1" w:rsidRPr="000479E9" w:rsidRDefault="00486CA1" w:rsidP="00617A00">
      <w:pPr>
        <w:spacing w:after="0" w:line="240" w:lineRule="auto"/>
        <w:jc w:val="center"/>
        <w:rPr>
          <w:rFonts w:ascii="Times New Roman" w:eastAsia="Times New Roman" w:hAnsi="Times New Roman" w:cs="Times New Roman"/>
          <w:b/>
          <w:bCs/>
          <w:sz w:val="24"/>
          <w:szCs w:val="24"/>
          <w:lang w:eastAsia="hr-HR"/>
        </w:rPr>
      </w:pPr>
    </w:p>
    <w:p w14:paraId="40AAC7CD" w14:textId="10662165" w:rsidR="007E2A01" w:rsidRPr="000479E9" w:rsidRDefault="007E2A01"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42180F" w:rsidRPr="000479E9">
        <w:rPr>
          <w:rFonts w:ascii="Times New Roman" w:eastAsia="Times New Roman" w:hAnsi="Times New Roman" w:cs="Times New Roman"/>
          <w:b/>
          <w:bCs/>
          <w:sz w:val="24"/>
          <w:szCs w:val="24"/>
          <w:lang w:eastAsia="hr-HR"/>
        </w:rPr>
        <w:t>72</w:t>
      </w:r>
      <w:r w:rsidRPr="000479E9">
        <w:rPr>
          <w:rFonts w:ascii="Times New Roman" w:eastAsia="Times New Roman" w:hAnsi="Times New Roman" w:cs="Times New Roman"/>
          <w:b/>
          <w:bCs/>
          <w:sz w:val="24"/>
          <w:szCs w:val="24"/>
          <w:lang w:eastAsia="hr-HR"/>
        </w:rPr>
        <w:t xml:space="preserve">. </w:t>
      </w:r>
    </w:p>
    <w:p w14:paraId="6A1CEDEE" w14:textId="6C6F340F" w:rsidR="007E2A01" w:rsidRPr="000479E9" w:rsidRDefault="007E2A01" w:rsidP="007E2A01">
      <w:pPr>
        <w:spacing w:after="0" w:line="240" w:lineRule="auto"/>
        <w:rPr>
          <w:rFonts w:ascii="Times New Roman" w:eastAsia="Times New Roman" w:hAnsi="Times New Roman" w:cs="Times New Roman"/>
          <w:b/>
          <w:bCs/>
          <w:sz w:val="24"/>
          <w:szCs w:val="24"/>
          <w:lang w:eastAsia="hr-HR"/>
        </w:rPr>
      </w:pPr>
    </w:p>
    <w:p w14:paraId="012D1019" w14:textId="718F6E8F" w:rsidR="007E2A01" w:rsidRPr="000479E9" w:rsidRDefault="007E2A01" w:rsidP="007E2A01">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525.</w:t>
      </w:r>
      <w:r w:rsidR="000A20B1" w:rsidRPr="000479E9">
        <w:rPr>
          <w:rFonts w:ascii="Times New Roman" w:eastAsia="Times New Roman" w:hAnsi="Times New Roman" w:cs="Times New Roman"/>
          <w:sz w:val="24"/>
          <w:szCs w:val="24"/>
          <w:lang w:eastAsia="hr-HR"/>
        </w:rPr>
        <w:t xml:space="preserve"> iza stavka 4.</w:t>
      </w:r>
      <w:r w:rsidRPr="000479E9">
        <w:rPr>
          <w:rFonts w:ascii="Times New Roman" w:eastAsia="Times New Roman" w:hAnsi="Times New Roman" w:cs="Times New Roman"/>
          <w:sz w:val="24"/>
          <w:szCs w:val="24"/>
          <w:lang w:eastAsia="hr-HR"/>
        </w:rPr>
        <w:t xml:space="preserve"> dodaje se novi stavak 5. koji glasi:</w:t>
      </w:r>
    </w:p>
    <w:p w14:paraId="40864945" w14:textId="7AB5BA53" w:rsidR="007E2A01" w:rsidRPr="000479E9" w:rsidRDefault="007E2A01" w:rsidP="007E2A01">
      <w:pPr>
        <w:spacing w:after="0" w:line="240" w:lineRule="auto"/>
        <w:rPr>
          <w:rFonts w:ascii="Times New Roman" w:eastAsia="Times New Roman" w:hAnsi="Times New Roman" w:cs="Times New Roman"/>
          <w:sz w:val="24"/>
          <w:szCs w:val="24"/>
          <w:lang w:eastAsia="hr-HR"/>
        </w:rPr>
      </w:pPr>
    </w:p>
    <w:p w14:paraId="66EDED0F" w14:textId="1BA3BF0C" w:rsidR="007E2A01" w:rsidRPr="000479E9" w:rsidRDefault="007E2A01" w:rsidP="007E2A0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„(5) </w:t>
      </w:r>
      <w:r w:rsidR="629A62A0" w:rsidRPr="000479E9">
        <w:rPr>
          <w:rFonts w:ascii="Times New Roman" w:eastAsia="Times New Roman" w:hAnsi="Times New Roman" w:cs="Times New Roman"/>
          <w:sz w:val="24"/>
          <w:szCs w:val="24"/>
          <w:lang w:eastAsia="hr-HR"/>
        </w:rPr>
        <w:t>Iznimno od stavka 4. ovoga članka, prenosivi vrijednosni papiri obuhvaćeni odobrenjem izdanim u skladu s Uredbom (EU) 2022/858 o pilot</w:t>
      </w:r>
      <w:r w:rsidRPr="000479E9">
        <w:noBreakHyphen/>
      </w:r>
      <w:r w:rsidR="629A62A0" w:rsidRPr="000479E9">
        <w:rPr>
          <w:rFonts w:ascii="Times New Roman" w:eastAsia="Times New Roman" w:hAnsi="Times New Roman" w:cs="Times New Roman"/>
          <w:sz w:val="24"/>
          <w:szCs w:val="24"/>
          <w:lang w:eastAsia="hr-HR"/>
        </w:rPr>
        <w:t>režimu za tržišne infrastrukture koje se temelje na distribuiranoj knjizi mogu se, za trajanja tog pilot</w:t>
      </w:r>
      <w:r w:rsidRPr="000479E9">
        <w:noBreakHyphen/>
      </w:r>
      <w:r w:rsidR="629A62A0" w:rsidRPr="000479E9">
        <w:rPr>
          <w:rFonts w:ascii="Times New Roman" w:eastAsia="Times New Roman" w:hAnsi="Times New Roman" w:cs="Times New Roman"/>
          <w:sz w:val="24"/>
          <w:szCs w:val="24"/>
          <w:lang w:eastAsia="hr-HR"/>
        </w:rPr>
        <w:t>režima, izdati i upisati kao nematerijalizirani vrijednosni papiri u registru vođenom u skladu s tom Uredbom, koji se smatra drugim registrom propisanim posebnim zakonom u smislu stavka 1. ovoga članka</w:t>
      </w:r>
      <w:r w:rsidRPr="000479E9">
        <w:rPr>
          <w:rFonts w:ascii="Times New Roman" w:eastAsia="Times New Roman" w:hAnsi="Times New Roman" w:cs="Times New Roman"/>
          <w:sz w:val="24"/>
          <w:szCs w:val="24"/>
          <w:lang w:eastAsia="hr-HR"/>
        </w:rPr>
        <w:t>.“</w:t>
      </w:r>
      <w:r w:rsidR="007F36E3" w:rsidRPr="000479E9">
        <w:rPr>
          <w:rFonts w:ascii="Times New Roman" w:eastAsia="Times New Roman" w:hAnsi="Times New Roman" w:cs="Times New Roman"/>
          <w:sz w:val="24"/>
          <w:szCs w:val="24"/>
          <w:lang w:eastAsia="hr-HR"/>
        </w:rPr>
        <w:t>.</w:t>
      </w:r>
    </w:p>
    <w:p w14:paraId="2E89995B" w14:textId="215FBF28" w:rsidR="007E2A01" w:rsidRPr="000479E9" w:rsidRDefault="007E2A01" w:rsidP="1DEA14D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  </w:t>
      </w:r>
    </w:p>
    <w:p w14:paraId="4D14293C" w14:textId="32C190AB" w:rsidR="007E2A01" w:rsidRPr="000479E9" w:rsidRDefault="007E2A01" w:rsidP="007E2A0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Dosadašnji stavci 5. do 7. postaju stavci 6. do 8.</w:t>
      </w:r>
    </w:p>
    <w:p w14:paraId="2F67DBC2" w14:textId="77777777" w:rsidR="007E2A01" w:rsidRPr="000479E9" w:rsidRDefault="007E2A01" w:rsidP="007E2A01">
      <w:pPr>
        <w:spacing w:after="0" w:line="240" w:lineRule="auto"/>
        <w:jc w:val="both"/>
        <w:rPr>
          <w:rFonts w:ascii="Times New Roman" w:eastAsia="Times New Roman" w:hAnsi="Times New Roman" w:cs="Times New Roman"/>
          <w:sz w:val="24"/>
          <w:szCs w:val="24"/>
          <w:lang w:eastAsia="hr-HR"/>
        </w:rPr>
      </w:pPr>
    </w:p>
    <w:p w14:paraId="3075AF58" w14:textId="6D1DB185" w:rsidR="007E2A01" w:rsidRPr="000479E9" w:rsidRDefault="007E2A01" w:rsidP="007E2A0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stavak 8. </w:t>
      </w:r>
      <w:r w:rsidR="00462F82" w:rsidRPr="000479E9">
        <w:rPr>
          <w:rFonts w:ascii="Times New Roman" w:eastAsia="Times New Roman" w:hAnsi="Times New Roman" w:cs="Times New Roman"/>
          <w:sz w:val="24"/>
          <w:szCs w:val="24"/>
          <w:lang w:eastAsia="hr-HR"/>
        </w:rPr>
        <w:t xml:space="preserve">koji </w:t>
      </w:r>
      <w:r w:rsidRPr="000479E9">
        <w:rPr>
          <w:rFonts w:ascii="Times New Roman" w:eastAsia="Times New Roman" w:hAnsi="Times New Roman" w:cs="Times New Roman"/>
          <w:sz w:val="24"/>
          <w:szCs w:val="24"/>
          <w:lang w:eastAsia="hr-HR"/>
        </w:rPr>
        <w:t>postaje stavak 9. mijenja se i glasi:</w:t>
      </w:r>
    </w:p>
    <w:p w14:paraId="4C017760" w14:textId="77777777" w:rsidR="007E2A01" w:rsidRPr="000479E9" w:rsidRDefault="007E2A01" w:rsidP="007E2A01">
      <w:pPr>
        <w:spacing w:after="0" w:line="240" w:lineRule="auto"/>
        <w:jc w:val="both"/>
        <w:rPr>
          <w:rFonts w:ascii="Times New Roman" w:eastAsia="Times New Roman" w:hAnsi="Times New Roman" w:cs="Times New Roman"/>
          <w:sz w:val="24"/>
          <w:szCs w:val="24"/>
          <w:lang w:eastAsia="hr-HR"/>
        </w:rPr>
      </w:pPr>
    </w:p>
    <w:p w14:paraId="4B5F78C6" w14:textId="391BCF0C" w:rsidR="007E2A01" w:rsidRPr="000479E9" w:rsidRDefault="007E2A01" w:rsidP="007E2A01">
      <w:pPr>
        <w:spacing w:after="0" w:line="240" w:lineRule="auto"/>
        <w:jc w:val="both"/>
        <w:rPr>
          <w:rStyle w:val="eop"/>
          <w:rFonts w:ascii="Times New Roman" w:hAnsi="Times New Roman" w:cs="Times New Roman"/>
          <w:sz w:val="24"/>
          <w:szCs w:val="24"/>
          <w:shd w:val="clear" w:color="auto" w:fill="FFFFFF"/>
        </w:rPr>
      </w:pPr>
      <w:r w:rsidRPr="000479E9">
        <w:rPr>
          <w:rFonts w:ascii="Times New Roman" w:eastAsia="Times New Roman" w:hAnsi="Times New Roman" w:cs="Times New Roman"/>
          <w:sz w:val="24"/>
          <w:szCs w:val="24"/>
          <w:lang w:eastAsia="hr-HR"/>
        </w:rPr>
        <w:t xml:space="preserve">„(9) </w:t>
      </w:r>
      <w:r w:rsidRPr="000479E9">
        <w:rPr>
          <w:rStyle w:val="normaltextrun"/>
          <w:rFonts w:ascii="Times New Roman" w:hAnsi="Times New Roman" w:cs="Times New Roman"/>
          <w:sz w:val="24"/>
          <w:szCs w:val="24"/>
          <w:shd w:val="clear" w:color="auto" w:fill="FFFFFF"/>
        </w:rPr>
        <w:t>Vrijednosni papiri izdani protivno odredbama stavaka 4., 7. i 8. ovoga članka, osim u slučajevima iz stavka 5. ovoga članka, ne smatraju se vrijednosnim papirima u smislu ovoga Zakona.</w:t>
      </w:r>
      <w:r w:rsidR="004C493F" w:rsidRPr="000479E9">
        <w:rPr>
          <w:rStyle w:val="eop"/>
          <w:rFonts w:ascii="Times New Roman" w:hAnsi="Times New Roman" w:cs="Times New Roman"/>
          <w:sz w:val="24"/>
          <w:szCs w:val="24"/>
          <w:shd w:val="clear" w:color="auto" w:fill="FFFFFF"/>
        </w:rPr>
        <w:t>“.</w:t>
      </w:r>
    </w:p>
    <w:p w14:paraId="7444247E" w14:textId="60B5E3A7" w:rsidR="00ED61E7" w:rsidRPr="000479E9" w:rsidRDefault="00ED61E7" w:rsidP="007E2A01">
      <w:pPr>
        <w:spacing w:after="0" w:line="240" w:lineRule="auto"/>
        <w:jc w:val="both"/>
        <w:rPr>
          <w:rStyle w:val="eop"/>
          <w:rFonts w:ascii="Times New Roman" w:hAnsi="Times New Roman" w:cs="Times New Roman"/>
          <w:sz w:val="24"/>
          <w:szCs w:val="24"/>
          <w:shd w:val="clear" w:color="auto" w:fill="FFFFFF"/>
        </w:rPr>
      </w:pPr>
    </w:p>
    <w:p w14:paraId="3CEB5F73" w14:textId="4407F006" w:rsidR="00ED61E7" w:rsidRPr="000479E9" w:rsidRDefault="00ED61E7" w:rsidP="007E2A01">
      <w:pPr>
        <w:spacing w:after="0" w:line="240" w:lineRule="auto"/>
        <w:jc w:val="both"/>
        <w:rPr>
          <w:rStyle w:val="eop"/>
          <w:rFonts w:ascii="Times New Roman" w:hAnsi="Times New Roman" w:cs="Times New Roman"/>
          <w:sz w:val="24"/>
          <w:szCs w:val="24"/>
          <w:shd w:val="clear" w:color="auto" w:fill="FFFFFF"/>
        </w:rPr>
      </w:pPr>
      <w:r w:rsidRPr="000479E9">
        <w:rPr>
          <w:rStyle w:val="eop"/>
          <w:rFonts w:ascii="Times New Roman" w:hAnsi="Times New Roman" w:cs="Times New Roman"/>
          <w:sz w:val="24"/>
          <w:szCs w:val="24"/>
          <w:shd w:val="clear" w:color="auto" w:fill="FFFFFF"/>
        </w:rPr>
        <w:t>U dosadašnjem stavku 9. koji postaje stavak 10. riječi: „stavaka 4., 6., 7. i 8. ovoga članka, kada subjekti iz stavaka 4., 6.i 7.“ zamjenjuju se riječima: „stavaka 4., 7., 8. i 9. ovoga članka, kada subjekti iz stavaka 4., 7. i 8.“.</w:t>
      </w:r>
    </w:p>
    <w:p w14:paraId="7F8FDF02" w14:textId="3FAD65D1" w:rsidR="00ED61E7" w:rsidRPr="000479E9" w:rsidRDefault="00ED61E7" w:rsidP="007E2A01">
      <w:pPr>
        <w:spacing w:after="0" w:line="240" w:lineRule="auto"/>
        <w:jc w:val="both"/>
        <w:rPr>
          <w:rStyle w:val="eop"/>
          <w:rFonts w:ascii="Times New Roman" w:hAnsi="Times New Roman" w:cs="Times New Roman"/>
          <w:sz w:val="24"/>
          <w:szCs w:val="24"/>
          <w:shd w:val="clear" w:color="auto" w:fill="FFFFFF"/>
        </w:rPr>
      </w:pPr>
    </w:p>
    <w:p w14:paraId="7A27C95B" w14:textId="74A9E29F" w:rsidR="00ED61E7" w:rsidRPr="000479E9" w:rsidRDefault="00ED61E7" w:rsidP="007E2A01">
      <w:pPr>
        <w:spacing w:after="0" w:line="240" w:lineRule="auto"/>
        <w:jc w:val="both"/>
        <w:rPr>
          <w:rStyle w:val="eop"/>
          <w:rFonts w:ascii="Times New Roman" w:hAnsi="Times New Roman" w:cs="Times New Roman"/>
          <w:sz w:val="24"/>
          <w:szCs w:val="24"/>
          <w:shd w:val="clear" w:color="auto" w:fill="FFFFFF"/>
        </w:rPr>
      </w:pPr>
      <w:r w:rsidRPr="000479E9">
        <w:rPr>
          <w:rStyle w:val="eop"/>
          <w:rFonts w:ascii="Times New Roman" w:hAnsi="Times New Roman" w:cs="Times New Roman"/>
          <w:sz w:val="24"/>
          <w:szCs w:val="24"/>
          <w:shd w:val="clear" w:color="auto" w:fill="FFFFFF"/>
        </w:rPr>
        <w:t>U dosadašnjem stavku 10. koji postaje stavak 11. riječi: „stavka 5.“ zamjenjuju se riječima: „stavka 6.“.</w:t>
      </w:r>
    </w:p>
    <w:p w14:paraId="4E5D8AC1" w14:textId="77777777" w:rsidR="00ED61E7" w:rsidRPr="000479E9" w:rsidRDefault="00ED61E7" w:rsidP="007E2A01">
      <w:pPr>
        <w:spacing w:after="0" w:line="240" w:lineRule="auto"/>
        <w:jc w:val="both"/>
        <w:rPr>
          <w:rStyle w:val="eop"/>
          <w:rFonts w:ascii="Times New Roman" w:hAnsi="Times New Roman" w:cs="Times New Roman"/>
          <w:sz w:val="24"/>
          <w:szCs w:val="24"/>
          <w:shd w:val="clear" w:color="auto" w:fill="FFFFFF"/>
        </w:rPr>
      </w:pPr>
    </w:p>
    <w:p w14:paraId="794CD2BB" w14:textId="77777777" w:rsidR="007E2A01" w:rsidRPr="000479E9" w:rsidRDefault="007E2A01" w:rsidP="007E2A01">
      <w:pPr>
        <w:spacing w:after="0" w:line="240" w:lineRule="auto"/>
        <w:jc w:val="both"/>
        <w:rPr>
          <w:rStyle w:val="eop"/>
          <w:rFonts w:ascii="Arial" w:hAnsi="Arial" w:cs="Arial"/>
          <w:shd w:val="clear" w:color="auto" w:fill="FFFFFF"/>
        </w:rPr>
      </w:pPr>
    </w:p>
    <w:p w14:paraId="28B9EF53" w14:textId="7AE2D167" w:rsidR="007E2A01" w:rsidRPr="000479E9" w:rsidRDefault="009860FF" w:rsidP="009860FF">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7</w:t>
      </w:r>
      <w:r w:rsidR="0042180F" w:rsidRPr="000479E9">
        <w:rPr>
          <w:rFonts w:ascii="Times New Roman" w:eastAsia="Times New Roman" w:hAnsi="Times New Roman" w:cs="Times New Roman"/>
          <w:b/>
          <w:bCs/>
          <w:sz w:val="24"/>
          <w:szCs w:val="24"/>
          <w:lang w:eastAsia="hr-HR"/>
        </w:rPr>
        <w:t>3</w:t>
      </w:r>
      <w:r w:rsidRPr="000479E9">
        <w:rPr>
          <w:rFonts w:ascii="Times New Roman" w:eastAsia="Times New Roman" w:hAnsi="Times New Roman" w:cs="Times New Roman"/>
          <w:b/>
          <w:bCs/>
          <w:sz w:val="24"/>
          <w:szCs w:val="24"/>
          <w:lang w:eastAsia="hr-HR"/>
        </w:rPr>
        <w:t>.</w:t>
      </w:r>
    </w:p>
    <w:p w14:paraId="29F5F2DA" w14:textId="5B7251F6" w:rsidR="009860FF" w:rsidRPr="000479E9" w:rsidRDefault="009860FF" w:rsidP="009860FF">
      <w:pPr>
        <w:spacing w:after="0" w:line="240" w:lineRule="auto"/>
        <w:rPr>
          <w:rFonts w:ascii="Times New Roman" w:eastAsia="Times New Roman" w:hAnsi="Times New Roman" w:cs="Times New Roman"/>
          <w:b/>
          <w:bCs/>
          <w:sz w:val="24"/>
          <w:szCs w:val="24"/>
          <w:lang w:eastAsia="hr-HR"/>
        </w:rPr>
      </w:pPr>
    </w:p>
    <w:p w14:paraId="4BBF301F" w14:textId="638B1249" w:rsidR="009860FF" w:rsidRPr="000479E9" w:rsidRDefault="002D20F6" w:rsidP="009860FF">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Naslovi iznad članaka i članci 544. i 545. brišu se.</w:t>
      </w:r>
    </w:p>
    <w:p w14:paraId="76E9E019" w14:textId="77777777" w:rsidR="009860FF" w:rsidRPr="000479E9" w:rsidRDefault="009860FF" w:rsidP="009860FF">
      <w:pPr>
        <w:spacing w:after="0" w:line="240" w:lineRule="auto"/>
        <w:rPr>
          <w:rFonts w:ascii="Times New Roman" w:eastAsia="Times New Roman" w:hAnsi="Times New Roman" w:cs="Times New Roman"/>
          <w:b/>
          <w:bCs/>
          <w:sz w:val="24"/>
          <w:szCs w:val="24"/>
          <w:lang w:eastAsia="hr-HR"/>
        </w:rPr>
      </w:pPr>
    </w:p>
    <w:p w14:paraId="3CD83C98" w14:textId="77777777" w:rsidR="009860FF" w:rsidRPr="000479E9" w:rsidRDefault="009860FF" w:rsidP="007E2A01">
      <w:pPr>
        <w:spacing w:after="0" w:line="240" w:lineRule="auto"/>
        <w:jc w:val="center"/>
        <w:rPr>
          <w:rFonts w:ascii="Times New Roman" w:eastAsia="Times New Roman" w:hAnsi="Times New Roman" w:cs="Times New Roman"/>
          <w:b/>
          <w:bCs/>
          <w:sz w:val="24"/>
          <w:szCs w:val="24"/>
          <w:lang w:eastAsia="hr-HR"/>
        </w:rPr>
      </w:pPr>
    </w:p>
    <w:p w14:paraId="4C1AB863" w14:textId="6A8858A6" w:rsidR="005E0C20" w:rsidRPr="000479E9" w:rsidRDefault="005E0C20" w:rsidP="007E2A01">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7</w:t>
      </w:r>
      <w:r w:rsidR="0042180F" w:rsidRPr="000479E9">
        <w:rPr>
          <w:rFonts w:ascii="Times New Roman" w:eastAsia="Times New Roman" w:hAnsi="Times New Roman" w:cs="Times New Roman"/>
          <w:b/>
          <w:bCs/>
          <w:sz w:val="24"/>
          <w:szCs w:val="24"/>
          <w:lang w:eastAsia="hr-HR"/>
        </w:rPr>
        <w:t>4</w:t>
      </w:r>
      <w:r w:rsidRPr="000479E9">
        <w:rPr>
          <w:rFonts w:ascii="Times New Roman" w:eastAsia="Times New Roman" w:hAnsi="Times New Roman" w:cs="Times New Roman"/>
          <w:b/>
          <w:bCs/>
          <w:sz w:val="24"/>
          <w:szCs w:val="24"/>
          <w:lang w:eastAsia="hr-HR"/>
        </w:rPr>
        <w:t>.</w:t>
      </w:r>
    </w:p>
    <w:p w14:paraId="325D39A0" w14:textId="3D786CDE" w:rsidR="005E0C20" w:rsidRPr="000479E9" w:rsidRDefault="005E0C20" w:rsidP="005E0C20">
      <w:pPr>
        <w:spacing w:after="0" w:line="240" w:lineRule="auto"/>
        <w:rPr>
          <w:rFonts w:ascii="Times New Roman" w:eastAsia="Times New Roman" w:hAnsi="Times New Roman" w:cs="Times New Roman"/>
          <w:b/>
          <w:bCs/>
          <w:sz w:val="24"/>
          <w:szCs w:val="24"/>
          <w:lang w:eastAsia="hr-HR"/>
        </w:rPr>
      </w:pPr>
    </w:p>
    <w:p w14:paraId="6361A4E8" w14:textId="0B886A6A" w:rsidR="00071C5C" w:rsidRPr="000479E9" w:rsidRDefault="005E0C20" w:rsidP="00071C5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547. </w:t>
      </w:r>
      <w:r w:rsidR="00071C5C" w:rsidRPr="000479E9">
        <w:rPr>
          <w:rFonts w:ascii="Times New Roman" w:eastAsia="Times New Roman" w:hAnsi="Times New Roman" w:cs="Times New Roman"/>
          <w:sz w:val="24"/>
          <w:szCs w:val="24"/>
          <w:lang w:eastAsia="hr-HR"/>
        </w:rPr>
        <w:t>stavku 4. riječ</w:t>
      </w:r>
      <w:r w:rsidR="0005762C" w:rsidRPr="000479E9">
        <w:rPr>
          <w:rFonts w:ascii="Times New Roman" w:eastAsia="Times New Roman" w:hAnsi="Times New Roman" w:cs="Times New Roman"/>
          <w:sz w:val="24"/>
          <w:szCs w:val="24"/>
          <w:lang w:eastAsia="hr-HR"/>
        </w:rPr>
        <w:t>:</w:t>
      </w:r>
      <w:r w:rsidR="00071C5C" w:rsidRPr="000479E9">
        <w:rPr>
          <w:rFonts w:ascii="Times New Roman" w:eastAsia="Times New Roman" w:hAnsi="Times New Roman" w:cs="Times New Roman"/>
          <w:sz w:val="24"/>
          <w:szCs w:val="24"/>
          <w:lang w:eastAsia="hr-HR"/>
        </w:rPr>
        <w:t xml:space="preserve"> „sedam“ zamjenjuje se riječju: „deset“.</w:t>
      </w:r>
    </w:p>
    <w:p w14:paraId="2B8C001D" w14:textId="77777777" w:rsidR="00071C5C" w:rsidRPr="000479E9" w:rsidRDefault="00071C5C" w:rsidP="005E0C20">
      <w:pPr>
        <w:spacing w:after="0" w:line="240" w:lineRule="auto"/>
        <w:rPr>
          <w:rFonts w:ascii="Times New Roman" w:eastAsia="Times New Roman" w:hAnsi="Times New Roman" w:cs="Times New Roman"/>
          <w:sz w:val="24"/>
          <w:szCs w:val="24"/>
          <w:lang w:eastAsia="hr-HR"/>
        </w:rPr>
      </w:pPr>
    </w:p>
    <w:p w14:paraId="3B5B4C31" w14:textId="77777777" w:rsidR="004569D8" w:rsidRPr="000479E9" w:rsidRDefault="004569D8" w:rsidP="005E0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Stavci 7. i 8. mijenjaju se i glase:</w:t>
      </w:r>
    </w:p>
    <w:p w14:paraId="663E78AD" w14:textId="77777777" w:rsidR="004569D8" w:rsidRPr="000479E9" w:rsidRDefault="004569D8" w:rsidP="005E0C20">
      <w:pPr>
        <w:spacing w:after="0" w:line="240" w:lineRule="auto"/>
        <w:rPr>
          <w:rFonts w:ascii="Times New Roman" w:eastAsia="Times New Roman" w:hAnsi="Times New Roman" w:cs="Times New Roman"/>
          <w:sz w:val="24"/>
          <w:szCs w:val="24"/>
          <w:lang w:eastAsia="hr-HR"/>
        </w:rPr>
      </w:pPr>
    </w:p>
    <w:p w14:paraId="7F5D6A3D" w14:textId="25F32B2F" w:rsidR="004569D8" w:rsidRPr="000479E9" w:rsidRDefault="004569D8" w:rsidP="004569D8">
      <w:pPr>
        <w:spacing w:after="160" w:line="259" w:lineRule="auto"/>
        <w:jc w:val="both"/>
        <w:rPr>
          <w:rFonts w:ascii="Times New Roman" w:eastAsia="Calibri" w:hAnsi="Times New Roman" w:cs="Times New Roman"/>
          <w:sz w:val="24"/>
          <w:szCs w:val="24"/>
        </w:rPr>
      </w:pPr>
      <w:r w:rsidRPr="000479E9">
        <w:rPr>
          <w:rFonts w:ascii="Times New Roman" w:eastAsia="Times New Roman" w:hAnsi="Times New Roman" w:cs="Times New Roman"/>
          <w:sz w:val="24"/>
          <w:szCs w:val="24"/>
          <w:lang w:eastAsia="hr-HR"/>
        </w:rPr>
        <w:t>„</w:t>
      </w:r>
      <w:r w:rsidRPr="000479E9">
        <w:rPr>
          <w:rFonts w:ascii="Times New Roman" w:eastAsia="Calibri" w:hAnsi="Times New Roman" w:cs="Times New Roman"/>
          <w:sz w:val="24"/>
          <w:szCs w:val="24"/>
        </w:rPr>
        <w:t>(7) U smislu ovoga članka Zakona, revizijom se smatra revizija godišnjih financijskih izvještaja.</w:t>
      </w:r>
    </w:p>
    <w:p w14:paraId="486D0730" w14:textId="6C5A1211" w:rsidR="004569D8" w:rsidRPr="000479E9" w:rsidRDefault="004569D8" w:rsidP="004569D8">
      <w:pPr>
        <w:spacing w:after="160" w:line="259"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(8) Na temelju revizije iz stavka 7. ovoga članka revizor je dužan sastaviti revizorski izvještaj o obavljenoj reviziji godišnjih financijskih izvještaja.“.</w:t>
      </w:r>
    </w:p>
    <w:p w14:paraId="64B0577A" w14:textId="5C18CDB8" w:rsidR="005E0C20" w:rsidRPr="000479E9" w:rsidRDefault="005E0C20" w:rsidP="005E0C20">
      <w:pPr>
        <w:spacing w:after="0" w:line="240" w:lineRule="auto"/>
        <w:rPr>
          <w:rFonts w:ascii="Times New Roman" w:eastAsia="Times New Roman" w:hAnsi="Times New Roman" w:cs="Times New Roman"/>
          <w:sz w:val="24"/>
          <w:szCs w:val="24"/>
          <w:lang w:eastAsia="hr-HR"/>
        </w:rPr>
      </w:pPr>
    </w:p>
    <w:p w14:paraId="3E98E2FC" w14:textId="3272CC73" w:rsidR="005E0C20" w:rsidRPr="000479E9" w:rsidRDefault="005E0C20" w:rsidP="005E0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Stavci 9. do 14. brišu se.</w:t>
      </w:r>
    </w:p>
    <w:p w14:paraId="791A172A" w14:textId="78F799B8" w:rsidR="005E0C20" w:rsidRPr="000479E9" w:rsidRDefault="005E0C20" w:rsidP="005E0C20">
      <w:pPr>
        <w:spacing w:after="0" w:line="240" w:lineRule="auto"/>
        <w:rPr>
          <w:rFonts w:ascii="Times New Roman" w:eastAsia="Times New Roman" w:hAnsi="Times New Roman" w:cs="Times New Roman"/>
          <w:sz w:val="24"/>
          <w:szCs w:val="24"/>
          <w:lang w:eastAsia="hr-HR"/>
        </w:rPr>
      </w:pPr>
    </w:p>
    <w:p w14:paraId="4DD12499" w14:textId="04C64CE8" w:rsidR="005E0C20" w:rsidRPr="000479E9" w:rsidRDefault="0042180F" w:rsidP="005E0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stavak </w:t>
      </w:r>
      <w:r w:rsidR="005E0C20" w:rsidRPr="000479E9">
        <w:rPr>
          <w:rFonts w:ascii="Times New Roman" w:eastAsia="Times New Roman" w:hAnsi="Times New Roman" w:cs="Times New Roman"/>
          <w:sz w:val="24"/>
          <w:szCs w:val="24"/>
          <w:lang w:eastAsia="hr-HR"/>
        </w:rPr>
        <w:t>15. postaj</w:t>
      </w:r>
      <w:r w:rsidRPr="000479E9">
        <w:rPr>
          <w:rFonts w:ascii="Times New Roman" w:eastAsia="Times New Roman" w:hAnsi="Times New Roman" w:cs="Times New Roman"/>
          <w:sz w:val="24"/>
          <w:szCs w:val="24"/>
          <w:lang w:eastAsia="hr-HR"/>
        </w:rPr>
        <w:t>e</w:t>
      </w:r>
      <w:r w:rsidR="005E0C20"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stavak </w:t>
      </w:r>
      <w:r w:rsidR="005E0C20" w:rsidRPr="000479E9">
        <w:rPr>
          <w:rFonts w:ascii="Times New Roman" w:eastAsia="Times New Roman" w:hAnsi="Times New Roman" w:cs="Times New Roman"/>
          <w:sz w:val="24"/>
          <w:szCs w:val="24"/>
          <w:lang w:eastAsia="hr-HR"/>
        </w:rPr>
        <w:t xml:space="preserve">9.  </w:t>
      </w:r>
    </w:p>
    <w:p w14:paraId="0BD6CADC" w14:textId="4606CFDA" w:rsidR="005E0C20" w:rsidRPr="000479E9" w:rsidRDefault="005E0C20" w:rsidP="005E0C20">
      <w:pPr>
        <w:spacing w:after="0" w:line="240" w:lineRule="auto"/>
        <w:rPr>
          <w:rFonts w:ascii="Times New Roman" w:eastAsia="Times New Roman" w:hAnsi="Times New Roman" w:cs="Times New Roman"/>
          <w:sz w:val="24"/>
          <w:szCs w:val="24"/>
          <w:lang w:eastAsia="hr-HR"/>
        </w:rPr>
      </w:pPr>
    </w:p>
    <w:p w14:paraId="2E43B068" w14:textId="6C81F915" w:rsidR="00464346" w:rsidRPr="000479E9" w:rsidRDefault="00464346" w:rsidP="00464346">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16. koji postaje stavak 10. riječi: „stavaka 1., 8. i 15.“ zamjenjuju se riječima: „stavaka 1., 8. i 9.“.</w:t>
      </w:r>
    </w:p>
    <w:p w14:paraId="75D35760" w14:textId="77777777" w:rsidR="00464346" w:rsidRPr="000479E9" w:rsidRDefault="00464346" w:rsidP="00464346">
      <w:pPr>
        <w:spacing w:after="0" w:line="240" w:lineRule="auto"/>
        <w:rPr>
          <w:rFonts w:ascii="Times New Roman" w:eastAsia="Times New Roman" w:hAnsi="Times New Roman" w:cs="Times New Roman"/>
          <w:sz w:val="24"/>
          <w:szCs w:val="24"/>
          <w:lang w:eastAsia="hr-HR"/>
        </w:rPr>
      </w:pPr>
    </w:p>
    <w:p w14:paraId="3B9DD739" w14:textId="77777777" w:rsidR="0042180F" w:rsidRPr="000479E9" w:rsidRDefault="0042180F" w:rsidP="0042180F">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Dosadašnji stavak 17. postaje stavak 11. </w:t>
      </w:r>
    </w:p>
    <w:p w14:paraId="0E60C4ED" w14:textId="77777777" w:rsidR="00464346" w:rsidRPr="000479E9" w:rsidRDefault="00464346" w:rsidP="005E0C20">
      <w:pPr>
        <w:spacing w:after="0" w:line="240" w:lineRule="auto"/>
        <w:rPr>
          <w:rFonts w:ascii="Times New Roman" w:eastAsia="Times New Roman" w:hAnsi="Times New Roman" w:cs="Times New Roman"/>
          <w:sz w:val="24"/>
          <w:szCs w:val="24"/>
          <w:lang w:eastAsia="hr-HR"/>
        </w:rPr>
      </w:pPr>
    </w:p>
    <w:p w14:paraId="55AD1CFC" w14:textId="46810166" w:rsidR="005E0C20" w:rsidRPr="000479E9" w:rsidRDefault="00486CA1" w:rsidP="007E2A01">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7</w:t>
      </w:r>
      <w:r w:rsidR="0042180F" w:rsidRPr="000479E9">
        <w:rPr>
          <w:rFonts w:ascii="Times New Roman" w:eastAsia="Times New Roman" w:hAnsi="Times New Roman" w:cs="Times New Roman"/>
          <w:b/>
          <w:bCs/>
          <w:sz w:val="24"/>
          <w:szCs w:val="24"/>
          <w:lang w:eastAsia="hr-HR"/>
        </w:rPr>
        <w:t>5</w:t>
      </w:r>
      <w:r w:rsidRPr="000479E9">
        <w:rPr>
          <w:rFonts w:ascii="Times New Roman" w:eastAsia="Times New Roman" w:hAnsi="Times New Roman" w:cs="Times New Roman"/>
          <w:b/>
          <w:bCs/>
          <w:sz w:val="24"/>
          <w:szCs w:val="24"/>
          <w:lang w:eastAsia="hr-HR"/>
        </w:rPr>
        <w:t xml:space="preserve">. </w:t>
      </w:r>
    </w:p>
    <w:p w14:paraId="46F2A65E" w14:textId="77777777" w:rsidR="00486CA1" w:rsidRPr="000479E9" w:rsidRDefault="00486CA1" w:rsidP="00C643F4">
      <w:pPr>
        <w:spacing w:after="0" w:line="240" w:lineRule="auto"/>
        <w:rPr>
          <w:rFonts w:ascii="Times New Roman" w:eastAsia="Times New Roman" w:hAnsi="Times New Roman" w:cs="Times New Roman"/>
          <w:b/>
          <w:bCs/>
          <w:sz w:val="24"/>
          <w:szCs w:val="24"/>
          <w:lang w:eastAsia="hr-HR"/>
        </w:rPr>
      </w:pPr>
    </w:p>
    <w:p w14:paraId="6392A348" w14:textId="7B1DF2FA" w:rsidR="00C643F4" w:rsidRPr="000479E9" w:rsidRDefault="00C643F4" w:rsidP="00C643F4">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548.</w:t>
      </w:r>
      <w:r w:rsidR="0042180F" w:rsidRPr="000479E9">
        <w:rPr>
          <w:rFonts w:ascii="Times New Roman" w:eastAsia="Times New Roman" w:hAnsi="Times New Roman" w:cs="Times New Roman"/>
          <w:sz w:val="24"/>
          <w:szCs w:val="24"/>
          <w:lang w:eastAsia="hr-HR"/>
        </w:rPr>
        <w:t xml:space="preserve"> iza stavka 7.</w:t>
      </w:r>
      <w:r w:rsidRPr="000479E9">
        <w:rPr>
          <w:rFonts w:ascii="Times New Roman" w:eastAsia="Times New Roman" w:hAnsi="Times New Roman" w:cs="Times New Roman"/>
          <w:sz w:val="24"/>
          <w:szCs w:val="24"/>
          <w:lang w:eastAsia="hr-HR"/>
        </w:rPr>
        <w:t xml:space="preserve"> dodaju se novi </w:t>
      </w:r>
      <w:r w:rsidR="0042180F" w:rsidRPr="000479E9">
        <w:rPr>
          <w:rFonts w:ascii="Times New Roman" w:eastAsia="Times New Roman" w:hAnsi="Times New Roman" w:cs="Times New Roman"/>
          <w:sz w:val="24"/>
          <w:szCs w:val="24"/>
          <w:lang w:eastAsia="hr-HR"/>
        </w:rPr>
        <w:t xml:space="preserve">stavak </w:t>
      </w:r>
      <w:r w:rsidRPr="000479E9">
        <w:rPr>
          <w:rFonts w:ascii="Times New Roman" w:eastAsia="Times New Roman" w:hAnsi="Times New Roman" w:cs="Times New Roman"/>
          <w:sz w:val="24"/>
          <w:szCs w:val="24"/>
          <w:lang w:eastAsia="hr-HR"/>
        </w:rPr>
        <w:t>8. i</w:t>
      </w:r>
      <w:r w:rsidR="0042180F" w:rsidRPr="000479E9">
        <w:rPr>
          <w:rFonts w:ascii="Times New Roman" w:eastAsia="Times New Roman" w:hAnsi="Times New Roman" w:cs="Times New Roman"/>
          <w:sz w:val="24"/>
          <w:szCs w:val="24"/>
          <w:lang w:eastAsia="hr-HR"/>
        </w:rPr>
        <w:t xml:space="preserve"> stavak</w:t>
      </w:r>
      <w:r w:rsidRPr="000479E9">
        <w:rPr>
          <w:rFonts w:ascii="Times New Roman" w:eastAsia="Times New Roman" w:hAnsi="Times New Roman" w:cs="Times New Roman"/>
          <w:sz w:val="24"/>
          <w:szCs w:val="24"/>
          <w:lang w:eastAsia="hr-HR"/>
        </w:rPr>
        <w:t xml:space="preserve"> 9. koji glase:</w:t>
      </w:r>
    </w:p>
    <w:p w14:paraId="2D51A521" w14:textId="77777777" w:rsidR="00C643F4" w:rsidRPr="000479E9" w:rsidRDefault="00C643F4" w:rsidP="00C643F4">
      <w:pPr>
        <w:spacing w:after="0" w:line="240" w:lineRule="auto"/>
        <w:rPr>
          <w:rFonts w:ascii="Times New Roman" w:eastAsia="Times New Roman" w:hAnsi="Times New Roman" w:cs="Times New Roman"/>
          <w:sz w:val="24"/>
          <w:szCs w:val="24"/>
          <w:lang w:eastAsia="hr-HR"/>
        </w:rPr>
      </w:pPr>
    </w:p>
    <w:p w14:paraId="5C46A690" w14:textId="5A28F94C" w:rsidR="00C643F4" w:rsidRPr="000479E9" w:rsidRDefault="00C643F4" w:rsidP="00483C20">
      <w:pPr>
        <w:spacing w:after="0" w:line="240" w:lineRule="auto"/>
        <w:jc w:val="both"/>
        <w:rPr>
          <w:rFonts w:ascii="Times New Roman" w:eastAsia="Times New Roman" w:hAnsi="Times New Roman" w:cs="Times New Roman"/>
          <w:sz w:val="24"/>
          <w:szCs w:val="24"/>
          <w:lang w:val="en-US" w:eastAsia="hr-HR"/>
        </w:rPr>
      </w:pPr>
      <w:r w:rsidRPr="000479E9">
        <w:rPr>
          <w:rFonts w:ascii="Times New Roman" w:eastAsia="Times New Roman" w:hAnsi="Times New Roman" w:cs="Times New Roman"/>
          <w:sz w:val="24"/>
          <w:szCs w:val="24"/>
          <w:lang w:eastAsia="hr-HR"/>
        </w:rPr>
        <w:t>„(8) Smatra se da je središnja druga ugovorna strana ispunila obvezu dostave izvještaja iz stavaka 1. i 2. ovoga članka u dijelu u kojem se podaci sadržajno podudaraju s informacijama koje je dostavila Europskom nadzornom tijelu za vrijednosne papire i tržišta kapitala (ESMA) u skladu s člankom 7.e Uredbe (EU) br. 648/2012, pod uvjetom da Agencija ima pristup tim podacima ili da su joj isti dostupni putem ESMA-e.</w:t>
      </w:r>
      <w:r w:rsidRPr="000479E9">
        <w:rPr>
          <w:rFonts w:ascii="Times New Roman" w:eastAsia="Times New Roman" w:hAnsi="Times New Roman" w:cs="Times New Roman"/>
          <w:sz w:val="24"/>
          <w:szCs w:val="24"/>
          <w:lang w:val="en-US" w:eastAsia="hr-HR"/>
        </w:rPr>
        <w:t> </w:t>
      </w:r>
    </w:p>
    <w:p w14:paraId="70F0C82D" w14:textId="77777777" w:rsidR="0005762C" w:rsidRPr="000479E9" w:rsidRDefault="0005762C" w:rsidP="00483C20">
      <w:pPr>
        <w:spacing w:after="0" w:line="240" w:lineRule="auto"/>
        <w:jc w:val="both"/>
        <w:rPr>
          <w:rFonts w:ascii="Times New Roman" w:eastAsia="Times New Roman" w:hAnsi="Times New Roman" w:cs="Times New Roman"/>
          <w:sz w:val="24"/>
          <w:szCs w:val="24"/>
          <w:lang w:val="en-US" w:eastAsia="hr-HR"/>
        </w:rPr>
      </w:pPr>
    </w:p>
    <w:p w14:paraId="1D70DA6D" w14:textId="07079166" w:rsidR="00C643F4" w:rsidRPr="000479E9" w:rsidRDefault="00C643F4" w:rsidP="00C643F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Agencija može zahtijevati dostavu dodatnih podataka samo u dijelu u kojem isti nisu obuhvaćeni izvještavanjem iz stavka 8. ovoga članka.“</w:t>
      </w:r>
      <w:r w:rsidR="00AA51E6" w:rsidRPr="000479E9">
        <w:rPr>
          <w:rFonts w:ascii="Times New Roman" w:eastAsia="Times New Roman" w:hAnsi="Times New Roman" w:cs="Times New Roman"/>
          <w:sz w:val="24"/>
          <w:szCs w:val="24"/>
          <w:lang w:eastAsia="hr-HR"/>
        </w:rPr>
        <w:t>.</w:t>
      </w:r>
    </w:p>
    <w:p w14:paraId="4ED36B99" w14:textId="77777777" w:rsidR="00C643F4" w:rsidRPr="000479E9" w:rsidRDefault="00C643F4" w:rsidP="00C643F4">
      <w:pPr>
        <w:spacing w:after="0" w:line="240" w:lineRule="auto"/>
        <w:jc w:val="both"/>
        <w:rPr>
          <w:rFonts w:ascii="Times New Roman" w:eastAsia="Times New Roman" w:hAnsi="Times New Roman" w:cs="Times New Roman"/>
          <w:sz w:val="24"/>
          <w:szCs w:val="24"/>
          <w:lang w:eastAsia="hr-HR"/>
        </w:rPr>
      </w:pPr>
    </w:p>
    <w:p w14:paraId="1270D41A" w14:textId="0EF52DBB" w:rsidR="00C643F4" w:rsidRPr="000479E9" w:rsidRDefault="00C643F4" w:rsidP="00483C20">
      <w:pPr>
        <w:spacing w:after="0" w:line="240" w:lineRule="auto"/>
        <w:jc w:val="both"/>
        <w:rPr>
          <w:rFonts w:ascii="Times New Roman" w:eastAsia="Times New Roman" w:hAnsi="Times New Roman" w:cs="Times New Roman"/>
          <w:sz w:val="24"/>
          <w:szCs w:val="24"/>
          <w:lang w:val="en-US" w:eastAsia="hr-HR"/>
        </w:rPr>
      </w:pPr>
      <w:r w:rsidRPr="000479E9">
        <w:rPr>
          <w:rFonts w:ascii="Times New Roman" w:eastAsia="Times New Roman" w:hAnsi="Times New Roman" w:cs="Times New Roman"/>
          <w:sz w:val="24"/>
          <w:szCs w:val="24"/>
          <w:lang w:eastAsia="hr-HR"/>
        </w:rPr>
        <w:t>Dosadašnji stavak 8. postaje stavak 10.</w:t>
      </w:r>
    </w:p>
    <w:p w14:paraId="716B308E" w14:textId="77777777" w:rsidR="00C643F4" w:rsidRPr="000479E9" w:rsidRDefault="00C643F4" w:rsidP="00483C20">
      <w:pPr>
        <w:spacing w:after="0" w:line="240" w:lineRule="auto"/>
        <w:rPr>
          <w:rFonts w:ascii="Times New Roman" w:eastAsia="Times New Roman" w:hAnsi="Times New Roman" w:cs="Times New Roman"/>
          <w:sz w:val="24"/>
          <w:szCs w:val="24"/>
          <w:lang w:eastAsia="hr-HR"/>
        </w:rPr>
      </w:pPr>
    </w:p>
    <w:p w14:paraId="52749956" w14:textId="77777777" w:rsidR="00486CA1" w:rsidRPr="000479E9" w:rsidRDefault="00486CA1" w:rsidP="007E2A01">
      <w:pPr>
        <w:spacing w:after="0" w:line="240" w:lineRule="auto"/>
        <w:jc w:val="center"/>
        <w:rPr>
          <w:rFonts w:ascii="Times New Roman" w:eastAsia="Times New Roman" w:hAnsi="Times New Roman" w:cs="Times New Roman"/>
          <w:b/>
          <w:sz w:val="24"/>
          <w:szCs w:val="24"/>
          <w:lang w:eastAsia="hr-HR"/>
        </w:rPr>
      </w:pPr>
    </w:p>
    <w:p w14:paraId="31357FA9" w14:textId="46FF6CB6" w:rsidR="007E2A01" w:rsidRPr="000479E9" w:rsidRDefault="007E2A01" w:rsidP="007E2A01">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486CA1" w:rsidRPr="000479E9">
        <w:rPr>
          <w:rFonts w:ascii="Times New Roman" w:eastAsia="Times New Roman" w:hAnsi="Times New Roman" w:cs="Times New Roman"/>
          <w:b/>
          <w:sz w:val="24"/>
          <w:szCs w:val="24"/>
          <w:lang w:eastAsia="hr-HR"/>
        </w:rPr>
        <w:t>7</w:t>
      </w:r>
      <w:r w:rsidR="0042180F"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w:t>
      </w:r>
    </w:p>
    <w:p w14:paraId="16DF8AB3" w14:textId="18D8C5A7" w:rsidR="007E2A01" w:rsidRPr="000479E9" w:rsidRDefault="007E2A01" w:rsidP="007E2A01">
      <w:pPr>
        <w:spacing w:after="0" w:line="240" w:lineRule="auto"/>
        <w:rPr>
          <w:rFonts w:ascii="Times New Roman" w:eastAsia="Times New Roman" w:hAnsi="Times New Roman" w:cs="Times New Roman"/>
          <w:b/>
          <w:bCs/>
          <w:sz w:val="24"/>
          <w:szCs w:val="24"/>
          <w:lang w:eastAsia="hr-HR"/>
        </w:rPr>
      </w:pPr>
    </w:p>
    <w:p w14:paraId="49DAD162" w14:textId="1AB28150" w:rsidR="00E239F7" w:rsidRPr="000479E9" w:rsidRDefault="00E239F7" w:rsidP="007E2A01">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551. stavku 2. riječi: „i 566.a“ brišu se.</w:t>
      </w:r>
    </w:p>
    <w:p w14:paraId="021CA3E6" w14:textId="77777777" w:rsidR="00E239F7" w:rsidRPr="000479E9" w:rsidRDefault="00E239F7" w:rsidP="007E2A01">
      <w:pPr>
        <w:spacing w:after="0" w:line="240" w:lineRule="auto"/>
        <w:rPr>
          <w:rFonts w:ascii="Times New Roman" w:eastAsia="Times New Roman" w:hAnsi="Times New Roman" w:cs="Times New Roman"/>
          <w:sz w:val="24"/>
          <w:szCs w:val="24"/>
          <w:lang w:eastAsia="hr-HR"/>
        </w:rPr>
      </w:pPr>
    </w:p>
    <w:p w14:paraId="1CA62E46" w14:textId="2E49E6AF" w:rsidR="007E2A01" w:rsidRPr="000479E9" w:rsidRDefault="007E2A01" w:rsidP="007E2A01">
      <w:pPr>
        <w:spacing w:after="0" w:line="240" w:lineRule="auto"/>
        <w:rPr>
          <w:rFonts w:ascii="Times New Roman" w:eastAsia="Times New Roman" w:hAnsi="Times New Roman" w:cs="Times New Roman"/>
          <w:sz w:val="24"/>
          <w:szCs w:val="24"/>
          <w:lang w:eastAsia="hr-HR"/>
        </w:rPr>
      </w:pPr>
    </w:p>
    <w:p w14:paraId="64238457" w14:textId="4FFA60C0" w:rsidR="007E2A01" w:rsidRPr="000479E9" w:rsidRDefault="007E2A01" w:rsidP="007E2A01">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486CA1" w:rsidRPr="000479E9">
        <w:rPr>
          <w:rFonts w:ascii="Times New Roman" w:eastAsia="Times New Roman" w:hAnsi="Times New Roman" w:cs="Times New Roman"/>
          <w:b/>
          <w:bCs/>
          <w:sz w:val="24"/>
          <w:szCs w:val="24"/>
          <w:lang w:eastAsia="hr-HR"/>
        </w:rPr>
        <w:t>7</w:t>
      </w:r>
      <w:r w:rsidR="0042180F" w:rsidRPr="000479E9">
        <w:rPr>
          <w:rFonts w:ascii="Times New Roman" w:eastAsia="Times New Roman" w:hAnsi="Times New Roman" w:cs="Times New Roman"/>
          <w:b/>
          <w:bCs/>
          <w:sz w:val="24"/>
          <w:szCs w:val="24"/>
          <w:lang w:eastAsia="hr-HR"/>
        </w:rPr>
        <w:t>7</w:t>
      </w:r>
      <w:r w:rsidRPr="000479E9">
        <w:rPr>
          <w:rFonts w:ascii="Times New Roman" w:eastAsia="Times New Roman" w:hAnsi="Times New Roman" w:cs="Times New Roman"/>
          <w:b/>
          <w:bCs/>
          <w:sz w:val="24"/>
          <w:szCs w:val="24"/>
          <w:lang w:eastAsia="hr-HR"/>
        </w:rPr>
        <w:t xml:space="preserve">. </w:t>
      </w:r>
    </w:p>
    <w:p w14:paraId="45E5AF96" w14:textId="178DEA42" w:rsidR="007E2A01" w:rsidRPr="000479E9" w:rsidRDefault="007E2A01" w:rsidP="007E2A01">
      <w:pPr>
        <w:spacing w:after="0" w:line="240" w:lineRule="auto"/>
        <w:rPr>
          <w:rFonts w:ascii="Times New Roman" w:eastAsia="Times New Roman" w:hAnsi="Times New Roman" w:cs="Times New Roman"/>
          <w:b/>
          <w:bCs/>
          <w:sz w:val="24"/>
          <w:szCs w:val="24"/>
          <w:lang w:eastAsia="hr-HR"/>
        </w:rPr>
      </w:pPr>
    </w:p>
    <w:p w14:paraId="3D895F89" w14:textId="77777777" w:rsidR="00E239F7" w:rsidRPr="000479E9" w:rsidRDefault="00E239F7" w:rsidP="00E239F7">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i članak 553. brišu se.</w:t>
      </w:r>
    </w:p>
    <w:p w14:paraId="3A609482" w14:textId="77777777" w:rsidR="007E2A01" w:rsidRPr="000479E9" w:rsidRDefault="007E2A01" w:rsidP="007E2A01">
      <w:pPr>
        <w:spacing w:after="0" w:line="240" w:lineRule="auto"/>
        <w:rPr>
          <w:rFonts w:ascii="Times New Roman" w:eastAsia="Times New Roman" w:hAnsi="Times New Roman" w:cs="Times New Roman"/>
          <w:b/>
          <w:bCs/>
          <w:sz w:val="24"/>
          <w:szCs w:val="24"/>
          <w:lang w:eastAsia="hr-HR"/>
        </w:rPr>
      </w:pPr>
    </w:p>
    <w:p w14:paraId="47FB7C51" w14:textId="77777777" w:rsidR="007E2A01" w:rsidRPr="000479E9" w:rsidRDefault="007E2A01" w:rsidP="00617A00">
      <w:pPr>
        <w:spacing w:after="0" w:line="240" w:lineRule="auto"/>
        <w:jc w:val="center"/>
        <w:rPr>
          <w:rFonts w:ascii="Times New Roman" w:eastAsia="Times New Roman" w:hAnsi="Times New Roman" w:cs="Times New Roman"/>
          <w:b/>
          <w:bCs/>
          <w:sz w:val="24"/>
          <w:szCs w:val="24"/>
          <w:lang w:eastAsia="hr-HR"/>
        </w:rPr>
      </w:pPr>
    </w:p>
    <w:p w14:paraId="0B565B33" w14:textId="535E8F66" w:rsidR="002D20F6" w:rsidRPr="000479E9" w:rsidRDefault="00976FD8"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486CA1" w:rsidRPr="000479E9">
        <w:rPr>
          <w:rFonts w:ascii="Times New Roman" w:eastAsia="Times New Roman" w:hAnsi="Times New Roman" w:cs="Times New Roman"/>
          <w:b/>
          <w:bCs/>
          <w:sz w:val="24"/>
          <w:szCs w:val="24"/>
          <w:lang w:eastAsia="hr-HR"/>
        </w:rPr>
        <w:t>7</w:t>
      </w:r>
      <w:r w:rsidR="0042180F" w:rsidRPr="000479E9">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 xml:space="preserve">. </w:t>
      </w:r>
    </w:p>
    <w:p w14:paraId="3DF4FEB4" w14:textId="7ADC169B" w:rsidR="00976FD8" w:rsidRPr="000479E9" w:rsidRDefault="00976FD8" w:rsidP="00976FD8">
      <w:pPr>
        <w:spacing w:after="0" w:line="240" w:lineRule="auto"/>
        <w:rPr>
          <w:rFonts w:ascii="Times New Roman" w:eastAsia="Times New Roman" w:hAnsi="Times New Roman" w:cs="Times New Roman"/>
          <w:b/>
          <w:bCs/>
          <w:sz w:val="24"/>
          <w:szCs w:val="24"/>
          <w:lang w:eastAsia="hr-HR"/>
        </w:rPr>
      </w:pPr>
    </w:p>
    <w:p w14:paraId="685C22A1" w14:textId="069B2E13" w:rsidR="00976FD8" w:rsidRPr="000479E9" w:rsidRDefault="00976FD8" w:rsidP="00976FD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554. mijenja se i glasi:</w:t>
      </w:r>
    </w:p>
    <w:p w14:paraId="0A434A19" w14:textId="527E6797" w:rsidR="00976FD8" w:rsidRPr="000479E9" w:rsidRDefault="00976FD8" w:rsidP="00976FD8">
      <w:pPr>
        <w:spacing w:after="0" w:line="240" w:lineRule="auto"/>
        <w:rPr>
          <w:rFonts w:ascii="Times New Roman" w:eastAsia="Times New Roman" w:hAnsi="Times New Roman" w:cs="Times New Roman"/>
          <w:sz w:val="24"/>
          <w:szCs w:val="24"/>
          <w:lang w:eastAsia="hr-HR"/>
        </w:rPr>
      </w:pPr>
    </w:p>
    <w:p w14:paraId="1AE7E0D4" w14:textId="17196099" w:rsidR="00976FD8" w:rsidRPr="000479E9" w:rsidRDefault="00976FD8" w:rsidP="004B45B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 xml:space="preserve">„(1) Agencija može središnjoj drugoj ugovornoj strani naložiti da poduzme odgovarajuće mjere za poboljšanje adekvatnosti vlastitih sredstava i likvidnosti, a u skladu s odredbama članka 18. Uredbe (EU) br. 2021/23.  </w:t>
      </w:r>
    </w:p>
    <w:p w14:paraId="4CA8E707" w14:textId="77777777" w:rsidR="00976FD8" w:rsidRPr="000479E9" w:rsidRDefault="00976FD8" w:rsidP="004B45B4">
      <w:pPr>
        <w:spacing w:after="0" w:line="240" w:lineRule="auto"/>
        <w:jc w:val="both"/>
        <w:rPr>
          <w:rFonts w:ascii="Times New Roman" w:eastAsia="Times New Roman" w:hAnsi="Times New Roman" w:cs="Times New Roman"/>
          <w:sz w:val="24"/>
          <w:szCs w:val="24"/>
          <w:lang w:eastAsia="hr-HR"/>
        </w:rPr>
      </w:pPr>
    </w:p>
    <w:p w14:paraId="06B3D25C" w14:textId="38E7AAB6" w:rsidR="00976FD8" w:rsidRPr="000479E9" w:rsidRDefault="00976FD8" w:rsidP="004B45B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U </w:t>
      </w:r>
      <w:r w:rsidR="006E7DA7" w:rsidRPr="000479E9">
        <w:rPr>
          <w:rFonts w:ascii="Times New Roman" w:eastAsia="Times New Roman" w:hAnsi="Times New Roman" w:cs="Times New Roman"/>
          <w:sz w:val="24"/>
          <w:szCs w:val="24"/>
          <w:lang w:eastAsia="hr-HR"/>
        </w:rPr>
        <w:t xml:space="preserve">smislu </w:t>
      </w:r>
      <w:r w:rsidRPr="000479E9">
        <w:rPr>
          <w:rFonts w:ascii="Times New Roman" w:eastAsia="Times New Roman" w:hAnsi="Times New Roman" w:cs="Times New Roman"/>
          <w:sz w:val="24"/>
          <w:szCs w:val="24"/>
          <w:lang w:eastAsia="hr-HR"/>
        </w:rPr>
        <w:t xml:space="preserve">odredbi članka 18. Uredbe (EU) br. 2021/23, uz pokazatelje koji su navedeni u Smjernicama ESMA-e iz članka 18. stavka 8. Uredbe (EU) br. 2021/23, </w:t>
      </w:r>
      <w:r w:rsidR="404F3F8D" w:rsidRPr="000479E9">
        <w:rPr>
          <w:rFonts w:ascii="Times New Roman" w:eastAsia="Times New Roman" w:hAnsi="Times New Roman" w:cs="Times New Roman"/>
          <w:sz w:val="24"/>
          <w:szCs w:val="24"/>
          <w:lang w:eastAsia="hr-HR"/>
        </w:rPr>
        <w:t xml:space="preserve">Agencija </w:t>
      </w:r>
      <w:r w:rsidRPr="000479E9">
        <w:rPr>
          <w:rFonts w:ascii="Times New Roman" w:eastAsia="Times New Roman" w:hAnsi="Times New Roman" w:cs="Times New Roman"/>
          <w:sz w:val="24"/>
          <w:szCs w:val="24"/>
          <w:lang w:eastAsia="hr-HR"/>
        </w:rPr>
        <w:t>posebno ocjenjuje i druge okolnosti, kao i pokazatelje trenda iz stavka 3. ovoga članka</w:t>
      </w:r>
      <w:r w:rsidR="00C65E25"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   </w:t>
      </w:r>
    </w:p>
    <w:p w14:paraId="3B99CC98" w14:textId="77777777" w:rsidR="00976FD8" w:rsidRPr="000479E9" w:rsidRDefault="00976FD8" w:rsidP="004B45B4">
      <w:pPr>
        <w:spacing w:after="0" w:line="240" w:lineRule="auto"/>
        <w:jc w:val="both"/>
        <w:rPr>
          <w:rFonts w:ascii="Times New Roman" w:eastAsia="Times New Roman" w:hAnsi="Times New Roman" w:cs="Times New Roman"/>
          <w:sz w:val="24"/>
          <w:szCs w:val="24"/>
          <w:lang w:eastAsia="hr-HR"/>
        </w:rPr>
      </w:pPr>
    </w:p>
    <w:p w14:paraId="3A546B49" w14:textId="6DB01A3D" w:rsidR="000C2519" w:rsidRPr="000479E9" w:rsidRDefault="00976FD8" w:rsidP="004B45B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Kada Agencija razmatra okolnosti iz stavka 2. ovoga članka, procjenjuje ih u odnosu na mogućnost njihova utjecaja na financijsku stabilnost središnje druge ugovorne strane ili na stabilnost sustava poravnanja kojim središnja druga stran</w:t>
      </w:r>
      <w:r w:rsidR="0092769C"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upravlja. </w:t>
      </w:r>
    </w:p>
    <w:p w14:paraId="13E1E8B0" w14:textId="77777777" w:rsidR="000C2519" w:rsidRPr="000479E9" w:rsidRDefault="000C2519" w:rsidP="004B45B4">
      <w:pPr>
        <w:spacing w:after="0" w:line="240" w:lineRule="auto"/>
        <w:jc w:val="both"/>
        <w:rPr>
          <w:rFonts w:ascii="Times New Roman" w:eastAsia="Times New Roman" w:hAnsi="Times New Roman" w:cs="Times New Roman"/>
          <w:sz w:val="24"/>
          <w:szCs w:val="24"/>
          <w:lang w:eastAsia="hr-HR"/>
        </w:rPr>
      </w:pPr>
    </w:p>
    <w:p w14:paraId="164AAD67" w14:textId="2A8CC988" w:rsidR="00976FD8" w:rsidRPr="000479E9" w:rsidRDefault="000C2519" w:rsidP="004B45B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(4) </w:t>
      </w:r>
      <w:r w:rsidR="00976FD8" w:rsidRPr="000479E9">
        <w:rPr>
          <w:rFonts w:ascii="Times New Roman" w:eastAsia="Times New Roman" w:hAnsi="Times New Roman" w:cs="Times New Roman"/>
          <w:sz w:val="24"/>
          <w:szCs w:val="24"/>
          <w:lang w:eastAsia="hr-HR"/>
        </w:rPr>
        <w:t xml:space="preserve">Agencija procjenjuje u kojem stupnju pokazatelji iz stavka 2. ovoga članka predstavljaju trend koji može ugroziti financijsku stabilnost središnje druge ugovorne strane ili stabilnost sustava poravnanja kojim središnja druga ugovorna strana upravlja.   </w:t>
      </w:r>
    </w:p>
    <w:p w14:paraId="49EAF526" w14:textId="77777777" w:rsidR="00976FD8" w:rsidRPr="000479E9" w:rsidRDefault="00976FD8" w:rsidP="004B45B4">
      <w:pPr>
        <w:spacing w:after="0" w:line="240" w:lineRule="auto"/>
        <w:jc w:val="both"/>
        <w:rPr>
          <w:rFonts w:ascii="Times New Roman" w:eastAsia="Times New Roman" w:hAnsi="Times New Roman" w:cs="Times New Roman"/>
          <w:sz w:val="24"/>
          <w:szCs w:val="24"/>
          <w:lang w:eastAsia="hr-HR"/>
        </w:rPr>
      </w:pPr>
    </w:p>
    <w:p w14:paraId="5658E2C5" w14:textId="761C2FD5" w:rsidR="00976FD8" w:rsidRPr="000479E9" w:rsidRDefault="00976FD8" w:rsidP="004B45B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0C2519"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xml:space="preserve">) Agencija pravilnikom detaljnije propisuje </w:t>
      </w:r>
      <w:r w:rsidR="005E0C20" w:rsidRPr="000479E9">
        <w:rPr>
          <w:rFonts w:ascii="Times New Roman" w:eastAsia="Times New Roman" w:hAnsi="Times New Roman" w:cs="Times New Roman"/>
          <w:sz w:val="24"/>
          <w:szCs w:val="24"/>
          <w:lang w:eastAsia="hr-HR"/>
        </w:rPr>
        <w:t xml:space="preserve">koje </w:t>
      </w:r>
      <w:r w:rsidRPr="000479E9">
        <w:rPr>
          <w:rFonts w:ascii="Times New Roman" w:eastAsia="Times New Roman" w:hAnsi="Times New Roman" w:cs="Times New Roman"/>
          <w:sz w:val="24"/>
          <w:szCs w:val="24"/>
          <w:lang w:eastAsia="hr-HR"/>
        </w:rPr>
        <w:t>okolnosti iz stavka 2. i na koji način procjenjuje, kao i pokazatelje trenda iz stavka 3. ovoga članka.“</w:t>
      </w:r>
      <w:r w:rsidR="004C493F" w:rsidRPr="000479E9">
        <w:rPr>
          <w:rFonts w:ascii="Times New Roman" w:eastAsia="Times New Roman" w:hAnsi="Times New Roman" w:cs="Times New Roman"/>
          <w:sz w:val="24"/>
          <w:szCs w:val="24"/>
          <w:lang w:eastAsia="hr-HR"/>
        </w:rPr>
        <w:t>.</w:t>
      </w:r>
    </w:p>
    <w:p w14:paraId="01374D3A" w14:textId="77777777" w:rsidR="002D20F6" w:rsidRPr="000479E9" w:rsidRDefault="002D20F6" w:rsidP="004B45B4">
      <w:pPr>
        <w:spacing w:after="0" w:line="240" w:lineRule="auto"/>
        <w:jc w:val="both"/>
        <w:rPr>
          <w:rFonts w:ascii="Times New Roman" w:eastAsia="Times New Roman" w:hAnsi="Times New Roman" w:cs="Times New Roman"/>
          <w:b/>
          <w:bCs/>
          <w:sz w:val="24"/>
          <w:szCs w:val="24"/>
          <w:lang w:eastAsia="hr-HR"/>
        </w:rPr>
      </w:pPr>
    </w:p>
    <w:p w14:paraId="387830E9" w14:textId="77777777" w:rsidR="00494F66" w:rsidRPr="000479E9" w:rsidRDefault="00494F66" w:rsidP="00494F66">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Članak 79.</w:t>
      </w:r>
    </w:p>
    <w:p w14:paraId="75F92EDC" w14:textId="77777777" w:rsidR="00494F66" w:rsidRPr="000479E9" w:rsidRDefault="00494F66" w:rsidP="00494F66">
      <w:pPr>
        <w:spacing w:after="0" w:line="240" w:lineRule="auto"/>
        <w:jc w:val="center"/>
        <w:rPr>
          <w:rFonts w:ascii="Times New Roman" w:eastAsia="Times New Roman" w:hAnsi="Times New Roman" w:cs="Times New Roman"/>
          <w:b/>
          <w:sz w:val="24"/>
          <w:szCs w:val="24"/>
          <w:lang w:eastAsia="hr-HR"/>
        </w:rPr>
      </w:pPr>
    </w:p>
    <w:p w14:paraId="5D0A801A" w14:textId="7387B46A" w:rsidR="00486CA1" w:rsidRPr="000479E9" w:rsidRDefault="00494F66" w:rsidP="000479E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557. stavku 1. riječi: „članka 544. stavka 1., članka 545.,“ brišu se.</w:t>
      </w:r>
    </w:p>
    <w:p w14:paraId="4D88C953" w14:textId="77777777" w:rsidR="00494F66" w:rsidRPr="000479E9" w:rsidRDefault="00494F66" w:rsidP="00617A00">
      <w:pPr>
        <w:spacing w:after="0" w:line="240" w:lineRule="auto"/>
        <w:jc w:val="center"/>
        <w:rPr>
          <w:rFonts w:ascii="Times New Roman" w:eastAsia="Times New Roman" w:hAnsi="Times New Roman" w:cs="Times New Roman"/>
          <w:b/>
          <w:sz w:val="24"/>
          <w:szCs w:val="24"/>
          <w:lang w:eastAsia="hr-HR"/>
        </w:rPr>
      </w:pPr>
    </w:p>
    <w:p w14:paraId="10788E1D" w14:textId="400ECC55" w:rsidR="002A7D2B" w:rsidRPr="000479E9" w:rsidRDefault="002A7D2B"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494F66" w:rsidRPr="000479E9">
        <w:rPr>
          <w:rFonts w:ascii="Times New Roman" w:eastAsia="Times New Roman" w:hAnsi="Times New Roman" w:cs="Times New Roman"/>
          <w:b/>
          <w:sz w:val="24"/>
          <w:szCs w:val="24"/>
          <w:lang w:eastAsia="hr-HR"/>
        </w:rPr>
        <w:t>80</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40C62923" w14:textId="0D24F324" w:rsidR="002A7D2B" w:rsidRPr="000479E9" w:rsidRDefault="002A7D2B" w:rsidP="002A7D2B">
      <w:pPr>
        <w:spacing w:after="0" w:line="240" w:lineRule="auto"/>
        <w:rPr>
          <w:rFonts w:ascii="Times New Roman" w:eastAsia="Times New Roman" w:hAnsi="Times New Roman" w:cs="Times New Roman"/>
          <w:b/>
          <w:bCs/>
          <w:sz w:val="24"/>
          <w:szCs w:val="24"/>
          <w:lang w:eastAsia="hr-HR"/>
        </w:rPr>
      </w:pPr>
    </w:p>
    <w:p w14:paraId="5D90743C" w14:textId="4DD63CF8" w:rsidR="002A7D2B" w:rsidRPr="000479E9" w:rsidRDefault="002A7D2B" w:rsidP="002A7D2B">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566. mijenja se i glasi: </w:t>
      </w:r>
    </w:p>
    <w:p w14:paraId="2EEDD6C1" w14:textId="755469B9" w:rsidR="00D915C8" w:rsidRPr="000479E9" w:rsidRDefault="00D915C8" w:rsidP="002A7D2B">
      <w:pPr>
        <w:spacing w:after="0" w:line="240" w:lineRule="auto"/>
        <w:rPr>
          <w:rFonts w:ascii="Times New Roman" w:eastAsia="Times New Roman" w:hAnsi="Times New Roman" w:cs="Times New Roman"/>
          <w:sz w:val="24"/>
          <w:szCs w:val="24"/>
          <w:lang w:eastAsia="hr-HR"/>
        </w:rPr>
      </w:pPr>
    </w:p>
    <w:p w14:paraId="218EFAA5" w14:textId="613B174E" w:rsidR="00D915C8" w:rsidRPr="000479E9" w:rsidRDefault="00D915C8" w:rsidP="00D915C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Središnji depozitorij dužan je donijeti i primjenjivati operativna pravila rada kojima detaljno određuje i pojašnjava način obavljanja usluga koje pruža. </w:t>
      </w:r>
    </w:p>
    <w:p w14:paraId="32F9E64D" w14:textId="77777777" w:rsidR="004C493F" w:rsidRPr="000479E9" w:rsidRDefault="004C493F" w:rsidP="00D915C8">
      <w:pPr>
        <w:spacing w:after="0" w:line="240" w:lineRule="auto"/>
        <w:jc w:val="both"/>
        <w:rPr>
          <w:rFonts w:ascii="Times New Roman" w:eastAsia="Times New Roman" w:hAnsi="Times New Roman" w:cs="Times New Roman"/>
          <w:sz w:val="24"/>
          <w:szCs w:val="24"/>
          <w:lang w:eastAsia="hr-HR"/>
        </w:rPr>
      </w:pPr>
    </w:p>
    <w:p w14:paraId="2FECBB16" w14:textId="555E37C7" w:rsidR="00D915C8" w:rsidRPr="000479E9" w:rsidRDefault="00D915C8" w:rsidP="00D915C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Prijedlog operativnih pravila rada središnjeg depozitorija sa sjedištem u Republici Hrvatskoj, kao i njihovih izmjena i dopuna, zajedno sa sažetim i jasnim obrazloženjem svrhe predloženih odredbi ili izmjena i dopuna odredbi operativnih pravila rada, središnji depozitorij će učiniti dostupnim svim članovima </w:t>
      </w:r>
      <w:r w:rsidR="3EB88D57" w:rsidRPr="000479E9">
        <w:rPr>
          <w:rFonts w:ascii="Times New Roman" w:eastAsia="Times New Roman" w:hAnsi="Times New Roman" w:cs="Times New Roman"/>
          <w:sz w:val="24"/>
          <w:szCs w:val="24"/>
          <w:lang w:eastAsia="hr-HR"/>
        </w:rPr>
        <w:t xml:space="preserve">i Agenciji </w:t>
      </w:r>
      <w:r w:rsidRPr="000479E9">
        <w:rPr>
          <w:rFonts w:ascii="Times New Roman" w:eastAsia="Times New Roman" w:hAnsi="Times New Roman" w:cs="Times New Roman"/>
          <w:sz w:val="24"/>
          <w:szCs w:val="24"/>
          <w:lang w:eastAsia="hr-HR"/>
        </w:rPr>
        <w:t>najkasnije 15 dana prije njihova usvajanja, a pri čemu je središnji depozitorij dužan članove pozvati na dostavu primjedbi i prijedloga te, ako je moguće, prihvatiti primjedbe i prijedloge članova, uz obrazloženje prihvaćenih i odbijenih primjedaba i prijedloga.</w:t>
      </w:r>
    </w:p>
    <w:p w14:paraId="053240C5" w14:textId="2D2AD60E" w:rsidR="00D915C8" w:rsidRPr="000479E9" w:rsidRDefault="00D915C8" w:rsidP="00D915C8">
      <w:pPr>
        <w:spacing w:after="0" w:line="240" w:lineRule="auto"/>
        <w:jc w:val="both"/>
        <w:rPr>
          <w:rFonts w:ascii="Times New Roman" w:eastAsia="Times New Roman" w:hAnsi="Times New Roman" w:cs="Times New Roman"/>
          <w:sz w:val="24"/>
          <w:szCs w:val="24"/>
          <w:lang w:eastAsia="hr-HR"/>
        </w:rPr>
      </w:pPr>
    </w:p>
    <w:p w14:paraId="73EB7B36" w14:textId="27D2088B" w:rsidR="00D915C8" w:rsidRPr="000479E9" w:rsidRDefault="00D915C8" w:rsidP="00D915C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Ako je to potrebno radi očuvanja stabilnosti sustava namire i financijskog tržišta, središnji depozitorij sa sjedištem u Republici Hrvatskoj može skratiti razdoblje sa</w:t>
      </w:r>
      <w:r w:rsidRPr="000479E9">
        <w:rPr>
          <w:rFonts w:ascii="Times New Roman" w:eastAsia="Times New Roman" w:hAnsi="Times New Roman" w:cs="Times New Roman"/>
          <w:sz w:val="24"/>
          <w:szCs w:val="24"/>
          <w:lang w:eastAsia="hr-HR"/>
        </w:rPr>
        <w:lastRenderedPageBreak/>
        <w:t>vjetovanja s članovima iz stavka 2. ovoga članka, pri čemu je središnji depozitorij dužan Agenciji obrazložiti iz kojih razloga je usvajanje izmjena hitno i nužno radi očuvanja stabilnosti sustava namire i financijskog tržišta. </w:t>
      </w:r>
    </w:p>
    <w:p w14:paraId="3F9E9643" w14:textId="77777777" w:rsidR="00D915C8" w:rsidRPr="000479E9" w:rsidRDefault="00D915C8" w:rsidP="00D915C8">
      <w:pPr>
        <w:spacing w:after="0" w:line="240" w:lineRule="auto"/>
        <w:jc w:val="both"/>
        <w:rPr>
          <w:rFonts w:ascii="Times New Roman" w:eastAsia="Times New Roman" w:hAnsi="Times New Roman" w:cs="Times New Roman"/>
          <w:sz w:val="24"/>
          <w:szCs w:val="24"/>
          <w:lang w:eastAsia="hr-HR"/>
        </w:rPr>
      </w:pPr>
    </w:p>
    <w:p w14:paraId="744B6167" w14:textId="77777777" w:rsidR="0005762C" w:rsidRPr="000479E9" w:rsidRDefault="00D915C8" w:rsidP="00D915C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Agencija može od središnjeg depozitorija sa sjedištem u Republici Hrvatskoj zatražiti izmjene prijedloga promjene operativnih pravila rada, ako je isto potrebno da bi se osiguralo da su operativna pravila rada usklađena s odredbama Uredbe (EU) br. 909/2014 i ovoga Zakona.</w:t>
      </w:r>
    </w:p>
    <w:p w14:paraId="39E4A250" w14:textId="77777777" w:rsidR="0005762C" w:rsidRPr="000479E9" w:rsidRDefault="0005762C" w:rsidP="00D915C8">
      <w:pPr>
        <w:spacing w:after="0" w:line="240" w:lineRule="auto"/>
        <w:jc w:val="both"/>
        <w:rPr>
          <w:rFonts w:ascii="Times New Roman" w:eastAsia="Times New Roman" w:hAnsi="Times New Roman" w:cs="Times New Roman"/>
          <w:sz w:val="24"/>
          <w:szCs w:val="24"/>
          <w:lang w:eastAsia="hr-HR"/>
        </w:rPr>
      </w:pPr>
    </w:p>
    <w:p w14:paraId="184859FD" w14:textId="12C1BCD6" w:rsidR="00D915C8" w:rsidRPr="000479E9" w:rsidRDefault="00804F82" w:rsidP="00D915C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(5) </w:t>
      </w:r>
      <w:r w:rsidR="00D915C8" w:rsidRPr="000479E9">
        <w:rPr>
          <w:rFonts w:ascii="Times New Roman" w:eastAsia="Times New Roman" w:hAnsi="Times New Roman" w:cs="Times New Roman"/>
          <w:sz w:val="24"/>
          <w:szCs w:val="24"/>
          <w:lang w:eastAsia="hr-HR"/>
        </w:rPr>
        <w:t>Ako središnji depozitorij ne usvoji</w:t>
      </w:r>
      <w:r w:rsidRPr="000479E9">
        <w:rPr>
          <w:rFonts w:ascii="Times New Roman" w:eastAsia="Times New Roman" w:hAnsi="Times New Roman" w:cs="Times New Roman"/>
          <w:sz w:val="24"/>
          <w:szCs w:val="24"/>
          <w:lang w:eastAsia="hr-HR"/>
        </w:rPr>
        <w:t xml:space="preserve"> izmjene iz stavka 4. ovoga članka</w:t>
      </w:r>
      <w:r w:rsidR="00D915C8" w:rsidRPr="000479E9">
        <w:rPr>
          <w:rFonts w:ascii="Times New Roman" w:eastAsia="Times New Roman" w:hAnsi="Times New Roman" w:cs="Times New Roman"/>
          <w:sz w:val="24"/>
          <w:szCs w:val="24"/>
          <w:lang w:eastAsia="hr-HR"/>
        </w:rPr>
        <w:t>, Agencija rješenjem može naložiti njihovo usvajanje. </w:t>
      </w:r>
    </w:p>
    <w:p w14:paraId="681C68FC" w14:textId="24F46EE7" w:rsidR="005E0C20" w:rsidRPr="000479E9" w:rsidRDefault="005E0C20" w:rsidP="00D915C8">
      <w:pPr>
        <w:spacing w:after="0" w:line="240" w:lineRule="auto"/>
        <w:jc w:val="both"/>
        <w:rPr>
          <w:rFonts w:ascii="Times New Roman" w:eastAsia="Times New Roman" w:hAnsi="Times New Roman" w:cs="Times New Roman"/>
          <w:sz w:val="24"/>
          <w:szCs w:val="24"/>
          <w:lang w:eastAsia="hr-HR"/>
        </w:rPr>
      </w:pPr>
    </w:p>
    <w:p w14:paraId="6FA2ADE4" w14:textId="6F42ADB8" w:rsidR="005E0C20" w:rsidRPr="000479E9" w:rsidRDefault="005E0C20" w:rsidP="005E0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804F82" w:rsidRPr="000479E9">
        <w:rPr>
          <w:rFonts w:ascii="Times New Roman" w:eastAsia="Times New Roman" w:hAnsi="Times New Roman" w:cs="Times New Roman"/>
          <w:sz w:val="24"/>
          <w:szCs w:val="24"/>
          <w:lang w:eastAsia="hr-HR"/>
        </w:rPr>
        <w:t>6</w:t>
      </w:r>
      <w:r w:rsidRPr="000479E9">
        <w:rPr>
          <w:rFonts w:ascii="Times New Roman" w:eastAsia="Times New Roman" w:hAnsi="Times New Roman" w:cs="Times New Roman"/>
          <w:sz w:val="24"/>
          <w:szCs w:val="24"/>
          <w:lang w:eastAsia="hr-HR"/>
        </w:rPr>
        <w:t xml:space="preserve">) Kada središnji depozitorij dostavlja operativna pravila rada ili njihove promjene Agenciji, dužan je najmanje dostaviti: </w:t>
      </w:r>
    </w:p>
    <w:p w14:paraId="4EF5F857" w14:textId="77777777" w:rsidR="005E0C20" w:rsidRPr="000479E9" w:rsidRDefault="005E0C20" w:rsidP="005E0C20">
      <w:pPr>
        <w:spacing w:after="0" w:line="240" w:lineRule="auto"/>
        <w:jc w:val="both"/>
        <w:rPr>
          <w:rFonts w:ascii="Times New Roman" w:eastAsia="Times New Roman" w:hAnsi="Times New Roman" w:cs="Times New Roman"/>
          <w:sz w:val="24"/>
          <w:szCs w:val="24"/>
          <w:lang w:eastAsia="hr-HR"/>
        </w:rPr>
      </w:pPr>
    </w:p>
    <w:p w14:paraId="4D450CD4" w14:textId="77777777" w:rsidR="005E0C20" w:rsidRPr="000479E9" w:rsidRDefault="005E0C20" w:rsidP="005E0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nacrt teksta operativnih pravila rada ili njihovih izmjena i dopuna, s tim da se, ako se radi o izmjenama i dopunama, dostavlja verzija u čistopisu i razlikovna verzija </w:t>
      </w:r>
    </w:p>
    <w:p w14:paraId="6D09F814" w14:textId="77777777" w:rsidR="005E0C20" w:rsidRPr="000479E9" w:rsidRDefault="005E0C20" w:rsidP="005E0C20">
      <w:pPr>
        <w:spacing w:after="0" w:line="240" w:lineRule="auto"/>
        <w:jc w:val="both"/>
        <w:rPr>
          <w:rFonts w:ascii="Times New Roman" w:eastAsia="Times New Roman" w:hAnsi="Times New Roman" w:cs="Times New Roman"/>
          <w:sz w:val="24"/>
          <w:szCs w:val="24"/>
          <w:lang w:eastAsia="hr-HR"/>
        </w:rPr>
      </w:pPr>
    </w:p>
    <w:p w14:paraId="504F6836" w14:textId="4C30AA6A" w:rsidR="005E0C20" w:rsidRPr="000479E9" w:rsidRDefault="005E0C20" w:rsidP="005E0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sažeta i jasna obrazloženja svrhe predloženih odredbi ili izmjena i dopuna odredbi operativnih pravila rada.</w:t>
      </w:r>
    </w:p>
    <w:p w14:paraId="4839AA82" w14:textId="77777777" w:rsidR="00D915C8" w:rsidRPr="000479E9" w:rsidRDefault="00D915C8" w:rsidP="00D915C8">
      <w:pPr>
        <w:spacing w:after="0" w:line="240" w:lineRule="auto"/>
        <w:jc w:val="both"/>
        <w:rPr>
          <w:rFonts w:ascii="Times New Roman" w:eastAsia="Times New Roman" w:hAnsi="Times New Roman" w:cs="Times New Roman"/>
          <w:sz w:val="24"/>
          <w:szCs w:val="24"/>
          <w:lang w:eastAsia="hr-HR"/>
        </w:rPr>
      </w:pPr>
    </w:p>
    <w:p w14:paraId="501228DB" w14:textId="2D761D0F" w:rsidR="00D915C8" w:rsidRPr="000479E9" w:rsidRDefault="00D915C8" w:rsidP="4E43D75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804F82" w:rsidRPr="000479E9">
        <w:rPr>
          <w:rFonts w:ascii="Times New Roman" w:eastAsia="Times New Roman" w:hAnsi="Times New Roman" w:cs="Times New Roman"/>
          <w:sz w:val="24"/>
          <w:szCs w:val="24"/>
          <w:lang w:eastAsia="hr-HR"/>
        </w:rPr>
        <w:t>7</w:t>
      </w:r>
      <w:r w:rsidRPr="000479E9">
        <w:rPr>
          <w:rFonts w:ascii="Times New Roman" w:eastAsia="Times New Roman" w:hAnsi="Times New Roman" w:cs="Times New Roman"/>
          <w:sz w:val="24"/>
          <w:szCs w:val="24"/>
          <w:lang w:eastAsia="hr-HR"/>
        </w:rPr>
        <w:t xml:space="preserve">) </w:t>
      </w:r>
      <w:r w:rsidR="7202F39D" w:rsidRPr="000479E9">
        <w:rPr>
          <w:rFonts w:ascii="Times New Roman" w:eastAsia="Times New Roman" w:hAnsi="Times New Roman" w:cs="Times New Roman"/>
          <w:sz w:val="24"/>
          <w:szCs w:val="24"/>
          <w:lang w:eastAsia="hr-HR"/>
        </w:rPr>
        <w:t>Središnji depozitorij je dužan objaviti operativna pravila na svojim internetskim stanicama najmanje sedam dana prije početka njihove primjene i u istom roku je o njihovom donošenju ili promjeni dužan obavijestiti Agenciju i korisnike svojih usluga</w:t>
      </w:r>
      <w:r w:rsidRPr="000479E9">
        <w:rPr>
          <w:rFonts w:ascii="Times New Roman" w:eastAsia="Times New Roman" w:hAnsi="Times New Roman" w:cs="Times New Roman"/>
          <w:sz w:val="24"/>
          <w:szCs w:val="24"/>
          <w:lang w:eastAsia="hr-HR"/>
        </w:rPr>
        <w:t>.“</w:t>
      </w:r>
      <w:r w:rsidR="004C493F" w:rsidRPr="000479E9">
        <w:rPr>
          <w:rFonts w:ascii="Times New Roman" w:eastAsia="Times New Roman" w:hAnsi="Times New Roman" w:cs="Times New Roman"/>
          <w:sz w:val="24"/>
          <w:szCs w:val="24"/>
          <w:lang w:eastAsia="hr-HR"/>
        </w:rPr>
        <w:t>.</w:t>
      </w:r>
    </w:p>
    <w:p w14:paraId="4268E694" w14:textId="77777777" w:rsidR="00D915C8" w:rsidRPr="000479E9" w:rsidRDefault="00D915C8" w:rsidP="002A7D2B">
      <w:pPr>
        <w:spacing w:after="0" w:line="240" w:lineRule="auto"/>
        <w:rPr>
          <w:rFonts w:ascii="Times New Roman" w:eastAsia="Times New Roman" w:hAnsi="Times New Roman" w:cs="Times New Roman"/>
          <w:sz w:val="24"/>
          <w:szCs w:val="24"/>
          <w:lang w:eastAsia="hr-HR"/>
        </w:rPr>
      </w:pPr>
    </w:p>
    <w:p w14:paraId="5AA7403C" w14:textId="327BC492" w:rsidR="002A7D2B" w:rsidRPr="000479E9" w:rsidRDefault="00D915C8" w:rsidP="00D915C8">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494F66" w:rsidRPr="000479E9">
        <w:rPr>
          <w:rFonts w:ascii="Times New Roman" w:eastAsia="Times New Roman" w:hAnsi="Times New Roman" w:cs="Times New Roman"/>
          <w:b/>
          <w:bCs/>
          <w:sz w:val="24"/>
          <w:szCs w:val="24"/>
          <w:lang w:eastAsia="hr-HR"/>
        </w:rPr>
        <w:t>81</w:t>
      </w:r>
      <w:r w:rsidRPr="000479E9">
        <w:rPr>
          <w:rFonts w:ascii="Times New Roman" w:eastAsia="Times New Roman" w:hAnsi="Times New Roman" w:cs="Times New Roman"/>
          <w:b/>
          <w:bCs/>
          <w:sz w:val="24"/>
          <w:szCs w:val="24"/>
          <w:lang w:eastAsia="hr-HR"/>
        </w:rPr>
        <w:t>.</w:t>
      </w:r>
    </w:p>
    <w:p w14:paraId="1927C786" w14:textId="5344F9ED" w:rsidR="002A7D2B" w:rsidRPr="000479E9" w:rsidRDefault="002A7D2B" w:rsidP="002A7D2B">
      <w:pPr>
        <w:spacing w:after="0" w:line="240" w:lineRule="auto"/>
        <w:rPr>
          <w:rFonts w:ascii="Times New Roman" w:eastAsia="Times New Roman" w:hAnsi="Times New Roman" w:cs="Times New Roman"/>
          <w:sz w:val="24"/>
          <w:szCs w:val="24"/>
          <w:lang w:eastAsia="hr-HR"/>
        </w:rPr>
      </w:pPr>
    </w:p>
    <w:p w14:paraId="1834E406" w14:textId="55D826C4" w:rsidR="00D915C8" w:rsidRPr="000479E9" w:rsidRDefault="00D915C8" w:rsidP="002A7D2B">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i članak 566.a brišu se.</w:t>
      </w:r>
    </w:p>
    <w:p w14:paraId="04D9A4D9" w14:textId="77777777" w:rsidR="008708CF" w:rsidRPr="000479E9" w:rsidRDefault="008708CF" w:rsidP="002A7D2B">
      <w:pPr>
        <w:spacing w:after="0" w:line="240" w:lineRule="auto"/>
        <w:rPr>
          <w:rFonts w:ascii="Times New Roman" w:eastAsia="Times New Roman" w:hAnsi="Times New Roman" w:cs="Times New Roman"/>
          <w:sz w:val="24"/>
          <w:szCs w:val="24"/>
          <w:lang w:eastAsia="hr-HR"/>
        </w:rPr>
      </w:pPr>
    </w:p>
    <w:p w14:paraId="036BD25B" w14:textId="58EAD1B7" w:rsidR="008708CF" w:rsidRPr="000479E9" w:rsidRDefault="008708CF" w:rsidP="00483C2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494F66" w:rsidRPr="000479E9">
        <w:rPr>
          <w:rFonts w:ascii="Times New Roman" w:eastAsia="Times New Roman" w:hAnsi="Times New Roman" w:cs="Times New Roman"/>
          <w:b/>
          <w:bCs/>
          <w:sz w:val="24"/>
          <w:szCs w:val="24"/>
          <w:lang w:eastAsia="hr-HR"/>
        </w:rPr>
        <w:t>82</w:t>
      </w:r>
      <w:r w:rsidRPr="000479E9">
        <w:rPr>
          <w:rFonts w:ascii="Times New Roman" w:eastAsia="Times New Roman" w:hAnsi="Times New Roman" w:cs="Times New Roman"/>
          <w:b/>
          <w:bCs/>
          <w:sz w:val="24"/>
          <w:szCs w:val="24"/>
          <w:lang w:eastAsia="hr-HR"/>
        </w:rPr>
        <w:t>.</w:t>
      </w:r>
    </w:p>
    <w:p w14:paraId="18C24153" w14:textId="567A0EBC" w:rsidR="00486CA1" w:rsidRPr="000479E9" w:rsidRDefault="00486CA1" w:rsidP="002A7D2B">
      <w:pPr>
        <w:spacing w:after="0" w:line="240" w:lineRule="auto"/>
        <w:rPr>
          <w:rFonts w:ascii="Times New Roman" w:eastAsia="Times New Roman" w:hAnsi="Times New Roman" w:cs="Times New Roman"/>
          <w:b/>
          <w:bCs/>
          <w:sz w:val="24"/>
          <w:szCs w:val="24"/>
          <w:lang w:eastAsia="hr-HR"/>
        </w:rPr>
      </w:pPr>
    </w:p>
    <w:p w14:paraId="1469F651" w14:textId="293C9BD0" w:rsidR="008708CF" w:rsidRPr="000479E9" w:rsidRDefault="007C4ED1" w:rsidP="002A7D2B">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567. stavku 4. broj:</w:t>
      </w:r>
      <w:r w:rsidR="00685A4A">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„30“ zamjenjuje se brojem: „15“.</w:t>
      </w:r>
    </w:p>
    <w:p w14:paraId="48B8115F" w14:textId="77777777" w:rsidR="007C4ED1" w:rsidRPr="000479E9" w:rsidRDefault="007C4ED1" w:rsidP="002A7D2B">
      <w:pPr>
        <w:spacing w:after="0" w:line="240" w:lineRule="auto"/>
        <w:rPr>
          <w:rFonts w:ascii="Times New Roman" w:eastAsia="Times New Roman" w:hAnsi="Times New Roman" w:cs="Times New Roman"/>
          <w:sz w:val="24"/>
          <w:szCs w:val="24"/>
          <w:lang w:eastAsia="hr-HR"/>
        </w:rPr>
      </w:pPr>
    </w:p>
    <w:p w14:paraId="2ED97EED" w14:textId="5D174C70" w:rsidR="005D6E91" w:rsidRPr="000479E9" w:rsidRDefault="005D6E91" w:rsidP="00F01D72">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071C5C" w:rsidRPr="000479E9">
        <w:rPr>
          <w:rFonts w:ascii="Times New Roman" w:eastAsia="Times New Roman" w:hAnsi="Times New Roman" w:cs="Times New Roman"/>
          <w:b/>
          <w:sz w:val="24"/>
          <w:szCs w:val="24"/>
          <w:lang w:eastAsia="hr-HR"/>
        </w:rPr>
        <w:t>8</w:t>
      </w:r>
      <w:r w:rsidR="00494F66" w:rsidRPr="000479E9">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w:t>
      </w:r>
    </w:p>
    <w:p w14:paraId="6424AB76" w14:textId="56632A22" w:rsidR="005D6E91" w:rsidRPr="000479E9" w:rsidRDefault="005D6E91" w:rsidP="004A4BE2">
      <w:pPr>
        <w:spacing w:after="0" w:line="240" w:lineRule="auto"/>
        <w:rPr>
          <w:rFonts w:ascii="Times New Roman" w:eastAsia="Times New Roman" w:hAnsi="Times New Roman" w:cs="Times New Roman"/>
          <w:sz w:val="24"/>
          <w:szCs w:val="24"/>
          <w:lang w:eastAsia="hr-HR"/>
        </w:rPr>
      </w:pPr>
    </w:p>
    <w:p w14:paraId="35544C3E" w14:textId="61DC4485" w:rsidR="005D6E91" w:rsidRPr="000479E9" w:rsidRDefault="005D6E91" w:rsidP="004A4BE2">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569. iza stavka 9. dodaju se stavci 10. do 1</w:t>
      </w:r>
      <w:r w:rsidR="00494F66"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koji glase:</w:t>
      </w:r>
    </w:p>
    <w:p w14:paraId="072A8037" w14:textId="6121F410"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p>
    <w:p w14:paraId="4C7A31F6" w14:textId="0E1FDFDD"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Izdavatelj je dužan pravodobno, u skladu s operativnim pravilima rada središnjeg depozitorija, dostavljati središnjem depozitoriju u čiji sustav su uključeni nematerijalizirani vrijednosni papiri izdavatelja podatke i obavijesti o korporativnim događajima i drugim okolnostima koje utječu na količinu, obilježja ili ostvarivanje prava iz nematerijaliziranih vrijednosnih papira.</w:t>
      </w:r>
    </w:p>
    <w:p w14:paraId="77DBDBA7" w14:textId="77777777"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p>
    <w:p w14:paraId="06DB7539" w14:textId="5FADE6BC"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(11) Središnji depozitorij dužan je podatke i obavijesti iz stavka 10. ovog</w:t>
      </w:r>
      <w:r w:rsidR="004B324B" w:rsidRPr="000479E9">
        <w:rPr>
          <w:rFonts w:ascii="Times New Roman" w:eastAsia="Times New Roman" w:hAnsi="Times New Roman" w:cs="Times New Roman"/>
          <w:sz w:val="24"/>
          <w:szCs w:val="24"/>
          <w:lang w:eastAsia="hr-HR"/>
        </w:rPr>
        <w:t>a</w:t>
      </w:r>
      <w:r w:rsidRPr="000479E9">
        <w:rPr>
          <w:rFonts w:ascii="Times New Roman" w:eastAsia="Times New Roman" w:hAnsi="Times New Roman" w:cs="Times New Roman"/>
          <w:sz w:val="24"/>
          <w:szCs w:val="24"/>
          <w:lang w:eastAsia="hr-HR"/>
        </w:rPr>
        <w:t xml:space="preserve"> članka,  zaprimljene od izdavatelja, učiniti dostupnima sudionicima i drugim osobama koje su na njih ovlaštene na način </w:t>
      </w:r>
      <w:r w:rsidR="000A20B1" w:rsidRPr="000479E9">
        <w:rPr>
          <w:rFonts w:ascii="Times New Roman" w:eastAsia="Times New Roman" w:hAnsi="Times New Roman" w:cs="Times New Roman"/>
          <w:sz w:val="24"/>
          <w:szCs w:val="24"/>
          <w:lang w:eastAsia="hr-HR"/>
        </w:rPr>
        <w:t xml:space="preserve">uređen </w:t>
      </w:r>
      <w:r w:rsidRPr="000479E9">
        <w:rPr>
          <w:rFonts w:ascii="Times New Roman" w:eastAsia="Times New Roman" w:hAnsi="Times New Roman" w:cs="Times New Roman"/>
          <w:sz w:val="24"/>
          <w:szCs w:val="24"/>
          <w:lang w:eastAsia="hr-HR"/>
        </w:rPr>
        <w:t>pravilima središnjeg depozitorija. </w:t>
      </w:r>
    </w:p>
    <w:p w14:paraId="5B6CCF87" w14:textId="77777777"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p>
    <w:p w14:paraId="2C2CD0CB" w14:textId="57CE7482"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Podaci i obavijesti dostavljeni središnjem depozitoriju elektroničkim putem korištenjem informacijskog sustava ili komunikacijskih kanala središnjeg depozitorija smatraju se valjano dostavljenima i imaju istu pravnu valjanost i dokaznu snagu kao i podaci zaprimljeni na papiru ako je osigurana identifikacija pošiljatelja, cjelovitost podataka te mogućnost utvrđivanja vremena dostave, u skladu s operativnim pravilima središnjeg depozitorija.</w:t>
      </w:r>
    </w:p>
    <w:p w14:paraId="265886DB" w14:textId="77777777"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p>
    <w:p w14:paraId="4E52C15B" w14:textId="0DC62AEF" w:rsidR="005D6E91" w:rsidRPr="000479E9" w:rsidRDefault="005D6E91" w:rsidP="00F01D7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(13) Podaci, potvrde, izvješća i druge informacije koje središnji depozitorij </w:t>
      </w:r>
      <w:r w:rsidR="0047495B" w:rsidRPr="000479E9">
        <w:rPr>
          <w:rFonts w:ascii="Times New Roman" w:eastAsia="Times New Roman" w:hAnsi="Times New Roman" w:cs="Times New Roman"/>
          <w:sz w:val="24"/>
          <w:szCs w:val="24"/>
          <w:lang w:eastAsia="hr-HR"/>
        </w:rPr>
        <w:t>elektroničkim</w:t>
      </w:r>
      <w:r w:rsidRPr="000479E9">
        <w:rPr>
          <w:rFonts w:ascii="Times New Roman" w:eastAsia="Times New Roman" w:hAnsi="Times New Roman" w:cs="Times New Roman"/>
          <w:sz w:val="24"/>
          <w:szCs w:val="24"/>
          <w:lang w:eastAsia="hr-HR"/>
        </w:rPr>
        <w:t xml:space="preserve"> putem dostavlja ili stavlja na raspolaganje sudionicima, izdavateljima, ulagateljima i drugim ovlaštenim osobama putem svojeg informacijskog sustava ili komunikacijskih kanala</w:t>
      </w:r>
      <w:r w:rsidR="001563B7"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imaju istu pravnu valjanost i dokaznu snagu kao isprave izdane na papiru, ako su izrađeni i dostavljeni u skladu s operativnim pravilima središnjeg depozitorija.</w:t>
      </w:r>
    </w:p>
    <w:p w14:paraId="5CAB9170" w14:textId="77777777" w:rsidR="00494F66" w:rsidRPr="000479E9" w:rsidRDefault="00494F66" w:rsidP="00494F66">
      <w:pPr>
        <w:spacing w:after="0" w:line="240" w:lineRule="auto"/>
        <w:rPr>
          <w:rFonts w:ascii="Times New Roman" w:eastAsia="Times New Roman" w:hAnsi="Times New Roman" w:cs="Times New Roman"/>
          <w:sz w:val="24"/>
          <w:szCs w:val="24"/>
          <w:lang w:eastAsia="hr-HR"/>
        </w:rPr>
      </w:pPr>
    </w:p>
    <w:p w14:paraId="7DAEDD2A" w14:textId="27301FA6" w:rsidR="00494F66" w:rsidRPr="000479E9" w:rsidRDefault="00494F66" w:rsidP="000479E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(14) Za naknade koje središnji depozitorij naplaćuje u vezi s obavljanjem poslova iz stavaka 10. do 13. ovoga članka, središnji depozitorij dužan je Agenciji, uz prijedlog cjenika iz članka 567. </w:t>
      </w:r>
      <w:r w:rsidR="00685A4A" w:rsidRPr="000479E9">
        <w:rPr>
          <w:rFonts w:ascii="Times New Roman" w:eastAsia="Times New Roman" w:hAnsi="Times New Roman" w:cs="Times New Roman"/>
          <w:sz w:val="24"/>
          <w:szCs w:val="24"/>
          <w:lang w:eastAsia="hr-HR"/>
        </w:rPr>
        <w:t xml:space="preserve">stavka 4. </w:t>
      </w:r>
      <w:r w:rsidRPr="000479E9">
        <w:rPr>
          <w:rFonts w:ascii="Times New Roman" w:eastAsia="Times New Roman" w:hAnsi="Times New Roman" w:cs="Times New Roman"/>
          <w:sz w:val="24"/>
          <w:szCs w:val="24"/>
          <w:lang w:eastAsia="hr-HR"/>
        </w:rPr>
        <w:t xml:space="preserve">ovoga Zakona, dostaviti obrazloženje načina utvrđivanja visine naknada, uključujući podatke o troškovima i drugim kriterijima na kojima se naknade temelje. </w:t>
      </w:r>
    </w:p>
    <w:p w14:paraId="05FCE876" w14:textId="77777777" w:rsidR="00494F66" w:rsidRPr="000479E9" w:rsidRDefault="00494F66" w:rsidP="000479E9">
      <w:pPr>
        <w:spacing w:after="0" w:line="240" w:lineRule="auto"/>
        <w:jc w:val="both"/>
        <w:rPr>
          <w:rFonts w:ascii="Times New Roman" w:eastAsia="Times New Roman" w:hAnsi="Times New Roman" w:cs="Times New Roman"/>
          <w:sz w:val="24"/>
          <w:szCs w:val="24"/>
          <w:lang w:eastAsia="hr-HR"/>
        </w:rPr>
      </w:pPr>
    </w:p>
    <w:p w14:paraId="38678D0B" w14:textId="77777777" w:rsidR="00494F66" w:rsidRPr="000479E9" w:rsidRDefault="00494F66" w:rsidP="000479E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(15) Agencija može od središnjeg depozitorija zatražiti dodatne podatke i obrazloženja te, ako utvrdi da visina ili način utvrđivanja naknade iz stavka 14. ovoga članka nisu razumni, transparentni, nediskriminirajući i opravdani s obzirom na troškove, opseg i prirodu usluge, uzimajući u obzir obveznost korištenja te usluge koja za korisnika proizlazi iz stavaka 10. do 13. ovoga članka, naložiti središnjem depozitoriju usklađivanje cjenika s kriterijima iz ovoga stavka.“.</w:t>
      </w:r>
    </w:p>
    <w:p w14:paraId="6E9CF8B4" w14:textId="03D3580B" w:rsidR="005D6E91" w:rsidRPr="000479E9" w:rsidRDefault="005D6E91" w:rsidP="004A4BE2">
      <w:pPr>
        <w:spacing w:after="0" w:line="240" w:lineRule="auto"/>
        <w:rPr>
          <w:rFonts w:ascii="Times New Roman" w:eastAsia="Times New Roman" w:hAnsi="Times New Roman" w:cs="Times New Roman"/>
          <w:sz w:val="24"/>
          <w:szCs w:val="24"/>
          <w:lang w:eastAsia="hr-HR"/>
        </w:rPr>
      </w:pPr>
    </w:p>
    <w:p w14:paraId="32A2DA7F" w14:textId="0669DBCF" w:rsidR="00071C5C" w:rsidRPr="000479E9" w:rsidRDefault="00071C5C" w:rsidP="004A4BE2">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Članak 8</w:t>
      </w:r>
      <w:r w:rsidR="00494F66"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w:t>
      </w:r>
    </w:p>
    <w:p w14:paraId="50C02DFA" w14:textId="77777777" w:rsidR="00071C5C" w:rsidRPr="000479E9" w:rsidRDefault="00071C5C" w:rsidP="00071C5C">
      <w:pPr>
        <w:spacing w:after="0" w:line="240" w:lineRule="auto"/>
        <w:rPr>
          <w:rFonts w:ascii="Times New Roman" w:eastAsia="Times New Roman" w:hAnsi="Times New Roman" w:cs="Times New Roman"/>
          <w:b/>
          <w:sz w:val="24"/>
          <w:szCs w:val="24"/>
          <w:lang w:eastAsia="hr-HR"/>
        </w:rPr>
      </w:pPr>
    </w:p>
    <w:p w14:paraId="74AB8A12" w14:textId="53F1B7DD" w:rsidR="00071C5C" w:rsidRPr="000479E9" w:rsidRDefault="00071C5C" w:rsidP="00071C5C">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bCs/>
          <w:sz w:val="24"/>
          <w:szCs w:val="24"/>
          <w:lang w:eastAsia="hr-HR"/>
        </w:rPr>
        <w:t>U članku 581. stavku 4</w:t>
      </w:r>
      <w:r w:rsidRPr="000479E9">
        <w:rPr>
          <w:rFonts w:ascii="Times New Roman" w:eastAsia="Times New Roman" w:hAnsi="Times New Roman" w:cs="Times New Roman"/>
          <w:sz w:val="24"/>
          <w:szCs w:val="24"/>
          <w:lang w:eastAsia="hr-HR"/>
        </w:rPr>
        <w:t>. riječ</w:t>
      </w:r>
      <w:r w:rsidR="0005762C"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„sedam“ zamjenjuje se riječju: „deset“.</w:t>
      </w:r>
    </w:p>
    <w:p w14:paraId="24FF15A1" w14:textId="73DCB8B7" w:rsidR="00071C5C" w:rsidRPr="000479E9" w:rsidRDefault="00071C5C" w:rsidP="00483C20">
      <w:pPr>
        <w:spacing w:after="0" w:line="240" w:lineRule="auto"/>
        <w:rPr>
          <w:rFonts w:ascii="Times New Roman" w:eastAsia="Times New Roman" w:hAnsi="Times New Roman" w:cs="Times New Roman"/>
          <w:bCs/>
          <w:sz w:val="24"/>
          <w:szCs w:val="24"/>
          <w:lang w:eastAsia="hr-HR"/>
        </w:rPr>
      </w:pPr>
    </w:p>
    <w:p w14:paraId="12FCB5B0" w14:textId="1E49EBCC" w:rsidR="00494F66" w:rsidRPr="000479E9" w:rsidRDefault="00494F66" w:rsidP="00494F66">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Članak 85.</w:t>
      </w:r>
      <w:r w:rsidRPr="000479E9">
        <w:rPr>
          <w:rFonts w:ascii="Times New Roman" w:eastAsia="Times New Roman" w:hAnsi="Times New Roman" w:cs="Times New Roman"/>
          <w:b/>
          <w:bCs/>
          <w:sz w:val="24"/>
          <w:szCs w:val="24"/>
          <w:lang w:eastAsia="hr-HR"/>
        </w:rPr>
        <w:t xml:space="preserve"> </w:t>
      </w:r>
    </w:p>
    <w:p w14:paraId="03D2CE33" w14:textId="77777777" w:rsidR="00494F66" w:rsidRPr="000479E9" w:rsidRDefault="00494F66" w:rsidP="00494F66">
      <w:pPr>
        <w:spacing w:after="0" w:line="240" w:lineRule="auto"/>
        <w:rPr>
          <w:rFonts w:ascii="Times New Roman" w:eastAsia="Times New Roman" w:hAnsi="Times New Roman" w:cs="Times New Roman"/>
          <w:b/>
          <w:bCs/>
          <w:sz w:val="24"/>
          <w:szCs w:val="24"/>
          <w:lang w:eastAsia="hr-HR"/>
        </w:rPr>
      </w:pPr>
    </w:p>
    <w:p w14:paraId="493D22EA" w14:textId="77777777" w:rsidR="00494F66" w:rsidRPr="000479E9" w:rsidRDefault="00494F66" w:rsidP="00494F66">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Iznad članka 583. u nazivu POGLAVLJA V. riječi: „I SANACIJA“ brišu se.</w:t>
      </w:r>
    </w:p>
    <w:p w14:paraId="21D23C19" w14:textId="77777777" w:rsidR="00071C5C" w:rsidRPr="000479E9" w:rsidRDefault="00071C5C" w:rsidP="004A4BE2">
      <w:pPr>
        <w:spacing w:after="0" w:line="240" w:lineRule="auto"/>
        <w:jc w:val="center"/>
        <w:rPr>
          <w:rFonts w:ascii="Times New Roman" w:eastAsia="Times New Roman" w:hAnsi="Times New Roman" w:cs="Times New Roman"/>
          <w:b/>
          <w:sz w:val="24"/>
          <w:szCs w:val="24"/>
          <w:lang w:eastAsia="hr-HR"/>
        </w:rPr>
      </w:pPr>
    </w:p>
    <w:p w14:paraId="0B8D5E4E" w14:textId="26224488" w:rsidR="004A4BE2" w:rsidRPr="000479E9" w:rsidRDefault="004A4BE2" w:rsidP="004A4BE2">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D41BD0" w:rsidRPr="000479E9">
        <w:rPr>
          <w:rFonts w:ascii="Times New Roman" w:eastAsia="Times New Roman" w:hAnsi="Times New Roman" w:cs="Times New Roman"/>
          <w:b/>
          <w:sz w:val="24"/>
          <w:szCs w:val="24"/>
          <w:lang w:eastAsia="hr-HR"/>
        </w:rPr>
        <w:t>8</w:t>
      </w:r>
      <w:r w:rsidR="00494F66"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46C26996" w14:textId="2B597D3B" w:rsidR="004A4BE2" w:rsidRPr="000479E9" w:rsidRDefault="004A4BE2" w:rsidP="004A4BE2">
      <w:pPr>
        <w:spacing w:after="0" w:line="240" w:lineRule="auto"/>
        <w:rPr>
          <w:rFonts w:ascii="Times New Roman" w:eastAsia="Times New Roman" w:hAnsi="Times New Roman" w:cs="Times New Roman"/>
          <w:sz w:val="24"/>
          <w:szCs w:val="24"/>
          <w:lang w:eastAsia="hr-HR"/>
        </w:rPr>
      </w:pPr>
    </w:p>
    <w:p w14:paraId="2325FCD4" w14:textId="75AE5994" w:rsidR="004A4BE2" w:rsidRPr="000479E9" w:rsidRDefault="004A4BE2" w:rsidP="004A4BE2">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i članak 583. brišu se.</w:t>
      </w:r>
    </w:p>
    <w:p w14:paraId="3CAF7E79" w14:textId="62E95609" w:rsidR="004A4BE2" w:rsidRPr="000479E9" w:rsidRDefault="004A4BE2" w:rsidP="004A4BE2">
      <w:pPr>
        <w:spacing w:after="0" w:line="240" w:lineRule="auto"/>
        <w:rPr>
          <w:rFonts w:ascii="Times New Roman" w:eastAsia="Times New Roman" w:hAnsi="Times New Roman" w:cs="Times New Roman"/>
          <w:sz w:val="24"/>
          <w:szCs w:val="24"/>
          <w:lang w:eastAsia="hr-HR"/>
        </w:rPr>
      </w:pPr>
    </w:p>
    <w:p w14:paraId="032DDEF8" w14:textId="77777777" w:rsidR="00494F66" w:rsidRPr="000479E9" w:rsidRDefault="00494F66" w:rsidP="000479E9">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87.</w:t>
      </w:r>
    </w:p>
    <w:p w14:paraId="11CF73D6" w14:textId="77777777" w:rsidR="00494F66" w:rsidRPr="000479E9" w:rsidRDefault="00494F66" w:rsidP="00494F66">
      <w:pPr>
        <w:spacing w:after="0" w:line="240" w:lineRule="auto"/>
        <w:rPr>
          <w:rFonts w:ascii="Times New Roman" w:eastAsia="Times New Roman" w:hAnsi="Times New Roman" w:cs="Times New Roman"/>
          <w:b/>
          <w:bCs/>
          <w:sz w:val="24"/>
          <w:szCs w:val="24"/>
          <w:lang w:eastAsia="hr-HR"/>
        </w:rPr>
      </w:pPr>
    </w:p>
    <w:p w14:paraId="5E9BA4DF" w14:textId="525774DD" w:rsidR="00494F66" w:rsidRPr="000479E9" w:rsidRDefault="00494F66" w:rsidP="00494F66">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 xml:space="preserve">Članak 585. mijenja se i glasi: </w:t>
      </w:r>
    </w:p>
    <w:p w14:paraId="002B2F9C" w14:textId="77777777" w:rsidR="00494F66" w:rsidRPr="000479E9" w:rsidRDefault="00494F66" w:rsidP="00494F66">
      <w:pPr>
        <w:spacing w:after="0" w:line="240" w:lineRule="auto"/>
        <w:rPr>
          <w:rFonts w:ascii="Times New Roman" w:eastAsia="Times New Roman" w:hAnsi="Times New Roman" w:cs="Times New Roman"/>
          <w:sz w:val="24"/>
          <w:szCs w:val="24"/>
          <w:lang w:eastAsia="hr-HR"/>
        </w:rPr>
      </w:pPr>
    </w:p>
    <w:p w14:paraId="1410DE79" w14:textId="069600FB" w:rsidR="00494F66" w:rsidRPr="000479E9" w:rsidRDefault="00494F66" w:rsidP="00494F66">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„Prijedlog za otvaranje stečajnog postupka nad središnjim depozitorijem može podnijeti samo Agencija.“.</w:t>
      </w:r>
    </w:p>
    <w:p w14:paraId="2C967289" w14:textId="1DC03EA4" w:rsidR="00494F66" w:rsidRPr="000479E9" w:rsidRDefault="00494F66" w:rsidP="004A4BE2">
      <w:pPr>
        <w:spacing w:after="0" w:line="240" w:lineRule="auto"/>
        <w:rPr>
          <w:rFonts w:ascii="Times New Roman" w:eastAsia="Times New Roman" w:hAnsi="Times New Roman" w:cs="Times New Roman"/>
          <w:sz w:val="24"/>
          <w:szCs w:val="24"/>
          <w:lang w:eastAsia="hr-HR"/>
        </w:rPr>
      </w:pPr>
    </w:p>
    <w:p w14:paraId="7818112C" w14:textId="592F2D4C" w:rsidR="004A4BE2" w:rsidRPr="000479E9" w:rsidRDefault="004A4BE2" w:rsidP="004A4BE2">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sz w:val="24"/>
          <w:szCs w:val="24"/>
          <w:lang w:eastAsia="hr-HR"/>
        </w:rPr>
        <w:t xml:space="preserve">Članak </w:t>
      </w:r>
      <w:r w:rsidR="00095043" w:rsidRPr="000479E9">
        <w:rPr>
          <w:rFonts w:ascii="Times New Roman" w:eastAsia="Times New Roman" w:hAnsi="Times New Roman" w:cs="Times New Roman"/>
          <w:b/>
          <w:sz w:val="24"/>
          <w:szCs w:val="24"/>
          <w:lang w:eastAsia="hr-HR"/>
        </w:rPr>
        <w:t>88</w:t>
      </w:r>
      <w:r w:rsidRPr="000479E9">
        <w:rPr>
          <w:rFonts w:ascii="Times New Roman" w:eastAsia="Times New Roman" w:hAnsi="Times New Roman" w:cs="Times New Roman"/>
          <w:b/>
          <w:sz w:val="24"/>
          <w:szCs w:val="24"/>
          <w:lang w:eastAsia="hr-HR"/>
        </w:rPr>
        <w:t>.</w:t>
      </w:r>
      <w:r w:rsidRPr="000479E9">
        <w:rPr>
          <w:rFonts w:ascii="Times New Roman" w:eastAsia="Times New Roman" w:hAnsi="Times New Roman" w:cs="Times New Roman"/>
          <w:b/>
          <w:bCs/>
          <w:sz w:val="24"/>
          <w:szCs w:val="24"/>
          <w:lang w:eastAsia="hr-HR"/>
        </w:rPr>
        <w:t xml:space="preserve"> </w:t>
      </w:r>
    </w:p>
    <w:p w14:paraId="01DE4069" w14:textId="03548458" w:rsidR="004A4BE2" w:rsidRPr="000479E9" w:rsidRDefault="004A4BE2" w:rsidP="004A4BE2">
      <w:pPr>
        <w:spacing w:after="0" w:line="240" w:lineRule="auto"/>
        <w:rPr>
          <w:rFonts w:ascii="Times New Roman" w:eastAsia="Times New Roman" w:hAnsi="Times New Roman" w:cs="Times New Roman"/>
          <w:b/>
          <w:bCs/>
          <w:sz w:val="24"/>
          <w:szCs w:val="24"/>
          <w:lang w:eastAsia="hr-HR"/>
        </w:rPr>
      </w:pPr>
    </w:p>
    <w:p w14:paraId="5C65C828" w14:textId="2AAAEDF4" w:rsidR="004A4BE2" w:rsidRPr="000479E9" w:rsidRDefault="004A4BE2" w:rsidP="004A4BE2">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Naslovi iznad članaka i članci 594. do 621. brišu se.</w:t>
      </w:r>
    </w:p>
    <w:p w14:paraId="45DD8806" w14:textId="77777777" w:rsidR="004A4BE2" w:rsidRPr="000479E9" w:rsidRDefault="004A4BE2" w:rsidP="004A4BE2">
      <w:pPr>
        <w:spacing w:after="0" w:line="240" w:lineRule="auto"/>
        <w:rPr>
          <w:rFonts w:ascii="Times New Roman" w:eastAsia="Times New Roman" w:hAnsi="Times New Roman" w:cs="Times New Roman"/>
          <w:b/>
          <w:bCs/>
          <w:sz w:val="24"/>
          <w:szCs w:val="24"/>
          <w:lang w:eastAsia="hr-HR"/>
        </w:rPr>
      </w:pPr>
    </w:p>
    <w:p w14:paraId="2CF56F07" w14:textId="77777777" w:rsidR="00095043" w:rsidRPr="000479E9" w:rsidRDefault="00095043" w:rsidP="00095043">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89.</w:t>
      </w:r>
    </w:p>
    <w:p w14:paraId="5EB11C3C" w14:textId="77777777" w:rsidR="00095043" w:rsidRPr="000479E9" w:rsidRDefault="00095043" w:rsidP="00095043">
      <w:pPr>
        <w:spacing w:after="0" w:line="240" w:lineRule="auto"/>
        <w:rPr>
          <w:rFonts w:ascii="Times New Roman" w:eastAsia="Times New Roman" w:hAnsi="Times New Roman" w:cs="Times New Roman"/>
          <w:sz w:val="24"/>
          <w:szCs w:val="24"/>
          <w:lang w:eastAsia="hr-HR"/>
        </w:rPr>
      </w:pPr>
    </w:p>
    <w:p w14:paraId="4B950895" w14:textId="77777777" w:rsidR="00095043" w:rsidRPr="000479E9" w:rsidRDefault="00095043" w:rsidP="00095043">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698. stavku 4. iza točke 8. dodaju se točke 9. i 10. koje glase:</w:t>
      </w:r>
    </w:p>
    <w:p w14:paraId="2F770D5A" w14:textId="77777777" w:rsidR="00095043" w:rsidRPr="000479E9" w:rsidRDefault="00095043" w:rsidP="00095043">
      <w:pPr>
        <w:spacing w:after="0" w:line="240" w:lineRule="auto"/>
        <w:rPr>
          <w:rFonts w:ascii="Times New Roman" w:eastAsia="Times New Roman" w:hAnsi="Times New Roman" w:cs="Times New Roman"/>
          <w:sz w:val="24"/>
          <w:szCs w:val="24"/>
          <w:lang w:eastAsia="hr-HR"/>
        </w:rPr>
      </w:pPr>
    </w:p>
    <w:p w14:paraId="05480BA4" w14:textId="77777777" w:rsidR="00095043" w:rsidRPr="000479E9" w:rsidRDefault="00095043" w:rsidP="0009504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mjere koje je fizička ili pravna osoba odgovorna za kršenje poduzela nakon kršenja radi sprječavanja njegova ponavljanja</w:t>
      </w:r>
    </w:p>
    <w:p w14:paraId="37F3532B" w14:textId="77777777" w:rsidR="00095043" w:rsidRPr="000479E9" w:rsidRDefault="00095043" w:rsidP="00095043">
      <w:pPr>
        <w:spacing w:after="0" w:line="240" w:lineRule="auto"/>
        <w:jc w:val="both"/>
        <w:rPr>
          <w:rFonts w:ascii="Times New Roman" w:eastAsia="Times New Roman" w:hAnsi="Times New Roman" w:cs="Times New Roman"/>
          <w:sz w:val="24"/>
          <w:szCs w:val="24"/>
          <w:lang w:eastAsia="hr-HR"/>
        </w:rPr>
      </w:pPr>
    </w:p>
    <w:p w14:paraId="0CCA6221" w14:textId="1BF0B93A" w:rsidR="00095043" w:rsidRPr="000479E9" w:rsidRDefault="00095043" w:rsidP="0009504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nepovoljnost za fizičku ili pravnu osobu odgovornu za kršenje koja proizlazi iz dvostrukog vođenja kaznenog i prekršajnog postupka odnosno izricanja kaznenih i prekršajnopravnih sankcija za isto postupanje.“.</w:t>
      </w:r>
    </w:p>
    <w:p w14:paraId="7647D492" w14:textId="77777777" w:rsidR="00486CA1" w:rsidRPr="000479E9" w:rsidRDefault="00486CA1" w:rsidP="00617A00">
      <w:pPr>
        <w:spacing w:after="0" w:line="240" w:lineRule="auto"/>
        <w:jc w:val="center"/>
        <w:rPr>
          <w:rFonts w:ascii="Times New Roman" w:eastAsia="Times New Roman" w:hAnsi="Times New Roman" w:cs="Times New Roman"/>
          <w:b/>
          <w:bCs/>
          <w:sz w:val="24"/>
          <w:szCs w:val="24"/>
          <w:lang w:eastAsia="hr-HR"/>
        </w:rPr>
      </w:pPr>
    </w:p>
    <w:p w14:paraId="05D6AC19" w14:textId="7AE4186F" w:rsidR="00486CA1" w:rsidRPr="000479E9" w:rsidRDefault="00486CA1"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5F2D59" w:rsidRPr="000479E9">
        <w:rPr>
          <w:rFonts w:ascii="Times New Roman" w:eastAsia="Times New Roman" w:hAnsi="Times New Roman" w:cs="Times New Roman"/>
          <w:b/>
          <w:bCs/>
          <w:sz w:val="24"/>
          <w:szCs w:val="24"/>
          <w:lang w:eastAsia="hr-HR"/>
        </w:rPr>
        <w:t>90</w:t>
      </w:r>
      <w:r w:rsidRPr="000479E9">
        <w:rPr>
          <w:rFonts w:ascii="Times New Roman" w:eastAsia="Times New Roman" w:hAnsi="Times New Roman" w:cs="Times New Roman"/>
          <w:b/>
          <w:bCs/>
          <w:sz w:val="24"/>
          <w:szCs w:val="24"/>
          <w:lang w:eastAsia="hr-HR"/>
        </w:rPr>
        <w:t>.</w:t>
      </w:r>
    </w:p>
    <w:p w14:paraId="2DA2D890" w14:textId="77777777" w:rsidR="00486CA1" w:rsidRPr="000479E9" w:rsidRDefault="00486CA1" w:rsidP="00A23A3B">
      <w:pPr>
        <w:spacing w:after="0" w:line="240" w:lineRule="auto"/>
        <w:rPr>
          <w:rFonts w:ascii="Times New Roman" w:eastAsia="Times New Roman" w:hAnsi="Times New Roman" w:cs="Times New Roman"/>
          <w:b/>
          <w:bCs/>
          <w:sz w:val="24"/>
          <w:szCs w:val="24"/>
          <w:lang w:eastAsia="hr-HR"/>
        </w:rPr>
      </w:pPr>
    </w:p>
    <w:p w14:paraId="0E263631" w14:textId="77777777" w:rsidR="00A23A3B" w:rsidRPr="000479E9" w:rsidRDefault="00A23A3B" w:rsidP="00A23A3B">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članka 698. dodaju se naslov iznad članka i članak 698.a koji glase: </w:t>
      </w:r>
    </w:p>
    <w:p w14:paraId="48094BEA" w14:textId="626314EA" w:rsidR="00A23A3B" w:rsidRPr="000479E9" w:rsidRDefault="00A23A3B" w:rsidP="00483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 </w:t>
      </w:r>
    </w:p>
    <w:p w14:paraId="2EC0C2F7" w14:textId="0A74A531" w:rsidR="000C6DC5" w:rsidRPr="000479E9" w:rsidRDefault="000C6DC5" w:rsidP="000C6DC5">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„Načelo oportuniteta</w:t>
      </w:r>
    </w:p>
    <w:p w14:paraId="28A61E4F" w14:textId="02EF053B" w:rsidR="00A23A3B" w:rsidRPr="000479E9" w:rsidRDefault="00A23A3B" w:rsidP="00617A00">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w:t>
      </w:r>
      <w:r w:rsidR="000C6DC5" w:rsidRPr="000479E9">
        <w:rPr>
          <w:rFonts w:ascii="Times New Roman" w:eastAsia="Times New Roman" w:hAnsi="Times New Roman" w:cs="Times New Roman"/>
          <w:sz w:val="24"/>
          <w:szCs w:val="24"/>
          <w:lang w:eastAsia="hr-HR"/>
        </w:rPr>
        <w:t xml:space="preserve"> </w:t>
      </w:r>
      <w:r w:rsidR="00486CA1" w:rsidRPr="000479E9">
        <w:rPr>
          <w:rFonts w:ascii="Times New Roman" w:eastAsia="Times New Roman" w:hAnsi="Times New Roman" w:cs="Times New Roman"/>
          <w:sz w:val="24"/>
          <w:szCs w:val="24"/>
          <w:lang w:eastAsia="hr-HR"/>
        </w:rPr>
        <w:t xml:space="preserve">698.a </w:t>
      </w:r>
    </w:p>
    <w:p w14:paraId="7B0865B1" w14:textId="77777777" w:rsidR="00A23A3B" w:rsidRPr="000479E9" w:rsidRDefault="00A23A3B" w:rsidP="00A23A3B">
      <w:pPr>
        <w:spacing w:after="0" w:line="240" w:lineRule="auto"/>
        <w:rPr>
          <w:rFonts w:ascii="Times New Roman" w:eastAsia="Times New Roman" w:hAnsi="Times New Roman" w:cs="Times New Roman"/>
          <w:b/>
          <w:bCs/>
          <w:sz w:val="24"/>
          <w:szCs w:val="24"/>
          <w:lang w:eastAsia="hr-HR"/>
        </w:rPr>
      </w:pPr>
    </w:p>
    <w:p w14:paraId="0624B931" w14:textId="752DCE2A" w:rsidR="00A23A3B" w:rsidRPr="000479E9" w:rsidRDefault="00A23A3B"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Agencija može ne pokrenuti prekršajni postupak, iako postoji sumnja da je počinjen prekršaj, ako je to dopušteno zakonom kojim su propisani prekršaji i prekršajnopravne sankcije ili pod uvjetima propisanim ovim člankom (načelo oportuniteta).</w:t>
      </w:r>
    </w:p>
    <w:p w14:paraId="66555925" w14:textId="77777777" w:rsidR="00AA51E6" w:rsidRPr="000479E9" w:rsidRDefault="00AA51E6" w:rsidP="00483C20">
      <w:pPr>
        <w:spacing w:after="0" w:line="240" w:lineRule="auto"/>
        <w:jc w:val="both"/>
        <w:rPr>
          <w:rFonts w:ascii="Times New Roman" w:eastAsia="Times New Roman" w:hAnsi="Times New Roman" w:cs="Times New Roman"/>
          <w:sz w:val="24"/>
          <w:szCs w:val="24"/>
          <w:lang w:eastAsia="hr-HR"/>
        </w:rPr>
      </w:pPr>
    </w:p>
    <w:p w14:paraId="621DA74F" w14:textId="1B8A6219" w:rsidR="00A23A3B" w:rsidRPr="000479E9" w:rsidRDefault="00A23A3B"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Agencija može primijeniti načelo oportuniteta u odnosu na prekršaj koji ovim zakonom </w:t>
      </w:r>
      <w:r w:rsidR="00416DDB" w:rsidRPr="000479E9">
        <w:rPr>
          <w:rFonts w:ascii="Times New Roman" w:eastAsia="Times New Roman" w:hAnsi="Times New Roman" w:cs="Times New Roman"/>
          <w:sz w:val="24"/>
          <w:szCs w:val="24"/>
          <w:lang w:eastAsia="hr-HR"/>
        </w:rPr>
        <w:t xml:space="preserve">nije </w:t>
      </w:r>
      <w:r w:rsidRPr="000479E9">
        <w:rPr>
          <w:rFonts w:ascii="Times New Roman" w:eastAsia="Times New Roman" w:hAnsi="Times New Roman" w:cs="Times New Roman"/>
          <w:sz w:val="24"/>
          <w:szCs w:val="24"/>
          <w:lang w:eastAsia="hr-HR"/>
        </w:rPr>
        <w:t xml:space="preserve">propisan kao teški </w:t>
      </w:r>
      <w:r w:rsidR="00416DDB" w:rsidRPr="000479E9">
        <w:rPr>
          <w:rFonts w:ascii="Times New Roman" w:eastAsia="Times New Roman" w:hAnsi="Times New Roman" w:cs="Times New Roman"/>
          <w:sz w:val="24"/>
          <w:szCs w:val="24"/>
          <w:lang w:eastAsia="hr-HR"/>
        </w:rPr>
        <w:t>ili teži</w:t>
      </w:r>
      <w:r w:rsidR="00570132"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prekršaj, te ako je u odnosu na subjekt nadzora ispunjen barem jedan od sljedećih uvjeta:</w:t>
      </w:r>
    </w:p>
    <w:p w14:paraId="4CB8696C" w14:textId="77777777" w:rsidR="0005762C" w:rsidRPr="000479E9" w:rsidRDefault="0005762C" w:rsidP="00483C20">
      <w:pPr>
        <w:spacing w:after="0" w:line="240" w:lineRule="auto"/>
        <w:jc w:val="both"/>
        <w:rPr>
          <w:rFonts w:ascii="Times New Roman" w:eastAsia="Times New Roman" w:hAnsi="Times New Roman" w:cs="Times New Roman"/>
          <w:sz w:val="24"/>
          <w:szCs w:val="24"/>
          <w:lang w:eastAsia="hr-HR"/>
        </w:rPr>
      </w:pPr>
    </w:p>
    <w:p w14:paraId="3B0328F0" w14:textId="26E228BC" w:rsidR="00A23A3B" w:rsidRPr="000479E9" w:rsidRDefault="00A23A3B"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ako je utvrđene nezakonitosti ili nepravilnosti odnosno njihove posljedice otklonio tijekom postupka nadzora</w:t>
      </w:r>
      <w:r w:rsidR="005F2D59" w:rsidRPr="000479E9">
        <w:rPr>
          <w:rFonts w:ascii="Times New Roman" w:eastAsia="Times New Roman" w:hAnsi="Times New Roman" w:cs="Times New Roman"/>
          <w:sz w:val="24"/>
          <w:szCs w:val="24"/>
          <w:lang w:eastAsia="hr-HR"/>
        </w:rPr>
        <w:t>, a najkasnije do</w:t>
      </w:r>
      <w:r w:rsidRPr="000479E9">
        <w:rPr>
          <w:rFonts w:ascii="Times New Roman" w:eastAsia="Times New Roman" w:hAnsi="Times New Roman" w:cs="Times New Roman"/>
          <w:sz w:val="24"/>
          <w:szCs w:val="24"/>
          <w:lang w:eastAsia="hr-HR"/>
        </w:rPr>
        <w:t xml:space="preserve"> donošenja rješenja o nadzornoj mjeri, </w:t>
      </w:r>
    </w:p>
    <w:p w14:paraId="035C88DF" w14:textId="77777777" w:rsidR="0005762C" w:rsidRPr="000479E9" w:rsidRDefault="0005762C" w:rsidP="00483C20">
      <w:pPr>
        <w:spacing w:after="0" w:line="240" w:lineRule="auto"/>
        <w:jc w:val="both"/>
        <w:rPr>
          <w:rFonts w:ascii="Times New Roman" w:eastAsia="Times New Roman" w:hAnsi="Times New Roman" w:cs="Times New Roman"/>
          <w:sz w:val="24"/>
          <w:szCs w:val="24"/>
          <w:lang w:eastAsia="hr-HR"/>
        </w:rPr>
      </w:pPr>
    </w:p>
    <w:p w14:paraId="62125483" w14:textId="62DFAC49" w:rsidR="00A23A3B" w:rsidRPr="000479E9" w:rsidRDefault="00A23A3B"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 ako je postupio po rješenju </w:t>
      </w:r>
      <w:r w:rsidR="00416DDB" w:rsidRPr="000479E9">
        <w:rPr>
          <w:rFonts w:ascii="Times New Roman" w:eastAsia="Times New Roman" w:hAnsi="Times New Roman" w:cs="Times New Roman"/>
          <w:sz w:val="24"/>
          <w:szCs w:val="24"/>
          <w:lang w:eastAsia="hr-HR"/>
        </w:rPr>
        <w:t xml:space="preserve">o nadzornoj mjeri u roku određenom tim rješenjem </w:t>
      </w:r>
      <w:r w:rsidR="00AC0CE7" w:rsidRPr="000479E9">
        <w:rPr>
          <w:rFonts w:ascii="Times New Roman" w:eastAsia="Times New Roman" w:hAnsi="Times New Roman" w:cs="Times New Roman"/>
          <w:sz w:val="24"/>
          <w:szCs w:val="24"/>
          <w:lang w:eastAsia="hr-HR"/>
        </w:rPr>
        <w:t>te je time otklonio posljedice utvrđenih nezakonitosti i nepravilnosti</w:t>
      </w:r>
      <w:r w:rsidRPr="000479E9">
        <w:rPr>
          <w:rFonts w:ascii="Times New Roman" w:eastAsia="Times New Roman" w:hAnsi="Times New Roman" w:cs="Times New Roman"/>
          <w:sz w:val="24"/>
          <w:szCs w:val="24"/>
          <w:lang w:eastAsia="hr-HR"/>
        </w:rPr>
        <w:t>.</w:t>
      </w:r>
      <w:r w:rsidR="000C6DC5" w:rsidRPr="000479E9">
        <w:rPr>
          <w:rFonts w:ascii="Times New Roman" w:eastAsia="Times New Roman" w:hAnsi="Times New Roman" w:cs="Times New Roman"/>
          <w:sz w:val="24"/>
          <w:szCs w:val="24"/>
          <w:lang w:eastAsia="hr-HR"/>
        </w:rPr>
        <w:t>“</w:t>
      </w:r>
      <w:r w:rsidR="0005762C" w:rsidRPr="000479E9">
        <w:rPr>
          <w:rFonts w:ascii="Times New Roman" w:eastAsia="Times New Roman" w:hAnsi="Times New Roman" w:cs="Times New Roman"/>
          <w:sz w:val="24"/>
          <w:szCs w:val="24"/>
          <w:lang w:eastAsia="hr-HR"/>
        </w:rPr>
        <w:t>.</w:t>
      </w:r>
    </w:p>
    <w:p w14:paraId="57583779" w14:textId="77777777" w:rsidR="00486CA1" w:rsidRPr="000479E9" w:rsidRDefault="00486CA1" w:rsidP="00617A00">
      <w:pPr>
        <w:spacing w:after="0" w:line="240" w:lineRule="auto"/>
        <w:jc w:val="center"/>
        <w:rPr>
          <w:rFonts w:ascii="Times New Roman" w:eastAsia="Times New Roman" w:hAnsi="Times New Roman" w:cs="Times New Roman"/>
          <w:sz w:val="24"/>
          <w:szCs w:val="24"/>
          <w:lang w:eastAsia="hr-HR"/>
        </w:rPr>
      </w:pPr>
    </w:p>
    <w:p w14:paraId="369FAA74" w14:textId="13F5D658"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366D8C" w:rsidRPr="000479E9">
        <w:rPr>
          <w:rFonts w:ascii="Times New Roman" w:eastAsia="Times New Roman" w:hAnsi="Times New Roman" w:cs="Times New Roman"/>
          <w:b/>
          <w:bCs/>
          <w:sz w:val="24"/>
          <w:szCs w:val="24"/>
          <w:lang w:eastAsia="hr-HR"/>
        </w:rPr>
        <w:t>91</w:t>
      </w:r>
      <w:r w:rsidRPr="000479E9">
        <w:rPr>
          <w:rFonts w:ascii="Times New Roman" w:eastAsia="Times New Roman" w:hAnsi="Times New Roman" w:cs="Times New Roman"/>
          <w:b/>
          <w:bCs/>
          <w:sz w:val="24"/>
          <w:szCs w:val="24"/>
          <w:lang w:eastAsia="hr-HR"/>
        </w:rPr>
        <w:t>.</w:t>
      </w:r>
    </w:p>
    <w:p w14:paraId="265B0673"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D1A48AC" w14:textId="7EDC0ECD" w:rsidR="00C36213" w:rsidRPr="000479E9" w:rsidRDefault="00C10AC0"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w:t>
      </w:r>
      <w:r w:rsidR="001E615F" w:rsidRPr="000479E9">
        <w:rPr>
          <w:rFonts w:ascii="Times New Roman" w:eastAsia="Times New Roman" w:hAnsi="Times New Roman" w:cs="Times New Roman"/>
          <w:sz w:val="24"/>
          <w:szCs w:val="24"/>
          <w:lang w:eastAsia="hr-HR"/>
        </w:rPr>
        <w:t>lan</w:t>
      </w:r>
      <w:r w:rsidRPr="000479E9">
        <w:rPr>
          <w:rFonts w:ascii="Times New Roman" w:eastAsia="Times New Roman" w:hAnsi="Times New Roman" w:cs="Times New Roman"/>
          <w:sz w:val="24"/>
          <w:szCs w:val="24"/>
          <w:lang w:eastAsia="hr-HR"/>
        </w:rPr>
        <w:t>a</w:t>
      </w:r>
      <w:r w:rsidR="001E615F" w:rsidRPr="000479E9">
        <w:rPr>
          <w:rFonts w:ascii="Times New Roman" w:eastAsia="Times New Roman" w:hAnsi="Times New Roman" w:cs="Times New Roman"/>
          <w:sz w:val="24"/>
          <w:szCs w:val="24"/>
          <w:lang w:eastAsia="hr-HR"/>
        </w:rPr>
        <w:t xml:space="preserve">k 700. </w:t>
      </w:r>
      <w:r w:rsidRPr="000479E9">
        <w:rPr>
          <w:rFonts w:ascii="Times New Roman" w:eastAsia="Times New Roman" w:hAnsi="Times New Roman" w:cs="Times New Roman"/>
          <w:sz w:val="24"/>
          <w:szCs w:val="24"/>
          <w:lang w:eastAsia="hr-HR"/>
        </w:rPr>
        <w:t>mijenja se i glasi</w:t>
      </w:r>
      <w:r w:rsidR="00C36213" w:rsidRPr="000479E9">
        <w:rPr>
          <w:rFonts w:ascii="Times New Roman" w:eastAsia="Times New Roman" w:hAnsi="Times New Roman" w:cs="Times New Roman"/>
          <w:sz w:val="24"/>
          <w:szCs w:val="24"/>
          <w:lang w:eastAsia="hr-HR"/>
        </w:rPr>
        <w:t>:</w:t>
      </w:r>
    </w:p>
    <w:p w14:paraId="582009C7" w14:textId="77777777" w:rsidR="00C36213" w:rsidRPr="000479E9" w:rsidRDefault="00C36213" w:rsidP="00617A00">
      <w:pPr>
        <w:spacing w:after="0" w:line="240" w:lineRule="auto"/>
        <w:jc w:val="both"/>
        <w:rPr>
          <w:rFonts w:ascii="Times New Roman" w:eastAsia="Times New Roman" w:hAnsi="Times New Roman" w:cs="Times New Roman"/>
          <w:sz w:val="24"/>
          <w:szCs w:val="24"/>
          <w:lang w:eastAsia="hr-HR"/>
        </w:rPr>
      </w:pPr>
    </w:p>
    <w:p w14:paraId="043058CB" w14:textId="6AA3AE8B" w:rsidR="00DC48B2" w:rsidRPr="000479E9" w:rsidRDefault="00C10AC0" w:rsidP="00483C20">
      <w:pPr>
        <w:pStyle w:val="box477650"/>
        <w:shd w:val="clear" w:color="auto" w:fill="FFFFFF"/>
        <w:spacing w:before="0" w:beforeAutospacing="0" w:after="0"/>
        <w:jc w:val="both"/>
        <w:textAlignment w:val="baseline"/>
      </w:pPr>
      <w:r w:rsidRPr="000479E9">
        <w:lastRenderedPageBreak/>
        <w:t>„(1) Za teži prekršaj iz stavka 3. ovoga članka kaznit će se pravna osoba novčanom kaznom u iznosu koji je višekratnik broja 1000, a koja ne može biti manja od 50.000,00 eura ni veća od 10 % ukupnog prihoda koji je ostvarila u godini kada je počinjen prekršaj, utvrđen službenim financijskim izvještajima za tu godinu, a ako izvješća za tu godinu nema, uzet će se posljednje dostupno službeno godišnje izvješće.</w:t>
      </w:r>
    </w:p>
    <w:p w14:paraId="29FBADE3" w14:textId="77777777" w:rsidR="00366D8C" w:rsidRPr="000479E9" w:rsidRDefault="00C10AC0" w:rsidP="000479E9">
      <w:pPr>
        <w:pStyle w:val="box477650"/>
        <w:jc w:val="both"/>
      </w:pPr>
      <w:r w:rsidRPr="000479E9">
        <w:t xml:space="preserve">(2) Prekršaj iz stavka 1. ovoga članka smatra se težim ako je ispunjen jedan ili više sljedećih </w:t>
      </w:r>
      <w:r w:rsidR="00366D8C" w:rsidRPr="000479E9">
        <w:t xml:space="preserve">primjenjivih </w:t>
      </w:r>
      <w:r w:rsidRPr="000479E9">
        <w:t>uvjeta</w:t>
      </w:r>
      <w:r w:rsidR="00366D8C" w:rsidRPr="000479E9">
        <w:t>, pri čemu se okolnost koja već predstavlja obilježje prekršaja iz stavka 3. ovoga članka ne uzima sama po sebi kao osnova za utvrđenje ispunjenja nekog od ovih uvjeta:</w:t>
      </w:r>
    </w:p>
    <w:p w14:paraId="617A5F0B" w14:textId="77777777" w:rsidR="00366D8C" w:rsidRPr="000479E9" w:rsidRDefault="00366D8C" w:rsidP="00366D8C">
      <w:pPr>
        <w:pStyle w:val="box477650"/>
        <w:numPr>
          <w:ilvl w:val="0"/>
          <w:numId w:val="15"/>
        </w:numPr>
        <w:jc w:val="both"/>
      </w:pPr>
      <w:r w:rsidRPr="000479E9">
        <w:t>počinjen je opetovano ili sustavno, pri čemu se sustavnim smatra postupanje koje proizlazi iz uspostavljenih poslovnih praksi, organizacijskih nedostataka ili svjesnog obrasca postupanja</w:t>
      </w:r>
    </w:p>
    <w:p w14:paraId="2E9D0B61" w14:textId="77777777" w:rsidR="00366D8C" w:rsidRPr="000479E9" w:rsidRDefault="00366D8C" w:rsidP="00366D8C">
      <w:pPr>
        <w:pStyle w:val="box477650"/>
        <w:numPr>
          <w:ilvl w:val="0"/>
          <w:numId w:val="15"/>
        </w:numPr>
        <w:jc w:val="both"/>
      </w:pPr>
      <w:r w:rsidRPr="000479E9">
        <w:t>počinjen je tijekom duljeg razdoblja, pri čemu se trajanje procjenjuje uzimajući u obzir prirodu, učestalost i okolnosti konkretnog kršenja</w:t>
      </w:r>
    </w:p>
    <w:p w14:paraId="59CA65AC" w14:textId="77777777" w:rsidR="00366D8C" w:rsidRPr="000479E9" w:rsidRDefault="00366D8C" w:rsidP="00366D8C">
      <w:pPr>
        <w:pStyle w:val="box477650"/>
        <w:numPr>
          <w:ilvl w:val="0"/>
          <w:numId w:val="15"/>
        </w:numPr>
        <w:jc w:val="both"/>
      </w:pPr>
      <w:r w:rsidRPr="000479E9">
        <w:t>doveo je do značajne štete za klijente ili ulagatelje ili je stvorio konkretnu i neposrednu opasnost od nastanka takve štete</w:t>
      </w:r>
    </w:p>
    <w:p w14:paraId="44AB64BB" w14:textId="77777777" w:rsidR="00366D8C" w:rsidRPr="000479E9" w:rsidRDefault="00366D8C" w:rsidP="00366D8C">
      <w:pPr>
        <w:pStyle w:val="box477650"/>
        <w:numPr>
          <w:ilvl w:val="0"/>
          <w:numId w:val="15"/>
        </w:numPr>
        <w:jc w:val="both"/>
      </w:pPr>
      <w:r w:rsidRPr="000479E9">
        <w:t>doveo je do ugrožavanja urednog funkcioniranja tržišta ili narušavanja integriteta tržišta, ili je stvorio konkretnu i neposrednu opasnost od nastanka takvog događaja</w:t>
      </w:r>
    </w:p>
    <w:p w14:paraId="7E442D53" w14:textId="77777777" w:rsidR="00366D8C" w:rsidRPr="000479E9" w:rsidRDefault="00366D8C" w:rsidP="00366D8C">
      <w:pPr>
        <w:pStyle w:val="box477650"/>
        <w:numPr>
          <w:ilvl w:val="0"/>
          <w:numId w:val="15"/>
        </w:numPr>
        <w:jc w:val="both"/>
      </w:pPr>
      <w:r w:rsidRPr="000479E9">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46ACCEBD" w14:textId="27F03896" w:rsidR="00366D8C" w:rsidRPr="000479E9" w:rsidRDefault="00366D8C" w:rsidP="00366D8C">
      <w:pPr>
        <w:pStyle w:val="box477650"/>
        <w:numPr>
          <w:ilvl w:val="0"/>
          <w:numId w:val="15"/>
        </w:numPr>
        <w:jc w:val="both"/>
      </w:pPr>
      <w:r w:rsidRPr="000479E9">
        <w:t xml:space="preserve">onemogućio </w:t>
      </w:r>
      <w:r w:rsidR="000B0873" w:rsidRPr="000479E9">
        <w:t xml:space="preserve">je </w:t>
      </w:r>
      <w:r w:rsidRPr="000479E9">
        <w:t>ili znatno otežao nadzor Agencije</w:t>
      </w:r>
    </w:p>
    <w:p w14:paraId="6E83FD07" w14:textId="57032909" w:rsidR="00366D8C" w:rsidRPr="000479E9" w:rsidRDefault="00366D8C" w:rsidP="00366D8C">
      <w:pPr>
        <w:pStyle w:val="box477650"/>
        <w:numPr>
          <w:ilvl w:val="0"/>
          <w:numId w:val="15"/>
        </w:numPr>
        <w:jc w:val="both"/>
      </w:pPr>
      <w:r w:rsidRPr="000479E9">
        <w:t xml:space="preserve">povezan </w:t>
      </w:r>
      <w:r w:rsidR="000B0873" w:rsidRPr="000479E9">
        <w:t xml:space="preserve">je </w:t>
      </w:r>
      <w:r w:rsidRPr="000479E9">
        <w:t>s</w:t>
      </w:r>
      <w:r w:rsidR="000B0873" w:rsidRPr="000479E9">
        <w:t>a</w:t>
      </w:r>
      <w:r w:rsidRPr="000479E9">
        <w:t xml:space="preserve"> zlouporabom povjerljivih informacija ili imovine klijenata</w:t>
      </w:r>
    </w:p>
    <w:p w14:paraId="588EE39D" w14:textId="165774C4" w:rsidR="00366D8C" w:rsidRPr="000479E9" w:rsidRDefault="00366D8C" w:rsidP="00366D8C">
      <w:pPr>
        <w:pStyle w:val="box477650"/>
        <w:numPr>
          <w:ilvl w:val="0"/>
          <w:numId w:val="15"/>
        </w:numPr>
        <w:jc w:val="both"/>
      </w:pPr>
      <w:r w:rsidRPr="000479E9">
        <w:t xml:space="preserve">doveo </w:t>
      </w:r>
      <w:r w:rsidR="000B0873" w:rsidRPr="000479E9">
        <w:t xml:space="preserve">je </w:t>
      </w:r>
      <w:r w:rsidRPr="000479E9">
        <w:t>do neurednih uvjeta trgovanja ili poremećaja na tržištu ili je stvorio konkretnu i neposrednu opasnost od nastanka takvog događaja.</w:t>
      </w:r>
    </w:p>
    <w:p w14:paraId="1037E2C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 Za teži prekršaj iz stavka 2. kaznit će se pravna osoba ako:</w:t>
      </w:r>
    </w:p>
    <w:p w14:paraId="4B030498" w14:textId="77777777" w:rsidR="00C10AC0" w:rsidRPr="000479E9" w:rsidRDefault="00C10AC0" w:rsidP="00C10AC0">
      <w:pPr>
        <w:pStyle w:val="box477650"/>
        <w:shd w:val="clear" w:color="auto" w:fill="FFFFFF"/>
        <w:spacing w:before="0" w:beforeAutospacing="0" w:after="0" w:afterAutospacing="0"/>
        <w:jc w:val="both"/>
        <w:textAlignment w:val="baseline"/>
      </w:pPr>
    </w:p>
    <w:p w14:paraId="4DD40612" w14:textId="4C975654" w:rsidR="00C10AC0" w:rsidRPr="000479E9" w:rsidRDefault="00C10AC0" w:rsidP="00C10AC0">
      <w:pPr>
        <w:pStyle w:val="box477650"/>
        <w:shd w:val="clear" w:color="auto" w:fill="FFFFFF"/>
        <w:spacing w:before="0" w:beforeAutospacing="0" w:after="0" w:afterAutospacing="0"/>
        <w:jc w:val="both"/>
        <w:textAlignment w:val="baseline"/>
      </w:pPr>
      <w:r w:rsidRPr="000479E9">
        <w:t>1. kao investicijsko društvo Agenciju ne izvijesti u roku iz članka 26. stavka 5. ovoga Zakona o prestanku mandata člana uprave ili nadzornog odbora</w:t>
      </w:r>
    </w:p>
    <w:p w14:paraId="59F9CBF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 kao investicijsko društvo nije osigurala da zahtjev za izdavanje suglasnosti iz članka 29. stavka 1. ovoga Zakona bude podnesen najmanje tri mjeseca prije isteka mandata pojedinom članu uprave u skladu s člankom 29. stavkom 6. ovoga Zakona</w:t>
      </w:r>
    </w:p>
    <w:p w14:paraId="5F136E8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 kao investicijsko društvo nije osigurala da novi zahtjev za izdavanje suglasnosti za imenovanje bude podnesen Agenciji najkasnije u roku od 30 dana od dana primitka obavijesti o ukidanju, prestanku ili odbijanju izdavanja suglasnosti za imenovanje, u skladu s člankom 29. stavkom 7. ovoga Zakona</w:t>
      </w:r>
    </w:p>
    <w:p w14:paraId="0783B45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4. kao investicijsko društvo nije osigurala da novi zahtjev za izdavanje suglasnosti za imenovanje bude podnesen Agenciji najkasnije u roku od 30 dana od dana u situaciji kada investicijsko društvo ne ispunjava uvjet o najmanjem potrebnom broju članova </w:t>
      </w:r>
      <w:r w:rsidRPr="000479E9">
        <w:lastRenderedPageBreak/>
        <w:t>uprave u skladu s odredbama ovoga Zakona, u skladu s člankom 29. stavkom 7. ovoga Zakona</w:t>
      </w:r>
    </w:p>
    <w:p w14:paraId="62AA472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 kao investicijsko društvo ili burza u skladu s člankom 16. stavkom 1. ovoga Zakona ne obavijesti bez odgode Agenciju o saznanju o stjecanju ili otpuštanju udjela u tom investicijskom društvu ili burzi koji predstavlja kvalificirani udjel ili koji će izazvati prelazak ili smanjenje ispod 10 %, 20 %, 30 % ili 50 % u tom investicijskom društvu</w:t>
      </w:r>
    </w:p>
    <w:p w14:paraId="3978329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 kao investicijsko društvo ili kreditna institucija ili društvo za upravljanje, u skladu s obvezom iz članka 21. stavka 3. Delegirane uredbe (EU) br. 2017/565, primjerenim i proporcionalnim sustavima, sredstvima i postupcima ne osigura neprekidno i redovito obavljanje investicijskih usluga i aktivnosti protivno članku 51. stavku 6. ovoga Zakona</w:t>
      </w:r>
    </w:p>
    <w:p w14:paraId="533A27D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 kao investicijsko društvo, kreditna institucija ili društvo za upravljanje postupi protivno odredbi članka 54. stavka 1. ovoga Zakona odnosno nije propisala, ili ne primjenjuje, ne ažurira redovito, ne procjenjuje niti ne nadzire primjerene politike i postupke koji osiguravaju da investicijsko društvo i relevantne osobe društva postupaju u skladu sa svojim obvezama propisanima ovim Zakonom, Uredbom (EU) br. 596/2014, Uredbom (EU) br. 600/2014 i pravilnicima koje na temelju njih donosi Agencija</w:t>
      </w:r>
    </w:p>
    <w:p w14:paraId="7916700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 kao investicijsko društvo, kreditna institucija ili društvo za upravljanje nije ustrojila trajnu i učinkovitu funkciju usklađenosti, u skladu s člankom 22. stavcima 2. i 3. Delegirane uredbe (EU) br. 2017/565 i člankom 54. stavkom 3. ovoga Zakona</w:t>
      </w:r>
    </w:p>
    <w:p w14:paraId="6CD4234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 kao investicijsko društvo nije propisalo ili ne primjenjuje politiku primitaka koja je u skladu s uvjetima iz članka 27. Delegirane uredbe (EU) br. 2017/565 ili članka 56. ovoga Zakona</w:t>
      </w:r>
    </w:p>
    <w:p w14:paraId="215AC5F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 kao investicijsko društvo, kreditna institucija ili društvo za upravljanje nije uspostavila ili ne provodi primjerene postupke u cilju praćenja sprječavanja aktivnosti propisanih u skladu s člankom 57. stavkom 1. ovoga Zakona i u vezi s člankom 29. Delegirane uredbe (EU) br. 2017/565</w:t>
      </w:r>
    </w:p>
    <w:p w14:paraId="326A81B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 kao investicijsko društvo, kreditna institucija, društvo za upravljanje ili tržišni posrednik, protivno članku 58. stavku 4. ovoga Zakona, nije usvojila ili nije implementirala ili ne provodi učinkovitu pisanu politiku upravljanja sukobima interesa u skladu s primjenjivim uvjetima iz članaka 34. do 43. Delegirane uredbe (EU) br. 2017/565</w:t>
      </w:r>
    </w:p>
    <w:p w14:paraId="3AFECDD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 kao investicijsko društvo, kreditna institucija ili društvo za upravljanje ne izdvoji ključne operativne funkcije u smislu članka 30. Delegirane Uredbe (EU) br. 2017/565, na treću osobu, u skladu s člankom 59. stavkom 1. ovoga Zakona i u vezi s uvjetima iz članaka 31. i 32. Delegirane uredbe (EU) br. 2017/565</w:t>
      </w:r>
    </w:p>
    <w:p w14:paraId="5C2B060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 kao investicijsko društvo ili kreditna institucija koja je proizvođač u smislu članka 60. stavka 1. ovoga Zakona ne omogući svim distributerima pristup svim potrebnim podacima, u skladu s člankom 60. stavkom 3. ovoga Zakona</w:t>
      </w:r>
    </w:p>
    <w:p w14:paraId="7992DD0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 kao investicijsko društvo ili kreditna institucija koja je proizvođač u smislu članka 60. stavka 1. ovoga Zakona nije osigurala da postupak upravljanja proizvodima bude usklađen s uvjetima relevantnih propisa koji se odnose na upravljanje sukobima interesa, uključujući primitke od rada relevantnih osoba, u skladu s člankom 61. stavkom 3. ovoga Zakona</w:t>
      </w:r>
    </w:p>
    <w:p w14:paraId="123584D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15. kao investicijsko društvo ili kreditna institucija koja je proizvođač u smislu članka 60. stavka 1. ovoga Zakona nije poduzela sve primjerene mjere u slučaju realizacije ključnih događaja, u skladu s člankom 66. stavkom 2. ovoga Zakona</w:t>
      </w:r>
    </w:p>
    <w:p w14:paraId="2A363AB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 kao investicijsko društvo ili kreditna institucija koja je distributer u smislu članka 67. stavka 1. ovoga Zakona nije uspostavila odgovarajuće mehanizme upravljanja proizvodom, pa zbog toga proizvodi i usluge koje nudi ili preporučuje nisu u skladu s potrebama, obilježjima i ciljevima utvrđenog ciljanog tržišta, u skladu s člankom 68. stavkom 4. ovoga Zakona</w:t>
      </w:r>
    </w:p>
    <w:p w14:paraId="7D768B8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 kao investicijsko društvo ili kreditna institucija koja je distributer u smislu članka 67. stavka 1. ovog Zakona nije usvojila distribucijsku strategiju ili je usvojila distribucijsku strategiju koja nije usklađena s utvrđenim ciljanim tržištem, u skladu s člankom 68. stavkom 4. ovoga Zakona</w:t>
      </w:r>
    </w:p>
    <w:p w14:paraId="47D414E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 kao investicijsko društvo, kreditna institucija, društvo za upravljanje ili tržišni operater ne vodi evidencije i/ili poslovnu dokumentaciju, u skladu s člancima 72. do 76. Uredbe (EU) br. 2017/565 i prilozima I. i IV. Delegirane uredbe (EU) br. 2017/565 i člankom 75. stavkom 2. ovoga Zakona, tako da su Agenciji dovoljne za ocjenu pridržava li se investicijsko društvo svih obveza koje na temelju propisa iz članka 75. stavka 1. ovoga Zakona ima prema klijentima ili potencijalnim klijentima te poštuje li odredbe koje se odnose na očuvanje integriteta tržišta</w:t>
      </w:r>
    </w:p>
    <w:p w14:paraId="2E32F82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 kao investicijsko društvo, kreditna institucija, društvo za upravljanje ili tržišni posrednik nije u roku iz članka 76. stavka 4. ovoga Zakona čuvala svu dokumentaciju i podatke o svim poslovima s financijskim instrumentima</w:t>
      </w:r>
    </w:p>
    <w:p w14:paraId="7466AAE9" w14:textId="24A33382" w:rsidR="00C10AC0" w:rsidRPr="000479E9" w:rsidRDefault="00C10AC0" w:rsidP="00C10AC0">
      <w:pPr>
        <w:pStyle w:val="box477650"/>
        <w:shd w:val="clear" w:color="auto" w:fill="FFFFFF"/>
        <w:spacing w:before="0" w:beforeAutospacing="0" w:after="0" w:afterAutospacing="0"/>
        <w:jc w:val="both"/>
        <w:textAlignment w:val="baseline"/>
      </w:pPr>
      <w:r w:rsidRPr="000479E9">
        <w:t>20. kao investicijsko društvo ili kreditna institucija nije poduzela sve korake za evidentiranje komunikacije iz članka 77. stavaka 1. i 2. ovoga Zakona, u skladu s člankom 77. stavkom 3</w:t>
      </w:r>
      <w:r w:rsidR="0073453E" w:rsidRPr="000479E9">
        <w:t>.</w:t>
      </w:r>
      <w:r w:rsidRPr="000479E9">
        <w:t xml:space="preserve"> ovoga Zakona</w:t>
      </w:r>
    </w:p>
    <w:p w14:paraId="21B7961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 kao investicijsko društvo ili kreditna institucija nije usvojila, implementirala ili ne održava učinkovitu politiku o evidentiranju komunikacije iz članka 77. ovoga Zakona u skladu s uvjetima iz članka 79. ovoga Zakona i članka 76. Delegirane uredbe (EU) br. 2017/565</w:t>
      </w:r>
    </w:p>
    <w:p w14:paraId="1B04F9E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22. kao investicijsko društvo ili kreditna institucija nije poduzela sve razumne korake za sprječavanje komunikacije iz članka 77. ovoga Zakona privatnom opremom zaposlenika ili druge relevantne osobe u skladu s člankom 79. stavkom 2. ovoga Zakona</w:t>
      </w:r>
    </w:p>
    <w:p w14:paraId="28F3995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23. kao investicijsko društvo, kreditna institucija ili društvo za upravljanje koje drži novčana sredstva i/ili financijske instrumente klijenta ne vodi evidencije i račune tako da u svakom trenutku i bez odgađanja može razlikovati imovinu koju drži za jednog klijenta od imovine koju drži za bilo kojeg drugog klijenta i od svoje vlastite imovine, u skladu s člankom 80. stavkom 4. točkom 1. ovoga Zakona</w:t>
      </w:r>
    </w:p>
    <w:p w14:paraId="244F501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24. kao investicijsko društvo, kreditna institucija ili društvo za upravljanje koje drži novčana sredstva ili financijske instrumente klijenta ne vodi evidencije i račune tako da se mogu upotrijebiti za revizijski trag, u skladu s člankom 80. stavkom 4. točkom 2. ovoga Zakona</w:t>
      </w:r>
    </w:p>
    <w:p w14:paraId="11C04AE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25. kao investicijsko društvo, kreditna institucija ili društvo za upravljanje koje drži novčana sredstva ili financijske instrumente nije na odgovarajući način organizacijski ustrojena kako bi se rizik gubitka ili smanjenja imovine klijenta ili prava u vezi s tom imovinom, nastao kao rezultat zlouporabe imovine, prijevare, lošeg administriranja, </w:t>
      </w:r>
      <w:r w:rsidRPr="000479E9">
        <w:lastRenderedPageBreak/>
        <w:t>neprimjerenog vođenja evidencije ili nemara, sveo na najmanju moguću mjeru, u skladu s člankom 80. stavkom 4. točkom 6. ovoga Zakona</w:t>
      </w:r>
    </w:p>
    <w:p w14:paraId="1905B9B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26. kao investicijsko društvo ne postupa pažnjom dobrog stručnjaka pri odabiru, imenovanju ili ugovaranju uvjeta deponiranja novčanih sredstava klijenta u skladu s člankom 81. stavkom 4. ovoga Zakona i pravilnikom iz članka 80. stavka 10. ovoga Zakona</w:t>
      </w:r>
    </w:p>
    <w:p w14:paraId="0BB24D6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27. kao investicijsko društvo ili kreditna institucija koja koristi algoritamsko trgovanje ne uspostavi djelotvorne sustave i mjere za kontrolu rizika u skladu s odredbama Delegirane uredbe (EU) br. 2017/589 i članka 82. stavaka 1. do 4. ovoga Zakona</w:t>
      </w:r>
    </w:p>
    <w:p w14:paraId="524FB9B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28. kao investicijsko društvo ili kreditna institucija koja koristi algoritamsko trgovanje provodi strategiju održavanja tržišta u smislu članka 83. stavka 2. ovoga Zakona, a ne ispunjava uvjete propisane Delegiranom uredbom (EU) br. 2017/578 i člankom 83. stavkom 3. ovoga Zakona</w:t>
      </w:r>
    </w:p>
    <w:p w14:paraId="57955B4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29. kao investicijsko društvo ili kreditna institucija koja klijentima omogućuje izravan elektronički pristup mjestu trgovanja ne uspostavi djelotvorne sustave i kontrolne mehanizme koji osiguravaju ispravnu procjenu primjerenosti klijenta koji koristi uslugu te odgovarajuću kontrolu te procjene, u skladu s člankom 84. stavkom 2. točkom 1. ovoga Zakona</w:t>
      </w:r>
    </w:p>
    <w:p w14:paraId="17DBA7E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30. kao investicijsko društvo ili kreditna institucija koja klijentima omogućuje izravan elektronički pristup mjestu trgovanja ne uspostavi ili ne uspostavi djelotvorne sustave i kontrolne mehanizme koji onemogućuje klijentu da prekorači primjerene, unaprijed postavljene pragove trgovanja i ograničenja kredita za trgovanje, u skladu s člankom 84. stavkom 2. točkom 2. ovoga Zakona</w:t>
      </w:r>
    </w:p>
    <w:p w14:paraId="60C5457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31. kao investicijsko društvo ili kreditna institucija koja klijentima omogućuje izravan elektronički pristup mjestu trgovanja ne uspostavi djelotvorne sustave i kontrolne mehanizme koji osiguravaju primjeren nadzor trgovanja klijenata koji tu uslugu koriste, u skladu s člankom 84. stavkom 2. točkom 3. ovoga Zakona</w:t>
      </w:r>
    </w:p>
    <w:p w14:paraId="0B06224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32. kao investicijsko društvo ili kreditna institucija koja klijentima omogućuje izravan elektronički pristup mjestu trgovanja ne uspostavi djelotvorne sustave i kontrolne mehanizme koji sprječavaju da putem sustava izravnog elektroničkog pristupa dođe do trgovanja koje predstavlja rizik za samo investicijsko društvo, stvara ili doprinosi stvaranju neurednog tržišta, koje bi moglo biti suprotno Uredbi (EU) br. 596/2014 ili pravilima mjesta trgovanja, u skladu s člankom 84. stavkom 2. točkom 4. ovoga Zakona</w:t>
      </w:r>
    </w:p>
    <w:p w14:paraId="055D949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33. kao investicijsko društvo ili kreditna institucija koja klijentima omogućuje izravan elektronički pristup mjestu trgovanja nije osigurala da klijenti tu mogućnost koriste u skladu s uvjetima iz ovoga Zakona i pravilima mjesta trgovanja, u skladu s člankom 84. stavkom 7. ovoga Zakona</w:t>
      </w:r>
    </w:p>
    <w:p w14:paraId="7219874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34. kao investicijsko društvo, kreditna institucija, društvo za upravljanje ili tržišni posrednik tijekom pružanja investicijskih i pomoćnih usluga kontinuirano ili učestalo ne postupa u najboljem interesu klijenta, u skladu s člankom 86. stavcima 1. do 4. ovoga Zakona</w:t>
      </w:r>
    </w:p>
    <w:p w14:paraId="586740E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35. kao investicijsko društvo, kreditna institucija, društvo za upravljanje ili tržišni posrednik klijentima i/ili potencijalnim klijentima kontinuirano ili učestalo pruža podatke koji nisu korektni, jasni i koji dovode ili bi mogli dovesti u zabludu, u skladu s člankom 44. Delegirane uredbe (EU) br. 2017/565 i člankom 87. ovoga Zakona</w:t>
      </w:r>
    </w:p>
    <w:p w14:paraId="0C329C71" w14:textId="691B87AD" w:rsidR="00C10AC0" w:rsidRPr="000479E9" w:rsidRDefault="00C10AC0" w:rsidP="00C10AC0">
      <w:pPr>
        <w:pStyle w:val="box477650"/>
        <w:shd w:val="clear" w:color="auto" w:fill="FFFFFF"/>
        <w:spacing w:before="0" w:beforeAutospacing="0" w:after="0" w:afterAutospacing="0"/>
        <w:jc w:val="both"/>
        <w:textAlignment w:val="baseline"/>
      </w:pPr>
      <w:r w:rsidRPr="000479E9">
        <w:t>36. priprema istraživanja, daje na korištenje ili distribuira klijentima i/ili potencijalnim klijentima istraživanja koja nisu korektna, jasna, jasno prepoznatljiva ili dovode ili bi mogla dovesti u zabludu, protivno članku 87.a stavku 1. ovoga Zakona i uvjetima iz Delegirane uredbe Komisije (EU) 2017/565 koji se primjenjuju na to istraživanje</w:t>
      </w:r>
    </w:p>
    <w:p w14:paraId="0CA8547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37. kao investicijsko društvo koje pruža uslugu upravljanja portfeljem ili druge investicijske usluge ili pomoćne usluge ne osigura da je istraživanje koje distribuira klijentima ili potencijalnim klijentima, a koje u cijelosti ili djelomično plaća izdavatelj, označeno kao „istraživanje koje financira izdavatelj“, protivno članku 87.a stavku 2. ovoga Zakona</w:t>
      </w:r>
    </w:p>
    <w:p w14:paraId="30BC788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38. kao investicijsko društvo nije jasno i vidljivo označilo istraživanje u skladu s EU-ovim kodeksom ponašanja za istraživanja koja financira izdavatelj ili promidžbeni sadržaj, protivno odredbi članka 87.a stavka 3. ovoga Zakona</w:t>
      </w:r>
    </w:p>
    <w:p w14:paraId="49678D3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39. kao investicijsko društvo koje priprema ili distribuira istraživanje koje financira izdavatelj nije uspostavilo organizacijske aranžmane u skladu s člankom 87.a stavkom 4. ovoga Zakona</w:t>
      </w:r>
    </w:p>
    <w:p w14:paraId="24A1FC4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40. kao investicijsko društvo, kreditna institucija, društvo za upravljanje ili tržišni posrednik klijentima i/ili potencijalnim klijentima učestalo ne dostavlja pravodobno podatke iz stavka 2. članka 88. ovoga Zakona, u skladu s člankom 88. stavkom 1. ovoga Zakona</w:t>
      </w:r>
    </w:p>
    <w:p w14:paraId="7557320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41. kao investicijsko društvo kreditna institucija, društvo za upravljanje ili tržišni posrednik klijentima i/ili potencijalnim klijentima podatke iz članka 88. stavka 2. ovoga Zakona učestalo dostavlja u obliku koji nije u skladu s člankom 50. Delegirane uredbe (EU) br. 2017/565 i člankom 88. stavkom 3. ovoga Zakona</w:t>
      </w:r>
    </w:p>
    <w:p w14:paraId="2D28719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42. kao investicijsko društvo, kreditna institucija, društvo za upravljanje ili tržišni posrednik u komunikaciji s klijentima/potencijalnim klijentima učestalo ističe da je investicijski savjet koji nudi neovisan, a nisu ispunjeni uvjeti iz članka 53. Delegirane uredbe (EU) br. 2017/565 i članka 90. stavka 1. ovoga Zakona</w:t>
      </w:r>
    </w:p>
    <w:p w14:paraId="039AAFB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43. kao investicijsko društvo vodi zaseban račun za istraživanja protivno uvjetima propisanim člankom 94. stavkom 3. ovoga Zakona</w:t>
      </w:r>
    </w:p>
    <w:p w14:paraId="6053844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44. kao investicijsko društvo ne vodi evidenciju o ukupnim troškovima na način propisan člankom 94. stavkom 9. ovoga Zakona</w:t>
      </w:r>
    </w:p>
    <w:p w14:paraId="7F06633E" w14:textId="6030E0AC" w:rsidR="00C10AC0" w:rsidRPr="000479E9" w:rsidRDefault="00C10AC0" w:rsidP="00C10AC0">
      <w:pPr>
        <w:pStyle w:val="box477650"/>
        <w:shd w:val="clear" w:color="auto" w:fill="FFFFFF"/>
        <w:spacing w:before="0" w:beforeAutospacing="0" w:after="0" w:afterAutospacing="0"/>
        <w:jc w:val="both"/>
        <w:textAlignment w:val="baseline"/>
      </w:pPr>
      <w:r w:rsidRPr="000479E9">
        <w:t>45. kao investicijsko društvo na zahtjev klijenta ne stavi na raspolaganje informacije protivno odredbi članka 94. stavka 10. ovoga Zakona</w:t>
      </w:r>
    </w:p>
    <w:p w14:paraId="331A3E5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46. kao investicijsko društvo, kreditna institucija, društvo za upravljanje ili tržišni posrednik koji klijentima pruža uslugu investicijskog savjetovanja i/ili upravljanja portfeljem učestalo ne prikuplja ili učestalo prikuplja manjkave podatke iz članka 54. Delegirane uredbe (EU) br. 2017/565, u skladu s člankom 105. stavkom 3. ovoga Zakona</w:t>
      </w:r>
    </w:p>
    <w:p w14:paraId="10D6F43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47. kao investicijsko društvo ili kreditna institucija klijentima pruža investicijske usluge u smislu članka 107. stavka 1. ovoga Zakona, učestalo ne prikuplja ili učestalo </w:t>
      </w:r>
      <w:r w:rsidRPr="000479E9">
        <w:lastRenderedPageBreak/>
        <w:t>prikuplja manjkave podatke o znanju i iskustvu klijenta na području ulaganja iz članka 54. Delegirane uredbe (EU) br. 2017/565, u skladu s člankom 107. stavkom 3. ovoga Zakona</w:t>
      </w:r>
    </w:p>
    <w:p w14:paraId="21639C9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48. kao investicijsko društvo ili kreditna institucija klijentima učestalo pruža investicijske usluge bez prikupljanja podataka iz članka 107. ovoga Zakona, a nisu ispunjeni svi uvjeti iz članka 110. stavka 1. ovoga Zakona, u skladu s člankom 110. stavkom 1. ovoga Zakona</w:t>
      </w:r>
    </w:p>
    <w:p w14:paraId="057A8EE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49. kao investicijsko društvo ili kreditna institucija ne vodi evidencije o procjeni prikladnosti u skladu s člankom 56. Delegirane uredbe EU br. 2017/565 i člankom 108. ovoga Zakona</w:t>
      </w:r>
    </w:p>
    <w:p w14:paraId="49C8925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50. kao investicijsko društvo ili kreditna institucija pri izvršavanju naloga ne poduzme sve korake dovoljne za postizanje najpovoljnijeg ishoda za klijenta uzimajući u obzir cijene, troškove, brzinu, vjerojatnost izvršenja i namire, veličinu, vrstu te sve druge okolnosti relevantne za izvršavanje naloga, u skladu s člankom 121. stavkom 1. ovoga Zakona</w:t>
      </w:r>
    </w:p>
    <w:p w14:paraId="2EA3522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51. kao investicijsko društvo ili kreditna institucija nije bez odgode nakon izvršenja naloga, kada je riječ o financijskim instrumentima koji podliježu obvezama trgovanja utvrđenima u člancima 23. i 28. Uredbe (EU) br. 600/2014, obavijestila klijenta o mjestu izvršenja naloga, u skladu s člankom 121. stavkom 5. ovoga Zakona</w:t>
      </w:r>
    </w:p>
    <w:p w14:paraId="4A93524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52. se kao investicijsko društvo ili kreditna institucija koja izvršava naloge malih ulagatelja učestalo ne pridržava obveze utvrđivanja najpovoljnijeg ishoda u skladu s člankom 122. stavcima 1. i 2. ovoga Zakona</w:t>
      </w:r>
    </w:p>
    <w:p w14:paraId="10C8127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53. kao investicijsko društvo ili kreditna institucija koja izvršava naloge klijenata ne donese ili učestalo ne primjenjuje politiku izvršavanja naloga koja mu omogućava postizanje najpovoljnijeg ishoda pri izvršavanju naloga klijenta, u skladu s člankom 123. stavkom 1. ovoga Zakona</w:t>
      </w:r>
    </w:p>
    <w:p w14:paraId="6677FF5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54. kao investicijsko društvo ili kreditna institucija koja izvršava naloge klijenata nema propisane ili učestalo ne primjenjuje primjerene mjere i postupke koje jamče promptno, korektno i ažurno izvršavanje naloga u skladu s uvjetima iz članaka 67. do 69. Delegirane uredbe (EU) br. 2017/565, u skladu s člankom 119. stavkom 1. ovoga Zakona</w:t>
      </w:r>
    </w:p>
    <w:p w14:paraId="248BB6B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55. kao investicijsko društvo ili kreditna institucija koja izvršava naloge klijenata zloupotrijebi podatak u vezi s neizvršenim nalogom klijenta, u skladu s člankom 119. stavkom 4. ovoga Zakona</w:t>
      </w:r>
    </w:p>
    <w:p w14:paraId="1EECC1C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56. kao investicijsko društvo ili kreditna institucija učestalo limitirane naloge klijenta ne izvršava u skladu s uvjetima iz članka 70. Delegirane uredbe (EU) br. 2017/565, u skladu s člankom 120. stavkom 2. ovoga Zakona</w:t>
      </w:r>
    </w:p>
    <w:p w14:paraId="7BD3A7F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57. kao investicijsko društvo, kreditna institucija ili društvo za upravljanje poslove iz članka 126. stavka 1. ovoga Zakona povjeri osobi koja ne ispunjava uvjete iz članka 127. ovoga Zakona odnosno ako poslove iz članka 126. stavka 1. ovoga Zakona za račun investicijskog društva obavlja osoba koja nije upisana u registar vezanog zastupnika ili nije ovlaštena obavljati investicijske usluge i aktivnosti, u skladu s člankom 126. ovoga Zakona</w:t>
      </w:r>
    </w:p>
    <w:p w14:paraId="01DFAE6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58. kao investicijsko društvo, kreditna institucija ili društvo za upravljanje koje je imenovalo vezanog zastupnika ne nadzire ili ne nadzire adekvatno pridržava li se </w:t>
      </w:r>
      <w:r w:rsidRPr="000479E9">
        <w:lastRenderedPageBreak/>
        <w:t>vezani zastupnik ovoga Zakona i relevantnih propisa prilikom obavljanja poslova iz članka 126. stavka 1. ovoga Zakona, u skladu s člankom 128. stavkom 2. točkom 1. ovoga Zakona</w:t>
      </w:r>
    </w:p>
    <w:p w14:paraId="7D32B96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59. kao subjekt nadzora Agencije iz članka 191. stavka 2. ovoga Zakona ne postupi u skladu s rješenjem o nadzornim mjerama Agencije, izrečenim sukladno članku 201. ovoga Zakona, na način i u roku koji odredi Agencija</w:t>
      </w:r>
    </w:p>
    <w:p w14:paraId="1DFF744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60. kao investicijsko društvo ili kreditna institucija ne objavljuje ponude u skladu s člankom 14. stavkom 1. Uredbe (EU) br. 600/2014</w:t>
      </w:r>
    </w:p>
    <w:p w14:paraId="6C1D43E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61. kao investicijsko društvo ili kreditna institucija kao sistematski internalizator ne objavljuje ponude u skladu s člankom 15. stavkom 1. Uredbe (EU) br. 600/2014</w:t>
      </w:r>
    </w:p>
    <w:p w14:paraId="39C3BD6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62. kao investicijsko društvo ili kreditna institucija kao sistematski internalizator ne provodi transparentna i nediskriminirajuća pravila i objektivne kriterije za učinkovito izvršavanje naloga u skladu s člankom 15. stavkom 1. podstavkom 3. Uredbe (EU) br. 600/2014</w:t>
      </w:r>
    </w:p>
    <w:p w14:paraId="2545FE3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63. kao investicijsko društvo ili kreditna institucija kao sistematski internalizator učestalo izvršava naloge klijenata prema cijenama različitima od onih propisanih člankom 15. stavkom 2. Uredbe (EU) br. 600/2014</w:t>
      </w:r>
    </w:p>
    <w:p w14:paraId="09378AF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64. kao investicijsko društvo ili kreditna institucija kao sistematski internalizator koji objavljuje ponude za različite veličine učestalo izvršava naloge klijenata protivno uvjetima iz članka 15. stavka 4. Uredbe (EU) br. 600/2014</w:t>
      </w:r>
    </w:p>
    <w:p w14:paraId="32DAAB3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65. kao investicijsko društvo ili kreditna institucija kao sistematski internalizator nema jasne standarde koji uređuju pristup ponudama, u skladu s člankom 17. stavkom 1. Uredbe (EU) br. 600/2014</w:t>
      </w:r>
    </w:p>
    <w:p w14:paraId="09E6A75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66. kao investicijsko društvo ili kreditna institucija kao sistematski internalizator nije uskladila ponude, poboljšanja cijena tih ponuda ili cijene izvršenja s pomacima cijene utvrđenima u skladu s člankom 49. Direktive 2014/65/EU, u skladu s člankom 17.a Uredbe (EU) br. 600/2014</w:t>
      </w:r>
    </w:p>
    <w:p w14:paraId="70AE3F9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67. kao investicijsko društvo ili kreditna institucija nije uskladila informacije objavljene u skladu s člankom 21. stavkom 1. Uredbe (EU) br. 600/2014 sa zahtjevima iz članka 21. stavka 3. Uredbe (EU) br. 600/2014</w:t>
      </w:r>
    </w:p>
    <w:p w14:paraId="67CB852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68. kao investicijsko društvo ili kreditna institucija nije osigurala da se transakcije dionicama koje imaju međunarodni identifikacijski broj vrijednosnog papira (ISIN) izdan u Europskom gospodarskom prostoru (EGP) i kojima se trguje na mjestu trgovanja koje ono izvršava odvija na odgovarajućem mjestu trgovanja, u skladu s člankom 23. stavkom 1. Uredbe (EU) br. 600/2014</w:t>
      </w:r>
    </w:p>
    <w:p w14:paraId="05BF698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69. kao investicijsko društvo ili kreditna institucija upravlja unutarnjim sustavom za uparivanje naloga, a nema odobrenje Agencije za pružanje usluge upravljanja MTP-om u skladu s člankom 23. stavkom 2. Uredbe (EU) br. 600/2014</w:t>
      </w:r>
    </w:p>
    <w:p w14:paraId="1B413E4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70. kao investicijsko društvo ili kreditna institucija ne čuva podatke o nalozima i transakcijama u skladu s člankom 25. stavkom 1. Uredbe (EU) br. 600/2014</w:t>
      </w:r>
    </w:p>
    <w:p w14:paraId="30FE435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71. kao investicijsko društvo ili kreditna institucija ne objavljuje podatke o transakciji u skladu s uvjetima iz članka 20. stavka 1. Uredbe (EU) br. 600/2014</w:t>
      </w:r>
    </w:p>
    <w:p w14:paraId="256B3B60" w14:textId="704ADA31"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72. kao investicijsko društvo ili kreditna institucija ne objavljuje sve pojedinačne transakcije preko jednog APA-e u skladu s člankom 20. stavkom </w:t>
      </w:r>
      <w:r w:rsidR="00D90459" w:rsidRPr="000479E9">
        <w:t>1.a</w:t>
      </w:r>
      <w:r w:rsidRPr="000479E9">
        <w:t xml:space="preserve"> Uredbe (EU) br. 600/2014</w:t>
      </w:r>
    </w:p>
    <w:p w14:paraId="1DD19DA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73. kao investicijsko društvo ili kreditna institucija ne objavljuje transakcije u skladu s uvjetima iz članka 21. stavka 1. Uredbe (EU) br. 600/2014</w:t>
      </w:r>
    </w:p>
    <w:p w14:paraId="0D98F57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74. kao investicijsko društvo ili kreditna institucija učestalo ne objavljuje sve pojedinačne transakcije preko jednog APA-e u skladu s člankom 21. stavkom 2. Uredbe (EU) br. 600/2014</w:t>
      </w:r>
    </w:p>
    <w:p w14:paraId="400DB71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75. kao središnja druga ugovorna strana ne prihvati poravnanje financijskih instrumenata suprotno uvjetima propisanima člankom 35. stavkom 1. Uredbe (EU) br. 600/2014</w:t>
      </w:r>
    </w:p>
    <w:p w14:paraId="6936A80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76. kao središnja druga ugovorna strana uskrati pristup mjestu trgovanja protivno članku 35. stavku 3. Uredbe (EU) br. 600/2014</w:t>
      </w:r>
    </w:p>
    <w:p w14:paraId="70D9F6B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77. kao središnja druga ugovorna strana ne prihvati poravnanje financijskih instrumenata suprotno uvjetima propisanima člankom 36. stavkom 1. Uredbe (EU) br. 600/2014</w:t>
      </w:r>
    </w:p>
    <w:p w14:paraId="74DB2F0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78. kao središnja druga ugovorna strana uskrati pristup mjestu trgovanja protivno članku 36. stavku 3. Uredbe (EU) br. 600/2014</w:t>
      </w:r>
    </w:p>
    <w:p w14:paraId="17A7603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79. je kao središnja druga ugovorna strana, tržišni operater, investicijsko društvo ili kreditna institucija koja upravlja mjestom trgovanja ili povezani subjekt sklopila sporazum s ponuditeljem referentne vrijednosti u suprotnosti s člankom 37. stavkom 3. Uredbe (EU) br. 600/2014</w:t>
      </w:r>
    </w:p>
    <w:p w14:paraId="0B237EB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80. na tržište stavi, distribuira ili prodaje određene financijske instrumente ili strukturirane depozite ili financijske instrumente ili strukturirane depozite s određenim naznačenim obilježjima protivno zabrani ESMA-e, EBA-e ili Agencije u skladu s člancima 40., 41. i 42. Uredbe (EU) br. 600/2014</w:t>
      </w:r>
    </w:p>
    <w:p w14:paraId="6BC01C2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81. obavlja određene vrste financijskih aktivnosti ili praksi protivno zabrani ESMA-e, EBA-e ili Agencije u skladu s člancima 40., 41. i 42. Uredbe (EU) br. 600/2014</w:t>
      </w:r>
    </w:p>
    <w:p w14:paraId="4405B5F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82. kao financijska druga ugovorna strana ili nefinancijska druga ugovorna strana koja podliježe obvezi poravnanja na temelju glave II. Uredbe (EU) br. 648/2012 učestalo zaključuje transakcije protivno članku 28. stavku 1. Uredbe (EU) br. 600/2014</w:t>
      </w:r>
    </w:p>
    <w:p w14:paraId="2A220FC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83. kao središnja druga ugovorna strana, tržišni operater, investicijsko društvo ili kreditna institucija koja upravlja mjestom trgovanja ili investicijsko društvo ili kreditna institucija koja djeluje kao član poravnanja u skladu s člankom 2. stavkom 14. Uredbe (EU) br. 648/2012 nije uspostavila djelotvorne sustave, postupke i/ili mehanizme u odnosu na poravnane izvedenice u skladu s člankom 29. stavkom 2. Uredbe (EU) br. 600/2014</w:t>
      </w:r>
    </w:p>
    <w:p w14:paraId="77C34F3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84. kao investicijsko društvo, kreditna institucija ili tržišni operater koji je pružatelj usluga smanjenja rizika nakon trgovanja ne vodi potpunu i točnu evidenciju transakcija iz članka 31. stavka 1. Uredbe (EU) br. 600/2014 ili ne pruža Agenciji ili ESMA-i pristup tim evidencijama, u skladu s člankom 31. stavkom 3. Uredbe (EU) br. 600/2014</w:t>
      </w:r>
    </w:p>
    <w:p w14:paraId="1AC273E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85. kao osoba koja ima vlasnička prava na referentnu vrijednost nije osigurala pristup središnjoj drugoj ugovornoj strani i/ili mjestu trgovanja podacima u skladu s člankom 37. stavkom 1. Uredbe (EU) br. 600/2014</w:t>
      </w:r>
    </w:p>
    <w:p w14:paraId="30E5420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86. kao investicijsko društvo ili kreditna institucija učestalo ne izvještava Agenciju o detaljima izvršenih transakcija iz članka 26. stavka 1. Uredbe (EU) br. 600/2014, na </w:t>
      </w:r>
      <w:r w:rsidRPr="000479E9">
        <w:lastRenderedPageBreak/>
        <w:t>načine propisane člankom 26. stavkom 7. Uredbe (EU) br. 600/2014 i u rokovima propisanim člankom 26. stavkom 1. Uredbe (EU) br. 600/2014</w:t>
      </w:r>
    </w:p>
    <w:p w14:paraId="6623E47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87. kao investicijsko društvo ili kreditna institucija učestalo dostavlja Agenciji izvještaj o izvršenim transakcijama iz članka 26. stavka 1. Uredbe (EU) br. 600/2014 koji nije ispunjen podacima propisanim člankom 26. stavkom 3. Uredbe (EU) br. 600/2014 ili isti izvještaj učestalo ne ispunjava ispravno</w:t>
      </w:r>
    </w:p>
    <w:p w14:paraId="0A00406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88. kao investicijsko društvo ili kreditna institucija iz članka 26. stavka 4. Uredbe (EU) br. 600/2014 učestalo ne navodi u prenesenom nalogu sve pojedinosti navedene u članku 26. stavcima 1. i 3. Uredbe (EU) br. 600/2014 ili učestalo sama ne izvještava Agenciju o detaljima izvršenih transakcija</w:t>
      </w:r>
    </w:p>
    <w:p w14:paraId="46B2CE5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89. kao investicijsko društvo ili kreditna institucija koja upravlja mjestom trgovanja učestalo ne izvještava Agenciju sukladno članku 26. stavcima 1. i 3. Uredbe (EU) br. 600/2014 o detaljima transakcija koje su izvršene preko njegova sustava na temelju naloga osobe na koju se ne odnose odredbe Uredbe (EU) br. 600/2014, a sukladno članku 26. stavku 4. Uredbe (EU) br. 600/2014</w:t>
      </w:r>
    </w:p>
    <w:p w14:paraId="54A19D5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90. kao investicijsko društvo ili kreditna institucija koja upravlja mjestom trgovanja i koja u ime investicijskog društva dostavlja Agenciji izvještaj o izvršenim transakcijama sukladno članku 26. stavku 7. podstavku 1. Uredbe (EU) br. 600/2014, nema uspostavljene i ne primjenjuje organizacijske zahtjeve propisane člankom 26. stavkom 7. podstavkom 5. Uredbe (EU) br. 600/2014</w:t>
      </w:r>
    </w:p>
    <w:p w14:paraId="571D067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91. kao investicijsko društvo ili kreditna institucija učestalo ne podnosi ispravljeno izvješće o izvršenim transakcijama iz članka 26. stavka 1. Uredbe (EU) br. 600/2014, sukladno članku 26. stavku 7. podstavku 8. Uredbe (EU) br. 600/2014</w:t>
      </w:r>
    </w:p>
    <w:p w14:paraId="0F8ECFFE" w14:textId="08359130" w:rsidR="00C10AC0" w:rsidRPr="000479E9" w:rsidRDefault="00C10AC0" w:rsidP="00C10AC0">
      <w:pPr>
        <w:pStyle w:val="box477650"/>
        <w:shd w:val="clear" w:color="auto" w:fill="FFFFFF"/>
        <w:spacing w:before="0" w:beforeAutospacing="0" w:after="0" w:afterAutospacing="0"/>
        <w:jc w:val="both"/>
        <w:textAlignment w:val="baseline"/>
      </w:pPr>
      <w:r w:rsidRPr="000479E9">
        <w:t>92. kao investicijsko društvo ili kreditna institucija učestalo ne dostavlja Agenciji potpunu specifikaciju pozicija iz članka 383. stavaka 1. i 2. ovoga Zakona, protivno članku 381. stavku 1. točki 1. ovoga Zakona, ili istu specifikaciju učestalo ne ispunjava ispravno</w:t>
      </w:r>
    </w:p>
    <w:p w14:paraId="74CDE9E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93. kao investicijsko društvo ili kreditna institucija učestalo ne dostavlja drugom ili središnjem nadležnom tijelu potpunu specifikaciju pozicija iz članka 383. stavaka 1. i 2. ovoga Zakona, protivno članku 381. stavku 1. točkama 1., 2. i 3. ovoga Zakona, ili istu specifikaciju ne dostavlja drugom ili središnjem nadležnom tijelu u obliku propisanom Provedbenom uredbom (EU) br. 2017/1093 ili istu specifikaciju učestalo ne ispunjava ispravno</w:t>
      </w:r>
    </w:p>
    <w:p w14:paraId="1A946B8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94. kao investicijsko društvo ili kreditna institucija koji su članovi uređenog tržišta ili MTP-a ili klijenti OTP-a učestalo ne izvještava investicijska društva, kreditne institucije ili tržišne operatere tih mjesta trgovanja o detaljima vlastitih pozicija, kao i detaljima pozicija konačnih klijenata koje drži putem ugovora kojima se trguje na tom mjestu trgovanja u skladu s člankom 382. ovoga Zakona ili o detaljima pozicija učestalo izvještava neispravno</w:t>
      </w:r>
    </w:p>
    <w:p w14:paraId="4AEE4E6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95. kao investicijsko društvo ili kreditna institucija kao sistematski internalizator ponude daje protivno uvjetima iz članka 14. stavka 3. Uredbe (EU) br. 600/2014 u pogledu cijene i/ili minimalne količine</w:t>
      </w:r>
    </w:p>
    <w:p w14:paraId="33425A8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96. kao burza ne obavlja zadaće vezane uz organizaciju i poslovanje uređenog tržišta u skladu s člankom 284. stavkom 3. ovoga Zakona, vodeći se načelima zaštite javnog interesa i stabilnosti tržišta kapitala u skladu sa stavkom 5. istoga članka</w:t>
      </w:r>
    </w:p>
    <w:p w14:paraId="13988F3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97. kao burza ne osigura da uređeno tržište ispunjava uvjete iz dijela prvoga glave III. ovoga Zakona, u skladu s člankom 284. stavkom 2. ovoga Zakona</w:t>
      </w:r>
    </w:p>
    <w:p w14:paraId="5EBC03F4" w14:textId="0A0F9A3C"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98. kao burza obavlja druge djelatnosti protivno članku 285. stavku </w:t>
      </w:r>
      <w:r w:rsidR="008B68A6" w:rsidRPr="000479E9">
        <w:t>5. i 6</w:t>
      </w:r>
      <w:r w:rsidRPr="000479E9">
        <w:t>. ovoga Zakona</w:t>
      </w:r>
    </w:p>
    <w:p w14:paraId="6DF09DF3" w14:textId="7E57E5C6"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99. kao burza ne obavijesti Agenciju, na dan početka obavljanja nove djelatnosti, o novoj djelatnosti i/ili ne dostavi obrazloženje iz članka 285. stavka </w:t>
      </w:r>
      <w:r w:rsidR="008B68A6" w:rsidRPr="000479E9">
        <w:t>9</w:t>
      </w:r>
      <w:r w:rsidRPr="000479E9">
        <w:t xml:space="preserve">. ovoga Zakona, protivno članku 285. stavku </w:t>
      </w:r>
      <w:r w:rsidR="008B68A6" w:rsidRPr="000479E9">
        <w:t>7</w:t>
      </w:r>
      <w:r w:rsidRPr="000479E9">
        <w:t>. ovoga Zakona</w:t>
      </w:r>
    </w:p>
    <w:p w14:paraId="42E86C3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100. kao burza nije osigurala da članovi uprave burze u svakom trenutku ispunjavaju svaki od zahtjeva iz članka 288. stavka 4. ovoga Zakona</w:t>
      </w:r>
    </w:p>
    <w:p w14:paraId="698C340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101. kao burza značajna u smislu veličine, unutarnje organizacije i prirode, područja djelovanja i složenosti aktivnosti nije uspostavila odbor za imenovanja, u skladu s odredbama članka 289. stavka 10. ovoga Zakona</w:t>
      </w:r>
    </w:p>
    <w:p w14:paraId="42B5A7C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102. kao burza ako članovi nadzornog odbora burze nemaju pristup informacijama i/ili dokumentima koji su potrebni za nadgledanje i praćenje odlučivanja uprave burze kako je propisano člankom 289. stavkom 16. ovoga Zakona</w:t>
      </w:r>
    </w:p>
    <w:p w14:paraId="4DF3051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103. kao burza ne pribavi prethodnu suglasnost Agencije protivno članku 294. stavku 1. ovoga Zakona</w:t>
      </w:r>
    </w:p>
    <w:p w14:paraId="7F1818B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104. kao burza ne obavijesti Agenciju u skladu s člankom 294. stavkom 3. ovoga Zakona</w:t>
      </w:r>
    </w:p>
    <w:p w14:paraId="5A7986B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105. kao burza Agenciju ne obavijesti u roku iz članka 295. stavka 1. ovoga Zakona o prestanku mandata člana uprave ili nadzornog odbora</w:t>
      </w:r>
    </w:p>
    <w:p w14:paraId="0330F62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106. kao burza Agenciji ne dostavi podatke na temelju kojih je moguće procijeniti da su ispunjeni svi zahtjevi propisani odredbama članka 288. i odredbama članka 289. ovoga Zakona ili Agenciju ne obavijesti o značajnijim promjenama u načinu izvršenja zahtjeva propisanih odredbama članaka 288. i 289. ovoga Zakona, a sukladno članku 295. stavku 2. ovoga Zakona</w:t>
      </w:r>
    </w:p>
    <w:p w14:paraId="08607623" w14:textId="0D16DAE3"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107. kao burza nije osigurala da novi zahtjev za izdavanje suglasnosti za imenovanje bude podnesen Agenciji najkasnije u roku od 30 dana od dana primitka obavijesti o ukidanju, prestanku ili odbijanju izdavanja suglasnosti za imenovanje, u skladu s člankom 292. stavkom </w:t>
      </w:r>
      <w:r w:rsidR="00D85E7B" w:rsidRPr="000479E9">
        <w:t>5</w:t>
      </w:r>
      <w:r w:rsidRPr="000479E9">
        <w:t>. ovoga Zakona</w:t>
      </w:r>
    </w:p>
    <w:p w14:paraId="77A0DE2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108. kao burza nije dostavila Agenciji podatke o vlasničkoj strukturi, imateljima kvalificiranih udjela, kao i o identitetu i iznosu udjela svih osoba koje imaju mogućnost vršiti značajan utjecaj na upravljanje uređenim tržištem kako je propisano člankom 293. stavkom 2. ovoga Zakona</w:t>
      </w:r>
    </w:p>
    <w:p w14:paraId="7176786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109. kao burza nije obavijestila Agenciju o svim značajnim promjenama u poslovanju burze u skladu s člankom 287. stavkom 8. ovoga Zakona</w:t>
      </w:r>
    </w:p>
    <w:p w14:paraId="68F63C5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110. kao burza nije o padu vlastitih financijskih sredstava obavijestila Agenciju sukladno članku 287. stavku 7. ovoga Zakona</w:t>
      </w:r>
    </w:p>
    <w:p w14:paraId="4976D57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111. kao burza nije uspostavila ili nije primjenjivala mjere i postupke za funkcioniranje trgovinskog sustava sukladno članku 296. stavku 1. točki 11. ovoga Zakona</w:t>
      </w:r>
    </w:p>
    <w:p w14:paraId="6EE7FE9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112. kao burza nije usvojila ili nije primjenjivala sigurnosne mjere za eventualne poremećaje u sustavu sukladno članku 296. stavku 1. točki 11. ovoga Zakona</w:t>
      </w:r>
    </w:p>
    <w:p w14:paraId="551F925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113. kao burza nije usvojila ili nije primjenjivala pravila i postupke koji omogućuju korektno i uredno trgovanje sukladno članku 296. stavku 1. točki 12. ovoga Zakona</w:t>
      </w:r>
    </w:p>
    <w:p w14:paraId="373E148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114. kao burza nije usvojila ili nije primjenjivala objektivne kriterije za djelotvorno izvršavanje naloga sukladno članku 296. stavku 1. točki 12. ovoga Zakona</w:t>
      </w:r>
    </w:p>
    <w:p w14:paraId="63A77C9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115. kao burza nije usvojila ili nije primjenjivala mjere koje olakšavaju zaključivanje transakcija sukladno članku 296. stavku 1. točki 13. ovoga Zakona</w:t>
      </w:r>
    </w:p>
    <w:p w14:paraId="2B63104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116. kao burza nije uspostavila mehanizme kojima se osigurava da ispunjava standarde kvalitete podataka na temelju članka 22.b Uredbe (EU) br. 600/2014, u skladu s člankom 296. stavkom 1. točkom 14. ovoga Zakona</w:t>
      </w:r>
    </w:p>
    <w:p w14:paraId="127578A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117. kao burza nije osigurala da ima najmanje tri značajno aktivna člana ili korisnika, od kojih svaki ima mogućnost interakcije s ostalima u vezi s formiranjem cijena, u skladu s člankom 296. stavkom 1. točkom 15. ovoga Zakona</w:t>
      </w:r>
    </w:p>
    <w:p w14:paraId="3FA32D6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118. je kao burza izdvojila poslovne procese koji su bitni za njezino poslovanje ili rad uređenog tržišta suprotno članku 296. stavku 3. ovoga Zakona</w:t>
      </w:r>
    </w:p>
    <w:p w14:paraId="7210ECB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119. kao burza ili operater MTP-a ili operater OTP-a nije uspostavila učinkovite mehanizme sukladno odredbi članka 298. stavka 2. ovoga Zakona i odredbama Delegirane uredbe (EU) br. 2017/584</w:t>
      </w:r>
    </w:p>
    <w:p w14:paraId="0E55A90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120. kao burza ili operater MTP-a ili operater OTP-a nije osigurala otpornost trgovinskog sustava, sukladno članku 298. stavku 1. točki 1. ovoga Zakona i odredbi Delegirane uredbe (EU) br. 2017/584</w:t>
      </w:r>
    </w:p>
    <w:p w14:paraId="07416FB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121. kao burza ili operater MTP-a ili operater OTP-a nije osigurala dovoljan kapacitet trgovinskog sustava za obradu velikog broja naloga i poruka, sukladno članku 298. stavku 1. točki 2. ovoga Zakona i odredbi Delegirane uredbe (EU) br. 2017/584</w:t>
      </w:r>
    </w:p>
    <w:p w14:paraId="7466BB74" w14:textId="382ABDB9"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122. kao burza ili operater MTP-a ili operater OTP-a nije osigurala uredno trgovanje u uvjetima tržišnog stresa, sukladno članku 298. stavku 1. točki 3. ovoga Zakona </w:t>
      </w:r>
    </w:p>
    <w:p w14:paraId="24324F6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123. kao burza ili operater MTP-a ili operater OTP-a nije uspostavila sustave, postupke i mehanizme za odbacivanje naloga sukladno članku 299. stavku 1. ovoga Zakona</w:t>
      </w:r>
    </w:p>
    <w:p w14:paraId="391CB21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124. kao burza ili operater MTP-a ili operater OTP-a nije osigurala da su parametri za zaustavljanje trgovanja adekvatno prilagođeni na način da u obzir uzima likvidnost različitih razreda i podrazreda imovine, prirodu tržišnog modela i vrste korisnika koji su dovoljni da se izbjegnu značajni poremećaji u urednosti trgovanja i iste primjenjivati, u skladu s člankom 299. stavkom 3. ovoga Zakona</w:t>
      </w:r>
    </w:p>
    <w:p w14:paraId="1CE881A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125. kao burza ili operater MTP-a ili operater OTP-a nije javno objavila na svojoj internetskoj stranici informacije o okolnostima koje su dovele do zaustavljanja ili ograničavanja trgovanja i o načelima za utvrđivanje glavnih tehničkih parametara koji se za to koriste, u skladu s člankom 299. stavkom 7. ovoga Zakona</w:t>
      </w:r>
    </w:p>
    <w:p w14:paraId="1EC3D6F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126. kao burza ili operater MTP-a ili operater OTP-a koja upravlja uređenim tržištem bitnim u smislu likvidnosti sukladno odredbama Delegirane uredbe (EU) br. 2017/566 nije uspostavila sustave i postupke radi osiguravanja obavještavanja nadležnog tijela, sukladno članku 299. stavku 6. ovoga Zakona</w:t>
      </w:r>
    </w:p>
    <w:p w14:paraId="5A19902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127. kao burza ili operater MTP-a ili operater OTP-a nije osigurala sustave, postupke i mehanizme kako bi osigurala sprječavanje stvaranja neurednih uvjeta trgovanja i upravljanja neurednim uvjetima trgovanja zbog algoritamskog trgovanja, sukladno članku 301. stavku 1. ovoga Zakona</w:t>
      </w:r>
    </w:p>
    <w:p w14:paraId="21BBEF4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128. kao burza ili operater MTP-a ili operater OTP-a članovima nije omogućila okruženje za provođenje testiranja algoritama, sukladno članku 301. stavku 2. ovoga Zakona i sukladno odredbama Delegirane uredbe (EU) br. 2017/584</w:t>
      </w:r>
    </w:p>
    <w:p w14:paraId="41D738B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129. kao burza ili operater MTP-a ili operater OTP-a koji omogućava izravni elektronički pristup uređenom tržištu nije osigurala takav pristup osobama na način kako su one određene sukladno članku 302. stavku 1. podstavku 1. ovoga Zakona</w:t>
      </w:r>
    </w:p>
    <w:p w14:paraId="78A831C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130. kao burza ili operater MTP-a ili operater OTP-a nije sklopila s članovima sporazume za suspendiranje ili isključivanje pružanja izravnog elektroničkog pristupa, sukladno članku 302. stavku 3. ovoga članka</w:t>
      </w:r>
    </w:p>
    <w:p w14:paraId="678A82F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131. kao burza ili operater MTP-a ili operater OTP-a nije usvojila režim pomaka cijena za dionice, potvrde o deponiranim vrijednosnim papirima, fondovima čijim se udjelima trguje na burzi, certifikate i/ili druge slične financijske instrumente odnosno sve druge financijske instrumente za koje su zahtjevi uređeni Delegiranom uredbom (EU) br. 2017/588, sukladno članku 303. stavku 1. ovoga Zakona i odredbama Delegirane uredbe (EU) br. 2017/588</w:t>
      </w:r>
    </w:p>
    <w:p w14:paraId="47CE6E3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132. kao burza ne dostavi Agenciji prijedlog pravila burze te njihovih izmjena i dopuna, kao i obrazloženje, suprotno članku 305. stavku 4. ovoga Zakona</w:t>
      </w:r>
    </w:p>
    <w:p w14:paraId="5567B1F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133. kao burza ne objavi pravila burze na propisani način i u propisanom roku, protivno članku 305. stavku 4. ovoga Zakona</w:t>
      </w:r>
    </w:p>
    <w:p w14:paraId="0624079D" w14:textId="5ABD2112" w:rsidR="00C10AC0" w:rsidRPr="000479E9" w:rsidRDefault="00C10AC0" w:rsidP="00C10AC0">
      <w:pPr>
        <w:pStyle w:val="box477650"/>
        <w:shd w:val="clear" w:color="auto" w:fill="FFFFFF"/>
        <w:spacing w:before="0" w:beforeAutospacing="0" w:after="0" w:afterAutospacing="0"/>
        <w:jc w:val="both"/>
        <w:textAlignment w:val="baseline"/>
      </w:pPr>
      <w:r w:rsidRPr="000479E9">
        <w:t>134. kao burza ne obavijesti Agenciju i/ili korisnike usluga protivno članku 305. stavku 6. ovoga Zakona</w:t>
      </w:r>
    </w:p>
    <w:p w14:paraId="2F44B73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135. kao burza ne odredi naknade za kolokacijske usluge u skladu s Delegiranom uredbom Komisije (EU) 2017/573 оd 6. lipnja 2016. o dopuni Direktive 2014/65/EU Europskog parlamenta i Vijeća o tržištu financijskih instrumenata u pogledu regulatornih tehničkih standarda o zahtjevima kojima se osiguravaju korektne i nediskriminirajuće kolokacijske usluge i strukture naknada (Tekst značajan za EGP) (SL L 87, 31. 3. 2017.), protivno članku 306. stavku 2. ovoga Zakona</w:t>
      </w:r>
    </w:p>
    <w:p w14:paraId="7A34FCF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136. kao burza ne obavijesti bez odgode Agenciju o svakoj promjeni naknada iz članka 306. stavaka 1. i 2. ovoga Zakona, zajedno s obrazloženjem, protivno članku 306. stavku 8. ovoga Zakona</w:t>
      </w:r>
    </w:p>
    <w:p w14:paraId="5DD9569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137. kao burza ne dostavi Agenciji prijedlog cjenika burze, kao i njegovih izmjena i dopuna, 15 dana prije njegova usvajanja, protivno članku 306. stavku 9. ovoga Zakona</w:t>
      </w:r>
    </w:p>
    <w:p w14:paraId="2AD653E9" w14:textId="3FACA5A8" w:rsidR="00C10AC0" w:rsidRPr="000479E9" w:rsidRDefault="00C10AC0" w:rsidP="00C10AC0">
      <w:pPr>
        <w:pStyle w:val="box477650"/>
        <w:shd w:val="clear" w:color="auto" w:fill="FFFFFF"/>
        <w:spacing w:before="0" w:beforeAutospacing="0" w:after="0" w:afterAutospacing="0"/>
        <w:jc w:val="both"/>
        <w:textAlignment w:val="baseline"/>
      </w:pPr>
      <w:r w:rsidRPr="000479E9">
        <w:t>13</w:t>
      </w:r>
      <w:r w:rsidR="00404E2C" w:rsidRPr="000479E9">
        <w:t>8</w:t>
      </w:r>
      <w:r w:rsidRPr="000479E9">
        <w:t>. kao burza, nije utvrdila Pravilima uređenog tržišta segmente uređenog tržišta i/ili jasna i transparentna pravila o uvrštenju financijskih instrumenata na uređeno tržište na pojedini segment, protivno članku 320. stavku 1. ovoga Zakona</w:t>
      </w:r>
    </w:p>
    <w:p w14:paraId="7B5DEC14" w14:textId="2D4C4BA8" w:rsidR="00C10AC0" w:rsidRPr="000479E9" w:rsidRDefault="00C10AC0" w:rsidP="00C10AC0">
      <w:pPr>
        <w:pStyle w:val="box477650"/>
        <w:shd w:val="clear" w:color="auto" w:fill="FFFFFF"/>
        <w:spacing w:before="0" w:beforeAutospacing="0" w:after="0" w:afterAutospacing="0"/>
        <w:jc w:val="both"/>
        <w:textAlignment w:val="baseline"/>
      </w:pPr>
      <w:r w:rsidRPr="000479E9">
        <w:t>1</w:t>
      </w:r>
      <w:r w:rsidR="00404E2C" w:rsidRPr="000479E9">
        <w:t>39</w:t>
      </w:r>
      <w:r w:rsidRPr="000479E9">
        <w:t>. kao burza, nije osigurala Pravilima uređenog tržišta, u slučaju izvedenica, da su izvedeni financijski instrumenti oblikovani na način koji omogućuje uredno formiranje njihove cijene i/ili postojanje djelotvornih uvjeta namire, protivno članku 320. stavku 3. ovoga Zakona i članku 5. Delegirane uredbe Komisije (EU) 2017/568</w:t>
      </w:r>
    </w:p>
    <w:p w14:paraId="5D36C4AF" w14:textId="62FF45CB" w:rsidR="00C10AC0" w:rsidRPr="000479E9" w:rsidRDefault="00C10AC0" w:rsidP="00C10AC0">
      <w:pPr>
        <w:pStyle w:val="box477650"/>
        <w:shd w:val="clear" w:color="auto" w:fill="FFFFFF"/>
        <w:spacing w:before="0" w:beforeAutospacing="0" w:after="0" w:afterAutospacing="0"/>
        <w:jc w:val="both"/>
        <w:textAlignment w:val="baseline"/>
      </w:pPr>
      <w:r w:rsidRPr="000479E9">
        <w:t>14</w:t>
      </w:r>
      <w:r w:rsidR="00404E2C" w:rsidRPr="000479E9">
        <w:t>0</w:t>
      </w:r>
      <w:r w:rsidRPr="000479E9">
        <w:t>. kao burza, nije uspostavila i/ili ne primjenjuje djelotvorne mjere za provjeru ispunjavaju li izdavatelji prenosivih vrijednosnih papira koji su uvršteni za trgovanje na uređenom tržištu obveze, u skladu s člankom 321. stavkom 2. ovoga Zakona</w:t>
      </w:r>
    </w:p>
    <w:p w14:paraId="19244C83" w14:textId="76256DCF" w:rsidR="00C10AC0" w:rsidRPr="000479E9" w:rsidRDefault="00C10AC0" w:rsidP="00C10AC0">
      <w:pPr>
        <w:pStyle w:val="box477650"/>
        <w:shd w:val="clear" w:color="auto" w:fill="FFFFFF"/>
        <w:spacing w:before="0" w:beforeAutospacing="0" w:after="0" w:afterAutospacing="0"/>
        <w:jc w:val="both"/>
        <w:textAlignment w:val="baseline"/>
      </w:pPr>
      <w:r w:rsidRPr="000479E9">
        <w:t>14</w:t>
      </w:r>
      <w:r w:rsidR="00404E2C" w:rsidRPr="000479E9">
        <w:t>1</w:t>
      </w:r>
      <w:r w:rsidRPr="000479E9">
        <w:t>. kao burza nije omogućila članovima pristup javno objavljenim podacima iz članka 321. stavka 2. ovoga Zakona, sukladno članku 321. stavku 3. ovoga Zakona</w:t>
      </w:r>
    </w:p>
    <w:p w14:paraId="3C1BC938" w14:textId="14F2A213" w:rsidR="00D85E7B" w:rsidRPr="000479E9" w:rsidRDefault="00C10AC0" w:rsidP="00C10AC0">
      <w:pPr>
        <w:pStyle w:val="box477650"/>
        <w:shd w:val="clear" w:color="auto" w:fill="FFFFFF"/>
        <w:spacing w:before="0" w:beforeAutospacing="0" w:after="0" w:afterAutospacing="0"/>
        <w:jc w:val="both"/>
        <w:textAlignment w:val="baseline"/>
      </w:pPr>
      <w:r w:rsidRPr="000479E9">
        <w:lastRenderedPageBreak/>
        <w:t>14</w:t>
      </w:r>
      <w:r w:rsidR="00404E2C" w:rsidRPr="000479E9">
        <w:t>2</w:t>
      </w:r>
      <w:r w:rsidRPr="000479E9">
        <w:t>. kao burza nije donijela i/ili objavila na svojoj internetskoj stranici postupke za provjeru usklađenosti izdavatelja prenosivog vrijednosnog papira s obvezama prema pravu Europske unije u skladu s člankom 7. Delegirane uredbe Komisije (EU) 2017/568</w:t>
      </w:r>
    </w:p>
    <w:p w14:paraId="2097F663" w14:textId="3B4080C1" w:rsidR="00C10AC0" w:rsidRPr="000479E9" w:rsidRDefault="00C10AC0" w:rsidP="00C10AC0">
      <w:pPr>
        <w:pStyle w:val="box477650"/>
        <w:shd w:val="clear" w:color="auto" w:fill="FFFFFF"/>
        <w:spacing w:before="0" w:beforeAutospacing="0" w:after="0" w:afterAutospacing="0"/>
        <w:jc w:val="both"/>
        <w:textAlignment w:val="baseline"/>
      </w:pPr>
      <w:r w:rsidRPr="000479E9">
        <w:t>1</w:t>
      </w:r>
      <w:r w:rsidR="008C7E06" w:rsidRPr="000479E9">
        <w:t>43</w:t>
      </w:r>
      <w:r w:rsidRPr="000479E9">
        <w:t>. kao burza ili operater MTP-a ili operater OTP-a ne donese odluku o privremenoj obustavi trgovanja ili isključenju iz trgovanja financijskog instrumenta i svake povezane izvedenice, kada to zahtijeva zaštita ulagatelja ili taj financijski instrument više ne udovoljava pravilima burze, sukladno članku 340. stavku 2. ovoga Zakona</w:t>
      </w:r>
    </w:p>
    <w:p w14:paraId="00D401AB" w14:textId="34983B63"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144. kao burza, nije obavijestila bez odgode Agenciju o svakom zaprimljenom zahtjevu za uvrštenje ili odluci u vezi s uvrštenjem financijskih instrumenata, protivno članku 330. stavku </w:t>
      </w:r>
      <w:r w:rsidR="00D85E7B" w:rsidRPr="000479E9">
        <w:t>7</w:t>
      </w:r>
      <w:r w:rsidRPr="000479E9">
        <w:t>. ovoga Zakona</w:t>
      </w:r>
    </w:p>
    <w:p w14:paraId="6050BE75" w14:textId="4F2B258C"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145. kao burza, nije bez odgode objavila na svojim internetskim stranicama sve podatke o uvrštenju financijskih instrumenata na uređeno tržište kojim upravlja, protivno članku 330. stavku </w:t>
      </w:r>
      <w:r w:rsidR="00D85E7B" w:rsidRPr="000479E9">
        <w:t>8</w:t>
      </w:r>
      <w:r w:rsidRPr="000479E9">
        <w:t>. ovoga Zakona</w:t>
      </w:r>
    </w:p>
    <w:p w14:paraId="14A7775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146. kao burza ili operater MTP-a ili operater OTP-a na zahtjev Agencije nije slijedila privremenu obustavu ili isključenje, sukladno članku 340. stavku 5. ovoga Zakona</w:t>
      </w:r>
    </w:p>
    <w:p w14:paraId="7799BB3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147. kao burza nije uspostavila ili nije održavala ili nije provodila pravila za prijem u članstvo ili pristup uređenom tržištu, sukladno članku 314. stavku 1. ovoga Zakona</w:t>
      </w:r>
    </w:p>
    <w:p w14:paraId="5FB0F85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148. je kao burza prihvatila kao člana uređenog tržišta suprotno uvjetima propisanim člankom 313. stavcima 1. ili 2. ovoga Zakona</w:t>
      </w:r>
    </w:p>
    <w:p w14:paraId="2332F74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149. kao burza nije nadzirala naloge, uključujući otkazivanja naloga i transakcije koje obavljaju članovi uređenog tržišta, sukladno članku 316. stavku 2. ovoga Zakona</w:t>
      </w:r>
    </w:p>
    <w:p w14:paraId="7545D71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150. kao burza nije obavijestila Agenciju o svakom značajnom kršenju svojih pravila, nepravilnim uvjetima trgovanja ili postupanju koje može ukazivati na ponašanje koje je zabranjeno na temelju Uredbe (EU) br. 596/2014 ili poremećaje u sustavu povezane s financijskim instrumentom, sukladno članku 316. stavku 3. ovoga Zakona</w:t>
      </w:r>
    </w:p>
    <w:p w14:paraId="1359FF0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151. kao burza nije dostavila Agenciji sve potrebne podatke ili surađivala s Agencijom ili drugim nadležnim tijelom, sukladno članku 316. stavku 4. ovoga Zakona</w:t>
      </w:r>
    </w:p>
    <w:p w14:paraId="7E9874E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152. kao operater MTP-a ili OTP-a bez odgode ne obustavi ili ne isključi financijske instrumente iz trgovanja, sukladno članku 343. stavku 12. ovoga Zakona</w:t>
      </w:r>
    </w:p>
    <w:p w14:paraId="39C9637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153. kao operater MTP-a ili OTP-a upravlja MTP-om ili </w:t>
      </w:r>
      <w:r w:rsidRPr="000479E9">
        <w:softHyphen/>
        <w:t>OTP-om, ako ne postoji mogućnost interakcije između članova ili korisnika u vezi s formiranjem cijena, sukladno članku 344. stavku 2. ovoga Zakona</w:t>
      </w:r>
    </w:p>
    <w:p w14:paraId="7DFA744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154. kao operater MTP-a ili OTP-a nije uspostavila djelotvorne sustave, mjere i postupke kako bi postupala u skladu s odredbama članaka 298., 299., 300., 301., 302. ili 303. ovoga Zakona, sukladno članku 344. stavku 3. ovoga Zakona</w:t>
      </w:r>
    </w:p>
    <w:p w14:paraId="0C4B6E4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155. kao operater MTP-a ili OTP-a nije uspostavila mehanizme za prepoznavanje i svladavanje negativnih posljedica na djelovanje MTP-a ili OTP-a ili na njegove vlasnike ili članove koje bi sukob interesa između MTP-a, OTP-a, njihovih vlasnika ili operatera MTP-a ili OTP-a mogao imati u dobrom funkcioniranju MTP-a ili OTP-a, sukladno članku 344. stavku 4. ovoga Zakona</w:t>
      </w:r>
    </w:p>
    <w:p w14:paraId="44D38E4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156. kao operater MTP-a ili OTP-a nije osigurala javno dostupne podatke ili se nije uvjerila da postoji pristup tim podacima, kako bi ulagatelji mogli donijeti investicijsku odluku, a uzimajući u obzir vrstu korisnika i instrumenata kojima se trguje, sukladno članku 345. stavku 1. ovoga Zakona</w:t>
      </w:r>
    </w:p>
    <w:p w14:paraId="030577B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 xml:space="preserve">157. kao operater MTP-a ili OTP-a nije osigurala da izdavatelj vrijednosnih papira bez čije se suglasnosti trguje na MTP-u ili </w:t>
      </w:r>
      <w:r w:rsidRPr="000479E9">
        <w:softHyphen/>
        <w:t>OTP-u ne podliježe obvezi objavljivanja podataka prema tom MTP-u ili OTP-u, sukladno članku 345. stavku 4. ovoga Zakona</w:t>
      </w:r>
    </w:p>
    <w:p w14:paraId="03CE2CA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158. kao operater MTP-a ili OTP-a nije propisala ili primjenjivala transparentna i nediskriminirajuća pravila i postupke kojima se omogućuje korektno i uredno trgovanje, sukladno odredbama članka 346. stavka 1. ovoga Zakona</w:t>
      </w:r>
    </w:p>
    <w:p w14:paraId="1793CA9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159. kao operater MTP-a ili OTP-a nije redovito pratila sve aktivnosti na nalozima poslanim u sustav, kao i transakcije koje su izvršili njihovi članovi u cilju utvrđivanja mogućeg kršenja pravila, neurednih uvjeta trgovanja, postupanja koje može ukazivati na ponašanje koje je zabranjeno na temelju Uredbe (EU) br. 596/2014 ili poremećaje u sustavu povezane s financijskim instrumentom, sukladno članku 347. stavku 2. ovoga Zakona</w:t>
      </w:r>
    </w:p>
    <w:p w14:paraId="1BD04EC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160. kao operater MTP-a ili OTP-a nije uspostavio mehanizme kojima osigurava ispunjavanje standarda kvalitete podataka na temelju članka 22.b Uredbe (EU) br. 600/2014, u skladu s člankom 347. stavkom 4. ovoga Zakona</w:t>
      </w:r>
    </w:p>
    <w:p w14:paraId="216BE96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161. kao operater MTP-a ili OTP-a nije bez odgode obavijestila Agenciju o tome da je utvrdila značajno kršenje pravila MTP-a ili OTP-a, neurednih uvjeta trgovanja, postupanja koje može ukazivati na ponašanje koje je zabranjeno na temelju Uredbe (EU) br. 596/2014 ili poremećaja u sustavu povezanih s financijskim instrumentom, sukladno članku 347. stavku 5. ovoga Zakona</w:t>
      </w:r>
    </w:p>
    <w:p w14:paraId="43E5C4D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162. kao operater MTP-a ili OTP-a ne dostavi bez odgode Agenciji sve potrebne podatke ili ne surađuje prilikom nadzora, provođenja istražnih radnji i mjera nad slučajevima zlouporabe tržišta koje su se dogodile unutar sustava MTP-a ili OTP-a kojim upravlja, sukladno članku 347. stavku 6. ovoga Zakona</w:t>
      </w:r>
    </w:p>
    <w:p w14:paraId="60BE031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163. kao operater MTP-a nije propisala i/ili provodila pravila, sukladno članku 349. stavku 1. ovoga Zakona</w:t>
      </w:r>
    </w:p>
    <w:p w14:paraId="7489D01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164. kao operater MTP-a nije uspostavila ili primjenjivala mjere koje omogućuju nesmetano i pravodobno zaključivanje transakcija koje se izvršavaju unutar sustava MTP-a, sukladno članku 349. stavku 3. ovoga Zakona</w:t>
      </w:r>
    </w:p>
    <w:p w14:paraId="65FFEAE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165. kao operater MTP-a nije kontinuirano tijekom poslovanja imala dovoljna financijska sredstva, ovisno o vrsti i opsegu zaključenih transakcija te stupnju rizika kojima su izloženi, kako bi se omogućilo uredno funkcioniranje MTP-a, sukladno članku 349. stavku 4. ovoga Zakona</w:t>
      </w:r>
    </w:p>
    <w:p w14:paraId="25E45C5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166. je kao investicijsko društvo ili tržišni operater koji upravlja MTP-om izvršavala naloge klijenata uz korištenje vlastitog kapitala ili je trgovala za vlastiti račun uparivanjem naloga, sukladno članku 349. stavku 6. ovoga Zakona</w:t>
      </w:r>
    </w:p>
    <w:p w14:paraId="44B7521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167. kao operater OTP-a nije uspostavila ili primjenjivala mehanizme za sprječavanje izvršavanja naloga klijenata uz korištenje vlastitog kapitala investicijskog društva, burze ili bilo kojeg subjekta koji je dio iste grupe ili pravne osobe kao operater OTP-a, sukladno članku 350. stavku 1. ovoga Zakona</w:t>
      </w:r>
    </w:p>
    <w:p w14:paraId="47D4358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168. je kao operater OTP-a djelovala i kao sistematski internalizator, protivno zabrani iz članka 350. stavka 2. ovoga Zakona</w:t>
      </w:r>
    </w:p>
    <w:p w14:paraId="3317918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169. je kao operater OTP-a povezala OTP sa sistematskim internalizatorom na način na koji bi se omogućilo povezivanje naloga u OTP-u i naloga ili ponuda u sistematskom internalizatoru, sukladno članku 350. stavku 3. ovoga Zakona</w:t>
      </w:r>
    </w:p>
    <w:p w14:paraId="2A37CFE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170. je kao operater OTP-a povezala OTP s drugim OTP-om na način koji je omogućio povezivanje naloga na različitim OTP-ima, sukladno članku 350. stavku 4. ovoga Zakona</w:t>
      </w:r>
    </w:p>
    <w:p w14:paraId="3A307AA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171. je kao operater OTP-a trgovala za vlastiti račun uparivanjem naloga, sukladno odredbi članka 3. točke 121. ovoga Zakona bez pristanka klijenta ili je trgovala financijskim instrumentima koji nisu obveznice, strukturirani financijski proizvodi, emisijske jedinice i izvedenicama koje ispunjavaju uvjete propisane člankom 350. stavkom 8. ovoga Zakona, sukladno članku 350. stavku 5. ovoga Zakona</w:t>
      </w:r>
    </w:p>
    <w:p w14:paraId="70DF5F4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172. je kao operater OTP-a koristila pravo diskrecije iako nije bio ispunjen jedan od uvjeta propisanih člankom 350. stavkom 10. ovoga Zakona</w:t>
      </w:r>
    </w:p>
    <w:p w14:paraId="4456AFC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173. kao operater MTP-a koji je registrirao MTP kao rastuće tržište malih i srednjih poduzeća nije uspostavila ili primjenjivala jasna pravila, sustave ili postupke kojima se osigurava ispunjenje zahtjeva da se prilikom prvotnog primanja financijskih instrumenata u trgovinu na MTP-u objavljuje dovoljno informacija kako bi se ulagateljima omogućilo donošenje informirane odluke o ulaganju u te financijske instrumente, sukladno članku 352. stavku 3. točki 3. ovoga Zakona</w:t>
      </w:r>
    </w:p>
    <w:p w14:paraId="4CA2841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174. kao operater MTP-a koji je registrirao MTP kao rastuće tržište malih i srednjih poduzeća nije uspostavila ili primjenjivala jasna pravila, sustave ili postupke kojima se osigurava ispunjenje zahtjeva da izdavatelji na MTP-u kako je definirano člankom 3. stavkom 1. točkom 21. Uredbe (EU) br. 596/2014, osobe koje obavljaju rukovoditeljske dužnosti definirane člankom 3. stavkom 1. točkom 25. Uredbe (EU) br. 596/2014 te osobe usko povezane s njima definirane člankom 3. stavkom 1. točkom 26. Uredbe (EU) br. 596/2014 moraju ispunjavati relevantne zahtjeve koji se na njih primjenjuju u okviru Uredbe (EU) br. 596/2014, sukladno članku 352. stavku 3. točki 5. ovoga Zakona</w:t>
      </w:r>
    </w:p>
    <w:p w14:paraId="11B1560C" w14:textId="454C4ADE"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175. kao operater MTP-a koji je registrirao MTP kao rastuće tržište malih i srednjih poduzeća nije uspostavila ili nije primjenjivala jasna pravila, sustave ili postupke kojima se osigurava ispunjenje zahtjeva da prospekti odnosno dokumenti za primanje u trgovinu iz članka 352. stavka 3. točke 3. ovoga Zakona, financijski izvještaji iz članka 352. stavka 3. točke </w:t>
      </w:r>
      <w:r w:rsidR="00D85E7B" w:rsidRPr="000479E9">
        <w:t>4</w:t>
      </w:r>
      <w:r w:rsidRPr="000479E9">
        <w:t>. ovoga Zakona i informacije iz članka 7. stavka 1. Uredbe (EU) br. 596/2014 koje objave izdavatelji čiji su financijski instrumenti primljeni u trgovinu na MTP-u budu dostupni javnosti tako da su objavljene na internetskoj stranici operatera MTP-a odnosno da je na internetskoj stranici operatera MTP-a dostupna izravna poveznica na internetsku stranicu izdavatelja na kojoj su objavljeni ti dokumenti, izvještaji odnosno informacije, s time da navedeni dokumenti, izvještaji i informacije odnosno izravne poveznice na internetsku stranicu izdavatelja moraju biti dostupne na internetskoj stranici operatera MTP-a tijekom razdoblja od najmanje pet godina, računajući od dana kada su objavljene, sukladno članku 352. stavku 3. točki 6. ovoga Zakona</w:t>
      </w:r>
    </w:p>
    <w:p w14:paraId="5B3EC3F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176. kao operater MTP-a koji je registrirao MTP kao rastuće tržište malih i srednjih poduzeća nije uspostavila ili nije primjenjivala jasna pravila, sustave ili postupke kojima se osigurava ispunjenje zahtjeva da su uspostavljeni učinkoviti sustavi i kontrole u svrhu sprečavanja i otkrivanja zlouporabe tržišta na MTP-u u skladu sa zahtjevima Uredbe (EU) br. 596/2014, sukladno članku 352. stavku 3. točki 7. ovoga Zakona</w:t>
      </w:r>
    </w:p>
    <w:p w14:paraId="11F141D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177. kao operater MTP-a koji namjerava registrirati segment MTP-a kao rastuće tržište malih i srednjih poduzeća nije osigurao da je segment MTP-a koji je registriran kao „rastuće tržište malih i srednjih poduzeća“ jasno odvojen od ostalih tržišnih segmenata kojima upravlja, u skladu s člankom 352. stavkom 4. točkom 1. ovoga Zakona</w:t>
      </w:r>
    </w:p>
    <w:p w14:paraId="6F7682E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178. kao operater MTP-a koji namjerava registrirati segment MTP-a kao rastuće tržište malih i srednjih poduzeća nije osigurao da transakcije izvršene na dotičnom segmentu rastućeg tržišta malih i srednjih poduzeća jasno se razlikuju od drugih tržišnih aktivnosti na drugim segmentima MTP-a, u skladu s člankom 352. stavkom 4. točkom 2. ovoga Zakona</w:t>
      </w:r>
    </w:p>
    <w:p w14:paraId="3089D16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179. kao operater MTP-a koji namjerava registrirati segment MTP-a kao rastuće tržište malih i srednjih poduzeća nije na zahtjev Agencije, dostavio detaljan popis instrumenata uvrštenih na dotični segment rastućeg tržišta malih i srednjih poduzeća, kao i sve informacije o poslovanju tog segmenta, u skladu s člankom 352. stavkom 4. točkom 3. ovoga Zakona</w:t>
      </w:r>
    </w:p>
    <w:p w14:paraId="323360D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180. kao tržišni operater ili investicijsko društvo ili kreditna institucija koja vodi mjesto trgovanja ne objavljuje neprekidno tijekom uobičajenog vremena trgovanja podatke iz članka 3. stavka 1. Uredbe (EU) br. 600/2014</w:t>
      </w:r>
    </w:p>
    <w:p w14:paraId="78160A3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181. kao tržišni operater ili investicijsko društvo ili kreditna institucija koja vodi mjesto trgovanja onemogući pristup sustavima iz članka 3. stavka 1. Uredbe (EU) br. 600/2014, sukladno odredbi članka 3. stavka 3. Uredbe (EU) br. 600/2014</w:t>
      </w:r>
    </w:p>
    <w:p w14:paraId="0091D29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182. kao tržišni operater ili investicijsko društvo ili kreditna institucija koja vodi mjesto trgovanja na kojemu se formaliziraju dogovorene transakcije u skladu s člankom 4. stavkom 1. točkom (b) podtočkom 1. Uredbe (EU) br. 600/2014 ne osigura uvjete iz članka 4. stavka 3. podstavka 1. Uredbe (EU) br. 600/2014</w:t>
      </w:r>
    </w:p>
    <w:p w14:paraId="7548CE2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183. kao tržišni operater ili investicijsko društvo ili kreditna institucija koja vodi mjesto trgovanja ne objavljuje pojedinosti o transakcijama, u skladu s člankom 6. stavkom 1. Uredbe (EU) br. 600/2014</w:t>
      </w:r>
    </w:p>
    <w:p w14:paraId="0518E20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184. kao tržišni operater ili investicijsko društvo ili kreditna institucija koja vodi mjesto trgovanja onemogući pristup sustavima iz članka 6. stavka 1. Uredbe (EU) br. 600/2014, sukladno odredbi članka 6. stavka 2. Uredbe (EU) br. 600/2014</w:t>
      </w:r>
    </w:p>
    <w:p w14:paraId="26A4906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185. kao tržišni operater ili investicijsko društvo ili kreditna institucija koja vodi mjesto trgovanja sklopi dogovor o odgođenoj objavi ili odgodi objavu podataka o trgovanju bez prethodnog odobrenja Agencije, u skladu s člankom 7. stavkom 1. Uredbe (EU) br. 600/2014</w:t>
      </w:r>
    </w:p>
    <w:p w14:paraId="124448B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186. kao tržišni operater ili investicijsko društvo ili kreditna institucija koja vodi mjesto trgovanja o dogovoru o odgođenom objavljivanju podataka o trgovanju ne obavijesti tržišne sudionike i javnost u skladu s člankom 7. stavkom 1. Uredbe (EU) br. 600/2014</w:t>
      </w:r>
    </w:p>
    <w:p w14:paraId="60A635A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187. kao tržišni operater ili investicijsko društvo ili kreditna institucija koja vodi mjesto trgovanja ne objavljuje neprekidno tijekom uobičajenog vremena trgovanja podatke iz članka 8. stavka 1. Uredbe (EU) br. 600/2014</w:t>
      </w:r>
    </w:p>
    <w:p w14:paraId="6365F33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188. kao tržišni operater ili investicijsko društvo ili kreditna institucija koja vodi mjesto trgovanja ne objavljuje neprekidno tijekom uobičajenog vremena trgovanja podatke iz članka 8.a stavka 1. Uredbe (EU) br. 600/2014</w:t>
      </w:r>
    </w:p>
    <w:p w14:paraId="5930FFE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189. kao tržišni operater ili investicijsko društvo ili kreditna institucija koja vodi mjesto trgovanja ne objavljuje neprekidno tijekom uobičajenog vremena trgovanja podatke iz članka 8.b stavka 1. Uredbe (EU) br. 600/2014</w:t>
      </w:r>
    </w:p>
    <w:p w14:paraId="47D699E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190. kao tržišni operater ili investicijsko društvo ili kreditna institucija koja vodi mjesto trgovanja ne objavljuje podatke u skladu s člankom 10. stavkom 1. Uredbe (EU) br. 600/2014</w:t>
      </w:r>
    </w:p>
    <w:p w14:paraId="0EDB5AB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191. kao tržišni operater ili investicijsko društvo ili kreditna institucija koja vodi mjesto trgovanja onemogući pristup sustavima iz članka 10. stavka 1. Uredbe (EU) br. 600/2014, sukladno odredbi članka 10. stavka 2. Uredbe (EU) br. 600/2014</w:t>
      </w:r>
    </w:p>
    <w:p w14:paraId="1032B9A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192. kao tržišni operater ili investicijsko društvo ili kreditna institucija koja vodi mjesto trgovanja o dogovoru o odgođenom objavljivanju podataka o trgovanju ne obavijesti tržišne sudionike i javnost, u skladu s člankom 11. stavkom 1. Uredbe (EU) br. 600/2014</w:t>
      </w:r>
    </w:p>
    <w:p w14:paraId="0508F97D" w14:textId="4A49104B" w:rsidR="00C10AC0" w:rsidRPr="000479E9" w:rsidRDefault="00C10AC0" w:rsidP="00C10AC0">
      <w:pPr>
        <w:pStyle w:val="box477650"/>
        <w:shd w:val="clear" w:color="auto" w:fill="FFFFFF"/>
        <w:spacing w:before="0" w:beforeAutospacing="0" w:after="0" w:afterAutospacing="0"/>
        <w:jc w:val="both"/>
        <w:textAlignment w:val="baseline"/>
      </w:pPr>
      <w:r w:rsidRPr="000479E9">
        <w:t>193. kao tržišni operater ili investicijsko društvo ili kreditna institucija koja vodi mjesto trgovanja informacije objavljene u skladu s člancima 3., 4. i 6. do 11.</w:t>
      </w:r>
      <w:r w:rsidR="00D85E7B" w:rsidRPr="000479E9">
        <w:t>a</w:t>
      </w:r>
      <w:r w:rsidRPr="000479E9">
        <w:t xml:space="preserve"> Uredbe (EU) br. 600/2014 ne stavi na raspolaganje javnosti, u skladu s člankom 12. stavkom 1. Uredbe (EU) br. 600/2014</w:t>
      </w:r>
    </w:p>
    <w:p w14:paraId="4457DE44" w14:textId="46B3F7DF" w:rsidR="00C10AC0" w:rsidRPr="000479E9" w:rsidRDefault="00C10AC0" w:rsidP="00C10AC0">
      <w:pPr>
        <w:pStyle w:val="box477650"/>
        <w:shd w:val="clear" w:color="auto" w:fill="FFFFFF"/>
        <w:spacing w:before="0" w:beforeAutospacing="0" w:after="0" w:afterAutospacing="0"/>
        <w:jc w:val="both"/>
        <w:textAlignment w:val="baseline"/>
      </w:pPr>
      <w:r w:rsidRPr="000479E9">
        <w:t>194. kao tržišni operater ili investicijsko društvo ili kreditna institucija koja vodi mjesto trgovanja informacije objavljene u skladu s člancima 3., 4.</w:t>
      </w:r>
      <w:r w:rsidR="00D85E7B" w:rsidRPr="000479E9">
        <w:t xml:space="preserve">, od 6. do 11.a, 14., 20., 21., 27.g i 27.h </w:t>
      </w:r>
      <w:r w:rsidRPr="000479E9">
        <w:t>Uredbe (EU) br. 600/2014 ne stavi na raspolaganje javnosti pod uvjetima propisanima u skladu s člankom 13. stavkom 1. Uredbe (EU) br. 600/2014</w:t>
      </w:r>
    </w:p>
    <w:p w14:paraId="79F6B6D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195. kao tržišni operater ili investicijsko društvo ili kreditna institucija koja vodi mjesto trgovanja ne čuva podatke u skladu s člankom 25. stavkom 2. Uredbe (EU) br. 600/2014</w:t>
      </w:r>
    </w:p>
    <w:p w14:paraId="08D10B4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196. kao tržišni operater, investicijsko društvo ili kreditna institucija koja upravlja mjestom trgovanja zahtjev za pristup središnjoj drugoj ugovornoj strani ne dostavi Agenciji u skladu s člankom 35. stavkom 2. Uredbe (EU) br. 600/2014</w:t>
      </w:r>
    </w:p>
    <w:p w14:paraId="56AB87F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197. kao tržišni operater, investicijsko društvo ili kreditna institucija koja upravlja mjestom trgovanja zahtjev za pristup središnjoj drugoj ugovornoj strani ne dostavi Agenciji u skladu s člankom 36. stavkom 2. Uredbe (EU) br. 600/2014</w:t>
      </w:r>
    </w:p>
    <w:p w14:paraId="0D8C571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198. kao tržišni operater nije osigurala da transakcije izvedenicama koje su zaključene na uređenom tržištu poravnava središnja druga ugovorna strana u skladu s člankom 29. stavkom 1. Uredbe (EU) br. 600/2014</w:t>
      </w:r>
    </w:p>
    <w:p w14:paraId="5BF5DBF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199. kao tržišni operater ili investicijsko društvo ili kreditna institucija koja upravlja mjestom trgovanja ne uspostavi kontrolne mehanizme u vezi s upravljanjem robnim izvedenicama ili izvedenicama na emisijske jedinice kojima se trguje na tom mjestu trgovanja, a u skladu s člankom 380. stavkom 1. ovoga Zakona</w:t>
      </w:r>
    </w:p>
    <w:p w14:paraId="02040E3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200. kao tržišni operater ili investicijsko društvo ili kreditna institucija koja upravlja mjestom trgovanja ne obavijesti Agenciju o detaljima uspostavljenih kontrolnih mehanizama vezanih uz upravljanje pozicijama ili izmjenama istih, protivno obvezi iz članka 380. stavka 4. ovoga Zakona</w:t>
      </w:r>
    </w:p>
    <w:p w14:paraId="70A2F18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201. kao tržišni operater ili investicijsko društvo ili kreditna institucija koja upravlja mjestom trgovanja, za mjesta trgovanja na kojima se trguje opcijama, učestalo ne objavljuje dva tjedna izvještaja ili ih ne ispunjava u skladu s člankom 381. stavkom 1. točkom 1. ovoga Zakona</w:t>
      </w:r>
    </w:p>
    <w:p w14:paraId="3618D12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202. kao tržišni operater ili investicijsko društvo ili kreditna institucija koja upravlja mjestom trgovanja, za mjesta trgovanja na kojima se ne trguje opcijama, ne objavi tjedni izvještaj o elementima iz članka 381. stavka 1. točke 1. ovoga Zakona, protivno članku 381. stavku 1. točki 2. ovoga Zakona</w:t>
      </w:r>
    </w:p>
    <w:p w14:paraId="711D123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203. kao tržišni operater ili investicijsko društvo ili kreditna institucija koja upravlja mjestom trgovanja, za mjesta trgovanja na kojima se trguje opcijama, učestalo ne dostavlja Agenciji izvještaje iz članka 381. stavka 1. točke 1. ovoga Zakona u skladu s člankom 381. stavkom 2. ovoga Zakona</w:t>
      </w:r>
    </w:p>
    <w:p w14:paraId="0351DA8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204. kao tržišni operater ili investicijsko društvo ili kreditna institucija koja upravlja mjestom trgovanja, za mjesta trgovanja na kojima se trguje opcijama, učestalo ne dostavlja ESMA-i izvještaje iz članka 381. stavka 1. točke 1. ovoga Zakona u skladu s člankom 381. stavkom 2. ovoga Zakona</w:t>
      </w:r>
    </w:p>
    <w:p w14:paraId="76380B4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205. kao tržišni operater ili investicijsko društvo ili kreditna institucija koja upravlja mjestom trgovanja, za mjesta trgovanja na kojima se ne trguje opcijama, učestalo ne dostavlja Agenciji izvještaje iz članka 381. stavka 1. točke 2. ovoga Zakona u skladu s člankom 381. stavkom 2. ovoga Zakona</w:t>
      </w:r>
    </w:p>
    <w:p w14:paraId="5F15BE7F" w14:textId="5A3E96FF" w:rsidR="00C10AC0" w:rsidRPr="000479E9" w:rsidRDefault="00C10AC0" w:rsidP="00C10AC0">
      <w:pPr>
        <w:pStyle w:val="box477650"/>
        <w:shd w:val="clear" w:color="auto" w:fill="FFFFFF"/>
        <w:spacing w:before="0" w:beforeAutospacing="0" w:after="0" w:afterAutospacing="0"/>
        <w:jc w:val="both"/>
        <w:textAlignment w:val="baseline"/>
      </w:pPr>
      <w:r w:rsidRPr="000479E9">
        <w:t>206. kao tržišni operater ili investicijsko društvo ili kreditna institucija koja upravlja mjestom trgovanja, za mjesta trgovanja na kojima se ne trguje opcijama, učestalo ne dostavlja ESMA-i izvještaje iz članka 381. stavka 1. točke 2. ovoga Zakona</w:t>
      </w:r>
      <w:r w:rsidR="00C73130" w:rsidRPr="000479E9">
        <w:t>, protivno članku 381. stavku 2. ovoga Zakona</w:t>
      </w:r>
    </w:p>
    <w:p w14:paraId="6039E9E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207. kao tržišni operater ili investicijsko društvo ili kreditna institucija koja upravlja mjestom trgovanja učestalo ne dostavlja Agenciji izvještaj iz članka 381. stavka 1. točke 3. ovoga Zakona ili isti izvještaj učestalo ne dostavlja Agenciji na zahtjev</w:t>
      </w:r>
    </w:p>
    <w:p w14:paraId="28CFF02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208. kao tržišni operater učestalo ne izvještava Agenciju sukladno članku 26. stavcima 1. i 3. Uredbe (EU) br. 600/2014 o detaljima transakcija koje su izvršene preko njezina sustava, na temelju naloga osobe na koju se ne odnose odredbe Uredbe (EU) br. 600/2014, a sukladno članku 26. stavku 4. Uredbe (EU) br. 600/2014</w:t>
      </w:r>
    </w:p>
    <w:p w14:paraId="4C3C035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209. kao tržišni operater koji u ime investicijskog društva dostavlja Agenciji izvještaj o izvršenim transakcijama sukladno članku 26. stavku 7. podstavku 1. Uredbe (EU) br. 600/2014, učestalo dostavlja Agenciji izvještaj o izvršenim transakcijama koji nije ispunjen podacima propisanim člankom 26. stavkom 3. Uredbe (EU) br. 600/2014 ili isti izvještaj učestalo ne ispunjava ispravno</w:t>
      </w:r>
    </w:p>
    <w:p w14:paraId="355838C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210. kao tržišni operater koji u ime investicijskog društva dostavlja Agenciji izvještaj o izvršenim transakcijama sukladno članku 26. stavku 7. podstavku 1. Uredbe (EU) br. 600/2014 nema uspostavljene i ne primjenjuje organizacijske zahtjeve propisane člankom 26. stavkom 7. podstavkom 5. Uredbe (EU) br. 600/2014</w:t>
      </w:r>
    </w:p>
    <w:p w14:paraId="1486276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211. kao tržišni operater učestalo ne podnosi ispravljeno izvješće o izvršenim transakcijama iz članka 26. stavka 1. Uredbe (EU) br. 600/2014 u ime investicijskog društva, sukladno članku 26. stavku 7. podstavku 8. Uredbe (EU) br. 600/2014</w:t>
      </w:r>
    </w:p>
    <w:p w14:paraId="79A21B0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212. kao pružatelj usluga dostave podataka ne obavijesti Agenciju o svim promjenama u sastavu uprave sukladno članku 366. stavku 5. ovoga Zakona</w:t>
      </w:r>
    </w:p>
    <w:p w14:paraId="5AF353A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213. kao pružatelj usluga dostave podataka, investicijsko društvo, kreditna institucija ili tržišni operater koje je APA, koji je dobio odobrenje Agencije sukladno članku </w:t>
      </w:r>
      <w:r w:rsidRPr="000479E9">
        <w:lastRenderedPageBreak/>
        <w:t>358. ovoga Zakona učestalo ne objavljuje podatke propisane člancima 20. i 21. Uredbe (EU) br. 600/2014 što je tehnički moguće bliže stvarnom vremenu, u skladu s člankom 27.g stavkom 1. Uredbe (EU) br. 600/2014</w:t>
      </w:r>
    </w:p>
    <w:p w14:paraId="43DDEAF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214. kao pružatelj usluga dostave podataka, investicijsko društvo, kreditna institucija ili tržišni operater koje je APA, koji je dobio odobrenje Agencije sukladno članku 358. ovoga Zakona učestalo ne omogućava da su podaci iz članka 27.g stavka 1. Uredbe (EU) br. 600/2014 besplatno dostupni 15 minuta nakon što ih je APA objavila, u skladu s člankom 27.g stavkom 1. Uredbe (EU) br. 600/2014</w:t>
      </w:r>
    </w:p>
    <w:p w14:paraId="338CCF4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215. kao pružatelj usluga dostave podataka, investicijsko društvo, kreditna institucija ili tržišni operater koje je APA, koji je dobio odobrenje Agencije sukladno članku 358. ovoga Zakona učestalo ne distribuira podatke iz članaka 20. i 21. Uredbe (EU) br. 600/2014 na način koji osigurava brz pristup podacima na nediskriminirajućoj osnovi i u formatu koji olakšava konsolidiranje podataka sa sličnim podacima iz drugih izvora, u skladu s člankom 27.g stavkom 1. Uredbe (EU) br. 600/2014</w:t>
      </w:r>
    </w:p>
    <w:p w14:paraId="3BF837F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216. kao pružatelj usluga dostave podataka, investicijsko društvo, kreditna institucija ili tržišni operater koje je APA, koji je dobio odobrenje Agencije sukladno članku 358. ovoga Zakona učestalo ne uključuje pojedinosti propisane člankom 27.g stavkom 2. Uredbe (EU) br. 600/2014 u podatke koje je dužna objaviti sukladno članku 27.g stavku 1. Uredbe (EU) br. 600/2014 učestalo</w:t>
      </w:r>
    </w:p>
    <w:p w14:paraId="3C8918B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217. kao pružatelj usluga dostave podataka, investicijsko društvo, kreditna institucija ili tržišni operater koje je APA, koji je dobio odobrenje Agencije sukladno odredbama ovoga Zakona kontinuirano ne ispunjava organizacijske zahtjeve iz članka 27.g stavaka 3. do 5. Uredbe (EU) br. 600/2014</w:t>
      </w:r>
    </w:p>
    <w:p w14:paraId="7286E21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218. kao pružatelj usluga dostave podataka, investicijsko društvo, kreditna institucija ili tržišni operater koje je APA, koji je dobio odobrenje Agencije sukladno odredbama ovoga Zakona ne održava mehanizme koji osiguravaju da su usluge APA-e razdvojene od ostalih poslovnih funkcija u skladu s člankom 27.g stavkom 3. Uredbe (EU) br. 600/2014, a utvrdi se kako navedeno postupanje rezultira diskriminacijom prikupljenih podataka</w:t>
      </w:r>
    </w:p>
    <w:p w14:paraId="3B9CD850" w14:textId="01390E1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219. kao pružatelj usluga dostave podataka, investicijsko društvo, kreditna institucija ili tržišni operater koje je APA, koji je dobio odobrenje Agencije sukladno odredbama ovoga Zakona ne pohranjuje podatke u skladu s člankom 22. stavkom 2. Uredbe (EU) br. 600/2014 i regulatornim tehničkim standardima koje donosi ESMA, sukladno članku 22. stavku </w:t>
      </w:r>
      <w:r w:rsidR="00C73130" w:rsidRPr="000479E9">
        <w:t>3</w:t>
      </w:r>
      <w:r w:rsidRPr="000479E9">
        <w:t>. Uredbe (EU) br. 600/2014</w:t>
      </w:r>
    </w:p>
    <w:p w14:paraId="0B23390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220. kao pružatelj usluga dostave podataka, investicijsko društvo, kreditna institucija ili tržišni operater koje je ARM učestalo dostavlja Agenciji izvještaj o izvršenim transakcijama iz članka 26. stavka 1. Uredbe (EU) br. 600/2014 koji nije ispunjen podacima propisanim člankom 26. stavkom 3. Uredbe (EU) br. 600/2014 ili isti izvještaj učestalo ne ispunjava ispravno</w:t>
      </w:r>
    </w:p>
    <w:p w14:paraId="614F6B5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221. kao pružatelj usluga dostave podataka, investicijsko društvo, kreditna institucija ili tržišni operater koje je ARM učestalo ne dostavlja Agenciji ispravljeno izvješće o izvršenim transakcijama iz članka 26. stavka 1. Uredbe (EU) br. 600/2014, sukladno članku 26. stavku 7. podstavku 8. Uredbe (EU) br. 600/2014</w:t>
      </w:r>
    </w:p>
    <w:p w14:paraId="55D1028A" w14:textId="6F6B8FAE"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22</w:t>
      </w:r>
      <w:r w:rsidR="008C7E06" w:rsidRPr="000479E9">
        <w:t>2</w:t>
      </w:r>
      <w:r w:rsidRPr="000479E9">
        <w:t>. kao pružatelj usluga dostave podataka, investicijsko društvo, kreditna institucija ili tržišni operater koji obavlja usluge dostave podataka ne postupi u skladu s rješenjem o nadzornim mjerama Agencije, izrečenim sukladno članku 372. ovoga Zakona, na način i u roku koji odredi Agencija</w:t>
      </w:r>
    </w:p>
    <w:p w14:paraId="4E5B542E" w14:textId="0C73F4F5"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8C7E06" w:rsidRPr="000479E9">
        <w:t>3</w:t>
      </w:r>
      <w:r w:rsidRPr="000479E9">
        <w:t>. ima poziciju koja je veća od ograničenja utvrđenog za tu robnu izvedenicu, a što je protivno članku 374. ovoga Zakona</w:t>
      </w:r>
    </w:p>
    <w:p w14:paraId="20B93FB4" w14:textId="57892076"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8C7E06" w:rsidRPr="000479E9">
        <w:t>4</w:t>
      </w:r>
      <w:r w:rsidRPr="000479E9">
        <w:t>. ne dostavi ili ne dostavi u roku podatke o veličini i namjeni pozicije ili izloženosti koja proizlazi iz sklopljenog ugovora o robnoj izvedenici ili ekonomski jednakovrijednog OTC ugovora i imovine ili obveze u vezi s tržištem temeljnog instrumenta u skladu s člankom 385. stavkom 3. ovoga Zakona</w:t>
      </w:r>
    </w:p>
    <w:p w14:paraId="7DCDB1CE" w14:textId="42AF3751"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8C7E06" w:rsidRPr="000479E9">
        <w:t>5</w:t>
      </w:r>
      <w:r w:rsidRPr="000479E9">
        <w:t>. ne izvrši mjere na način i u rokovima propisanim rješenjem Agencije iz članka 385. stavka 5. ovoga Zakona</w:t>
      </w:r>
    </w:p>
    <w:p w14:paraId="572B2EBC" w14:textId="56EA0035"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8C7E06" w:rsidRPr="000479E9">
        <w:t>6</w:t>
      </w:r>
      <w:r w:rsidRPr="000479E9">
        <w:t>. kao izdavatelj financijskih instrumenata uvrštenih na uređeno tržište nije osigurala postojanje identifikacijskog broja odnosno identifikacijske oznake sukladno odredbama članka 3. Delegirane uredbe (EU) br. 2017/585, a u skladu s člankom 320. stavkom 5. ovoga Zakona</w:t>
      </w:r>
    </w:p>
    <w:p w14:paraId="2EACC8BA" w14:textId="6A16CCAA"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8C7E06" w:rsidRPr="000479E9">
        <w:t>7</w:t>
      </w:r>
      <w:r w:rsidRPr="000479E9">
        <w:t>. kao izdavatelj financijskih instrumenata uvrštenih na MTP ili OTP nije osigurala postojanje identifikacijskog broja odnosno identifikacijske oznake sukladno odredbama članka 3. Delegirane uredbe (EU) br. 2017/585, a u skladu s člankom 345. stavkom 5. ovoga Zakona</w:t>
      </w:r>
    </w:p>
    <w:p w14:paraId="359D46A9" w14:textId="00596A6D" w:rsidR="00C10AC0" w:rsidRPr="000479E9" w:rsidRDefault="00C10AC0" w:rsidP="00C10AC0">
      <w:pPr>
        <w:pStyle w:val="box477650"/>
        <w:shd w:val="clear" w:color="auto" w:fill="FFFFFF"/>
        <w:spacing w:before="0" w:beforeAutospacing="0" w:after="0" w:afterAutospacing="0"/>
        <w:jc w:val="both"/>
        <w:textAlignment w:val="baseline"/>
      </w:pPr>
      <w:r w:rsidRPr="000479E9">
        <w:t>2</w:t>
      </w:r>
      <w:r w:rsidR="008C7E06" w:rsidRPr="000479E9">
        <w:t>28</w:t>
      </w:r>
      <w:r w:rsidRPr="000479E9">
        <w:t xml:space="preserve">. kao subjekt nadzora Agencije iz članka 683. stavka 1. točke 1. podtočaka a), b) i c) ovoga Zakona ili kao pravna osoba čija je podružnica subjekt nadzora iz članka 683. stavka 1. točke 1. podtočaka d) do </w:t>
      </w:r>
      <w:r w:rsidR="00C73130" w:rsidRPr="000479E9">
        <w:t>n</w:t>
      </w:r>
      <w:r w:rsidRPr="000479E9">
        <w:t>) ovoga Zakona ne omogući Agenciji i/ili ovlaštenim osobama Agencije, na njihov zahtjev i u traženom roku, obavljanje nadzora, tako što protivno članku 684. stavku 2. točki 2. ovoga Zakona ne omogući na zahtjev Agencije ili ovlaštene osobe Agencije pristup svakom dokumentu i podacima u bilo kojem obliku i/ili ne dostavi njihovu presliku, uključujući poslovne knjige i dokumentaciju</w:t>
      </w:r>
    </w:p>
    <w:p w14:paraId="6DAC98FC" w14:textId="22D8700B" w:rsidR="00C10AC0" w:rsidRPr="000479E9" w:rsidRDefault="00C10AC0" w:rsidP="00C10AC0">
      <w:pPr>
        <w:pStyle w:val="box477650"/>
        <w:shd w:val="clear" w:color="auto" w:fill="FFFFFF"/>
        <w:spacing w:before="0" w:beforeAutospacing="0" w:after="0" w:afterAutospacing="0"/>
        <w:jc w:val="both"/>
        <w:textAlignment w:val="baseline"/>
      </w:pPr>
      <w:r w:rsidRPr="000479E9">
        <w:t>2</w:t>
      </w:r>
      <w:r w:rsidR="008C7E06" w:rsidRPr="000479E9">
        <w:t>29</w:t>
      </w:r>
      <w:r w:rsidRPr="000479E9">
        <w:t xml:space="preserve">. kao subjekt nadzora Agencije iz članka 683. stavka 1. točke 1. podtočaka a), b) i c) ovoga Zakona ili kao pravna osoba čija je podružnica subjekt nadzora iz članka 683. stavka 1. točke 1. podtočaka d) do </w:t>
      </w:r>
      <w:r w:rsidR="00C73130" w:rsidRPr="000479E9">
        <w:t>n</w:t>
      </w:r>
      <w:r w:rsidRPr="000479E9">
        <w:t>) ovoga Zakona ne omogući Agenciji i/ili ovlaštenim osobama Agencije, na njihov zahtjev i u traženom roku, obavljanje nadzora, tako što protivno članku 684. stavku 2. točki 4. ovoga Zakona ne da postojeće zapise telefonskih razgovora, elektroničkih komunikacija i ostalih zapisa o podatkovnom prometu koji su dostupni subjektu nadzora ili drugoj osobi kojoj su propisane obveze čuvanja takvih zapisa ovim Zakonom, Uredbom (EU) br. 596/2014, Uredbom (EU) br. 600/2014 ili drugim relevantnim propisom</w:t>
      </w:r>
    </w:p>
    <w:p w14:paraId="1175E25A" w14:textId="4B638986" w:rsidR="00C10AC0" w:rsidRPr="000479E9" w:rsidRDefault="00C10AC0" w:rsidP="00C10AC0">
      <w:pPr>
        <w:pStyle w:val="box477650"/>
        <w:shd w:val="clear" w:color="auto" w:fill="FFFFFF"/>
        <w:spacing w:before="0" w:beforeAutospacing="0" w:after="0" w:afterAutospacing="0"/>
        <w:jc w:val="both"/>
        <w:textAlignment w:val="baseline"/>
      </w:pPr>
      <w:r w:rsidRPr="000479E9">
        <w:t>23</w:t>
      </w:r>
      <w:r w:rsidR="008C7E06" w:rsidRPr="000479E9">
        <w:t>0</w:t>
      </w:r>
      <w:r w:rsidRPr="000479E9">
        <w:t xml:space="preserve">. kao subjekt nadzora Agencije iz članka 683. stavka 1. točke 1. podtočaka a), b) i c) ovoga Zakona ili kao pravna osoba čija je podružnica subjekt nadzora iz članka 683. stavka 1. točke 1. podtočaka d) do </w:t>
      </w:r>
      <w:r w:rsidR="00C73130" w:rsidRPr="000479E9">
        <w:t>n</w:t>
      </w:r>
      <w:r w:rsidRPr="000479E9">
        <w:t>) ovoga Zakona ne omogući Agenciji i/ili ovlaštenim osobama Agencije, na njihov zahtjev i u traženom roku, obavljanje nadzora, tako što protivno članku 688. stavku 3. ovoga Zakona ne uruči sve traženo i/ili ne osigura standardno sučelje za pristup sustavu za upravljanje bazama podataka kojima se koristi</w:t>
      </w:r>
    </w:p>
    <w:p w14:paraId="72795243" w14:textId="3DA587C4"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23</w:t>
      </w:r>
      <w:r w:rsidR="008C7E06" w:rsidRPr="000479E9">
        <w:t>1</w:t>
      </w:r>
      <w:r w:rsidRPr="000479E9">
        <w:t xml:space="preserve">. kao subjekt nadzora Agencije iz članka 683. stavka 1. točke 1. podtočaka a), b) i c) ovoga Zakona ili kao pravna osoba čija je podružnica subjekt nadzora iz članka 683. stavka 1. točke 1. podtočaka d) do </w:t>
      </w:r>
      <w:r w:rsidR="00C73130" w:rsidRPr="000479E9">
        <w:t>n</w:t>
      </w:r>
      <w:r w:rsidRPr="000479E9">
        <w:t>) ovoga Zakona ne omogući Agenciji i/ili ovlaštenim osobama Agencije, na njihov zahtjev i u traženom roku, obavljanje nadzora, tako što protivno članku 690. stavku 2. ovoga Zakona ne preda dokumentaciju iz koje je razvidan potpuni opis rada informacijskog sustava</w:t>
      </w:r>
    </w:p>
    <w:p w14:paraId="3355BDB1" w14:textId="1060C3FC" w:rsidR="00C10AC0" w:rsidRPr="000479E9" w:rsidRDefault="00C10AC0" w:rsidP="00C10AC0">
      <w:pPr>
        <w:pStyle w:val="box477650"/>
        <w:shd w:val="clear" w:color="auto" w:fill="FFFFFF"/>
        <w:spacing w:before="0" w:beforeAutospacing="0" w:after="0" w:afterAutospacing="0"/>
        <w:jc w:val="both"/>
        <w:textAlignment w:val="baseline"/>
      </w:pPr>
      <w:r w:rsidRPr="000479E9">
        <w:t>23</w:t>
      </w:r>
      <w:r w:rsidR="008C7E06" w:rsidRPr="000479E9">
        <w:t>2</w:t>
      </w:r>
      <w:r w:rsidRPr="000479E9">
        <w:t xml:space="preserve">. kao subjekt nadzora Agencije iz članka 683. stavka 1. točke 1. podtočaka a), b) i c) ovoga Zakona ili kao pravna osoba čija je podružnica subjekt nadzora iz članka 683. stavka 1. točke 1. podtočaka d) do </w:t>
      </w:r>
      <w:r w:rsidR="00C73130" w:rsidRPr="000479E9">
        <w:t>n</w:t>
      </w:r>
      <w:r w:rsidRPr="000479E9">
        <w:t>) ovoga Zakona ne omogući Agenciji i/ili ovlaštenim osobama Agencije, na njihov zahtjev i u traženom roku, obavljanje nadzora, tako što protivno članku 689. stavcima 1. i 2. ovoga Zakona ne osigura uvjete za obavljanje nadzora</w:t>
      </w:r>
    </w:p>
    <w:p w14:paraId="7B5AF1C2" w14:textId="440B41B2" w:rsidR="00C10AC0" w:rsidRPr="000479E9" w:rsidRDefault="00C10AC0" w:rsidP="00C10AC0">
      <w:pPr>
        <w:pStyle w:val="box477650"/>
        <w:shd w:val="clear" w:color="auto" w:fill="FFFFFF"/>
        <w:spacing w:before="0" w:beforeAutospacing="0" w:after="0" w:afterAutospacing="0"/>
        <w:jc w:val="both"/>
        <w:textAlignment w:val="baseline"/>
      </w:pPr>
      <w:r w:rsidRPr="000479E9">
        <w:t>23</w:t>
      </w:r>
      <w:r w:rsidR="008C7E06" w:rsidRPr="000479E9">
        <w:t>3</w:t>
      </w:r>
      <w:r w:rsidRPr="000479E9">
        <w:t xml:space="preserve">. kao subjekt nadzora Agencije iz članka 683. stavka 1. točke 1. podtočaka a), b) i c) ovoga Zakona ili kao pravna osoba čija je podružnica subjekt nadzora iz članka 683. stavka 1. točke 1. podtočaka d) do </w:t>
      </w:r>
      <w:r w:rsidR="00C73130" w:rsidRPr="000479E9">
        <w:t>n</w:t>
      </w:r>
      <w:r w:rsidRPr="000479E9">
        <w:t>) ovoga Zakona ne omogući Agenciji i/ili ovlaštenim osobama Agencije, na njihov zahtjev i u traženom roku, obavljanje nadzora, tako što protivno članku 690. stavku 1. ovoga Zakona ne osigura uvjete za obavljanje nadzora.</w:t>
      </w:r>
    </w:p>
    <w:p w14:paraId="06194068" w14:textId="5B905773" w:rsidR="00C10AC0" w:rsidRPr="000479E9" w:rsidRDefault="00C10AC0" w:rsidP="00C10AC0">
      <w:pPr>
        <w:spacing w:after="0"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AC0CE7"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Iznimno od stavka 1. ovoga članka, u slučaju da je pravna osoba prekršajem iz stavka 1. ovoga članka ostvarila korist ili spriječila gubitak, a iznos tako ostvarene koristi ili spriječenog gubitka može se utvrditi, kaznit će se za prekršaj novčanom kaznom u iznosu dvostruko utvrđenog iznosa tako ostvarene koristi odnosno tako spriječenog gubitka, ako je taj iznos veći od propisanog najvećeg iznosa novčane kazne iz stavka 1. ovoga članka.</w:t>
      </w:r>
    </w:p>
    <w:p w14:paraId="11C889DC" w14:textId="10AE1CAC" w:rsidR="00C10AC0" w:rsidRPr="000479E9" w:rsidRDefault="00C10AC0" w:rsidP="00C10AC0">
      <w:pPr>
        <w:spacing w:after="0"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AC0CE7"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Za prekršaj iz stavka 3. ovoga članka kaznit će se i odgovorna osoba pravne osobe novčanom kaznom u iznosu od 20.000,00 do 100.000,00 eura.“</w:t>
      </w:r>
      <w:r w:rsidR="00DC48B2" w:rsidRPr="000479E9">
        <w:rPr>
          <w:rFonts w:ascii="Times New Roman" w:eastAsia="Times New Roman" w:hAnsi="Times New Roman"/>
          <w:sz w:val="24"/>
          <w:szCs w:val="24"/>
          <w:lang w:eastAsia="hr-HR"/>
        </w:rPr>
        <w:t>.</w:t>
      </w:r>
    </w:p>
    <w:p w14:paraId="139DD00C" w14:textId="77777777" w:rsidR="00C10AC0" w:rsidRPr="000479E9" w:rsidRDefault="00C10AC0" w:rsidP="00C10AC0">
      <w:pPr>
        <w:spacing w:after="0" w:line="240" w:lineRule="auto"/>
        <w:jc w:val="both"/>
        <w:textAlignment w:val="baseline"/>
        <w:rPr>
          <w:rFonts w:ascii="Times New Roman" w:eastAsia="Times New Roman" w:hAnsi="Times New Roman"/>
          <w:sz w:val="24"/>
          <w:szCs w:val="24"/>
          <w:lang w:eastAsia="hr-HR"/>
        </w:rPr>
      </w:pPr>
    </w:p>
    <w:p w14:paraId="6FA0DE09" w14:textId="1091E4C8" w:rsidR="00C10AC0" w:rsidRPr="000479E9" w:rsidRDefault="00C10AC0" w:rsidP="00483C20">
      <w:pPr>
        <w:spacing w:after="0" w:line="240" w:lineRule="auto"/>
        <w:jc w:val="center"/>
        <w:textAlignment w:val="baseline"/>
        <w:rPr>
          <w:rFonts w:ascii="Times New Roman" w:eastAsia="Times New Roman" w:hAnsi="Times New Roman"/>
          <w:b/>
          <w:bCs/>
          <w:sz w:val="24"/>
          <w:szCs w:val="24"/>
          <w:lang w:eastAsia="hr-HR"/>
        </w:rPr>
      </w:pPr>
      <w:r w:rsidRPr="000479E9">
        <w:rPr>
          <w:rFonts w:ascii="Times New Roman" w:eastAsia="Times New Roman" w:hAnsi="Times New Roman"/>
          <w:b/>
          <w:bCs/>
          <w:sz w:val="24"/>
          <w:szCs w:val="24"/>
          <w:lang w:eastAsia="hr-HR"/>
        </w:rPr>
        <w:t xml:space="preserve">Članak </w:t>
      </w:r>
      <w:r w:rsidR="002D7E61" w:rsidRPr="000479E9">
        <w:rPr>
          <w:rFonts w:ascii="Times New Roman" w:eastAsia="Times New Roman" w:hAnsi="Times New Roman"/>
          <w:b/>
          <w:bCs/>
          <w:sz w:val="24"/>
          <w:szCs w:val="24"/>
          <w:lang w:eastAsia="hr-HR"/>
        </w:rPr>
        <w:t>92</w:t>
      </w:r>
      <w:r w:rsidRPr="000479E9">
        <w:rPr>
          <w:rFonts w:ascii="Times New Roman" w:eastAsia="Times New Roman" w:hAnsi="Times New Roman"/>
          <w:b/>
          <w:bCs/>
          <w:sz w:val="24"/>
          <w:szCs w:val="24"/>
          <w:lang w:eastAsia="hr-HR"/>
        </w:rPr>
        <w:t xml:space="preserve">. </w:t>
      </w:r>
    </w:p>
    <w:p w14:paraId="14B81B56" w14:textId="77777777" w:rsidR="00C10AC0" w:rsidRPr="000479E9" w:rsidRDefault="00C10AC0" w:rsidP="00C10AC0">
      <w:pPr>
        <w:spacing w:after="0" w:line="240" w:lineRule="auto"/>
        <w:rPr>
          <w:rFonts w:ascii="Times New Roman" w:eastAsia="Times New Roman" w:hAnsi="Times New Roman" w:cs="Times New Roman"/>
          <w:b/>
          <w:bCs/>
          <w:sz w:val="24"/>
          <w:szCs w:val="24"/>
          <w:lang w:eastAsia="hr-HR"/>
        </w:rPr>
      </w:pPr>
    </w:p>
    <w:p w14:paraId="3A67E98A" w14:textId="5F6D6C00" w:rsidR="00C10AC0" w:rsidRPr="000479E9" w:rsidRDefault="00C10AC0" w:rsidP="00C10AC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članka 700. dodaju se naslov iznad članka i članak 700.a koji glase:</w:t>
      </w:r>
    </w:p>
    <w:p w14:paraId="40879276" w14:textId="77777777" w:rsidR="00C10AC0" w:rsidRPr="000479E9" w:rsidRDefault="00C10AC0" w:rsidP="00C10AC0">
      <w:pPr>
        <w:spacing w:after="0" w:line="240" w:lineRule="auto"/>
        <w:rPr>
          <w:rFonts w:ascii="Times New Roman" w:eastAsia="Times New Roman" w:hAnsi="Times New Roman" w:cs="Times New Roman"/>
          <w:sz w:val="24"/>
          <w:szCs w:val="24"/>
          <w:lang w:eastAsia="hr-HR"/>
        </w:rPr>
      </w:pPr>
    </w:p>
    <w:p w14:paraId="3184F20F" w14:textId="6296D83A" w:rsidR="00C10AC0" w:rsidRPr="000479E9" w:rsidRDefault="00C10AC0" w:rsidP="00C10AC0">
      <w:pPr>
        <w:spacing w:after="0" w:line="240" w:lineRule="auto"/>
        <w:jc w:val="center"/>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„Lakši prekršaji pravnih osoba</w:t>
      </w:r>
    </w:p>
    <w:p w14:paraId="5446F3A1" w14:textId="77777777" w:rsidR="00C10AC0" w:rsidRPr="000479E9" w:rsidRDefault="00C10AC0" w:rsidP="00C10AC0">
      <w:pPr>
        <w:spacing w:after="0" w:line="240" w:lineRule="auto"/>
        <w:jc w:val="center"/>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Članak 700.a</w:t>
      </w:r>
    </w:p>
    <w:p w14:paraId="470BB779" w14:textId="77777777" w:rsidR="00C10AC0" w:rsidRPr="000479E9" w:rsidRDefault="00C10AC0" w:rsidP="00C10AC0">
      <w:pPr>
        <w:spacing w:after="0" w:line="240" w:lineRule="auto"/>
        <w:rPr>
          <w:rFonts w:ascii="Times New Roman" w:eastAsia="Times New Roman" w:hAnsi="Times New Roman" w:cs="Times New Roman"/>
          <w:sz w:val="24"/>
          <w:szCs w:val="24"/>
          <w:lang w:eastAsia="hr-HR"/>
        </w:rPr>
      </w:pPr>
    </w:p>
    <w:p w14:paraId="32E5CC22" w14:textId="77777777" w:rsidR="00C10AC0" w:rsidRPr="000479E9" w:rsidRDefault="00C10AC0" w:rsidP="00483C20">
      <w:pPr>
        <w:spacing w:after="0"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cs="Times New Roman"/>
          <w:sz w:val="24"/>
          <w:szCs w:val="24"/>
          <w:lang w:eastAsia="hr-HR"/>
        </w:rPr>
        <w:t>„</w:t>
      </w:r>
      <w:r w:rsidRPr="000479E9">
        <w:rPr>
          <w:rFonts w:ascii="Times New Roman" w:eastAsia="Times New Roman" w:hAnsi="Times New Roman"/>
          <w:sz w:val="24"/>
          <w:szCs w:val="24"/>
          <w:lang w:eastAsia="hr-HR"/>
        </w:rPr>
        <w:t xml:space="preserve">(1) Za prekršaj kod kojeg nije ispunjen jedan ili više uvjeta iz članka 700. stavka 2. ovoga Zakona, kaznit će se pravna osoba novčanom kaznom u iznosu od 3.000,00 do 70.000,00 eura, ako: </w:t>
      </w:r>
    </w:p>
    <w:p w14:paraId="34D509F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 kao investicijsko društvo Agenciju ne izvijesti u roku iz članka 26. stavka 5. ovoga Zakona o prestanku mandata člana uprave ili nadzornog odbora</w:t>
      </w:r>
    </w:p>
    <w:p w14:paraId="6BED46B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 kao investicijsko društvo nije osigurala da zahtjev za izdavanje suglasnosti iz članka 29. stavka 1. ovoga Zakona bude podnesen najmanje tri mjeseca prije isteka mandata pojedinom članu uprave u skladu s člankom 29. stavkom 6. ovoga Zakona</w:t>
      </w:r>
    </w:p>
    <w:p w14:paraId="08BEB47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3. kao investicijsko društvo nije osigurala da novi zahtjev za izdavanje suglasnosti za imenovanje bude podnesen Agenciji najkasnije u roku od 30 dana od dana primitka </w:t>
      </w:r>
      <w:r w:rsidRPr="000479E9">
        <w:lastRenderedPageBreak/>
        <w:t>obavijesti o ukidanju, prestanku ili odbijanju izdavanja suglasnosti za imenovanje, u skladu s člankom 29. stavkom 7. ovoga Zakona</w:t>
      </w:r>
    </w:p>
    <w:p w14:paraId="171E3F4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 kao investicijsko društvo nije osigurala da novi zahtjev za izdavanje suglasnosti za imenovanje bude podnesen Agenciji najkasnije u roku od 30 dana od dana u situaciji kada investicijsko društvo ne ispunjava uvjet o najmanjem potrebnom broju članova uprave u skladu s odredbama ovoga Zakona, u skladu s člankom 29. stavkom 7. ovoga Zakona</w:t>
      </w:r>
    </w:p>
    <w:p w14:paraId="7E6E5EE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 kao investicijsko društvo ili burza u skladu s člankom 16. stavkom 1. ovoga Zakona ne obavijesti bez odgode Agenciju o saznanju o stjecanju ili otpuštanju udjela u tom investicijskom društvu ili burzi koji predstavlja kvalificirani udjel ili koji će izazvati prelazak ili smanjenje ispod 10 %, 20 %, 30 % ili 50 % u tom investicijskom društvu</w:t>
      </w:r>
    </w:p>
    <w:p w14:paraId="6B3BDB7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 kao investicijsko društvo ili kreditna institucija ili društvo za upravljanje, u skladu s obvezom iz članka 21. stavka 3. Delegirane uredbe (EU) br. 2017/565, primjerenim i proporcionalnim sustavima, sredstvima i postupcima ne osigura neprekidno i redovito obavljanje investicijskih usluga i aktivnosti protivno članku 51. stavku 6. ovoga Zakona</w:t>
      </w:r>
    </w:p>
    <w:p w14:paraId="726082A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 kao investicijsko društvo, kreditna institucija ili društvo za upravljanje postupi protivno odredbi članka 54. stavka 1. ovoga Zakona odnosno nije propisala, ili ne primjenjuje, ne ažurira redovito, ne procjenjuje niti ne nadzire primjerene politike i postupke koji osiguravaju da investicijsko društvo i relevantne osobe društva postupaju u skladu sa svojim obvezama propisanima ovim Zakonom, Uredbom (EU) br. 596/2014, Uredbom (EU) br. 600/2014 i pravilnicima koje na temelju njih donosi Agencija</w:t>
      </w:r>
    </w:p>
    <w:p w14:paraId="7B815A0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 kao investicijsko društvo, kreditna institucija ili društvo za upravljanje nije ustrojila trajnu i učinkovitu funkciju usklađenosti, u skladu s člankom 22. stavcima 2. i 3. Delegirane uredbe (EU) br. 2017/565 i člankom 54. stavkom 3. ovoga Zakona</w:t>
      </w:r>
    </w:p>
    <w:p w14:paraId="2C68514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 kao investicijsko društvo nije propisalo ili ne primjenjuje politiku primitaka koja je u skladu s uvjetima iz članka 27. Delegirane uredbe (EU) br. 2017/565 ili članka 56. ovoga Zakona</w:t>
      </w:r>
    </w:p>
    <w:p w14:paraId="3903FA2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 kao investicijsko društvo, kreditna institucija ili društvo za upravljanje nije uspostavila ili ne provodi primjerene postupke u cilju praćenja sprječavanja aktivnosti propisanih u skladu s člankom 57. stavkom 1. ovoga Zakona i u vezi s člankom 29. Delegirane uredbe (EU) br. 2017/565</w:t>
      </w:r>
    </w:p>
    <w:p w14:paraId="68A145D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 kao investicijsko društvo, kreditna institucija, društvo za upravljanje ili tržišni posrednik, protivno članku 58. stavku 4. ovoga Zakona, nije usvojila ili nije implementirala ili ne provodi učinkovitu pisanu politiku upravljanja sukobima interesa u skladu s primjenjivim uvjetima iz članaka 34. do 43. Delegirane uredbe (EU) br. 2017/565</w:t>
      </w:r>
    </w:p>
    <w:p w14:paraId="0E0163D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 kao investicijsko društvo, kreditna institucija ili društvo za upravljanje ne izdvoji ključne operativne funkcije u smislu članka 30. Delegirane Uredbe (EU) br. 2017/565, na treću osobu, u skladu s člankom 59. stavkom 1. ovoga Zakona i u vezi s uvjetima iz članaka 31. i 32. Delegirane uredbe (EU) br. 2017/565</w:t>
      </w:r>
    </w:p>
    <w:p w14:paraId="665FBF9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 kao investicijsko društvo ili kreditna institucija koja je proizvođač u smislu članka 60. stavka 1. ovoga Zakona ne omogući svim distributerima pristup svim potrebnim podacima, u skladu s člankom 60. stavkom 3. ovoga Zakona</w:t>
      </w:r>
    </w:p>
    <w:p w14:paraId="0245DC3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14. kao investicijsko društvo ili kreditna institucija koja je proizvođač u smislu članka 60. stavka 1. ovoga Zakona nije osigurala da postupak upravljanja proizvodima bude usklađen s uvjetima relevantnih propisa koji se odnose na upravljanje sukobima interesa, uključujući primitke od rada relevantnih osoba, u skladu s člankom 61. stavkom 3. ovoga Zakona</w:t>
      </w:r>
    </w:p>
    <w:p w14:paraId="4D1D49E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 kao investicijsko društvo ili kreditna institucija koja je proizvođač u smislu članka 60. stavka 1. ovoga Zakona nije poduzela sve primjerene mjere u slučaju realizacije ključnih događaja, u skladu s člankom 66. stavkom 2. ovoga Zakona</w:t>
      </w:r>
    </w:p>
    <w:p w14:paraId="77A9C1D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 kao investicijsko društvo ili kreditna institucija koja je distributer u smislu članka 67. stavka 1. ovoga Zakona nije uspostavila odgovarajuće mehanizme upravljanja proizvodom, pa zbog toga proizvodi i usluge koje nudi ili preporučuje nisu u skladu s potrebama, obilježjima i ciljevima utvrđenog ciljanog tržišta, u skladu s člankom 68. stavkom 4. ovoga Zakona</w:t>
      </w:r>
    </w:p>
    <w:p w14:paraId="467D730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 kao investicijsko društvo ili kreditna institucija koja je distributer u smislu članka 67. stavka 1. ovog Zakona nije usvojila distribucijsku strategiju ili je usvojila distribucijsku strategiju koja nije usklađena s utvrđenim ciljanim tržištem, u skladu s člankom 68. stavkom 4. ovoga Zakona</w:t>
      </w:r>
    </w:p>
    <w:p w14:paraId="55B2900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 kao investicijsko društvo, kreditna institucija, društvo za upravljanje ili tržišni operater ne vodi evidencije i/ili poslovnu dokumentaciju, u skladu s člancima 72. do 76. Uredbe (EU) br. 2017/565 i prilozima I. i IV. Delegirane uredbe (EU) br. 2017/565 i člankom 75. stavkom 2. ovoga Zakona, tako da su Agenciji dovoljne za ocjenu pridržava li se investicijsko društvo svih obveza koje na temelju propisa iz članka 75. stavka 1. ovoga Zakona ima prema klijentima ili potencijalnim klijentima te poštuje li odredbe koje se odnose na očuvanje integriteta tržišta</w:t>
      </w:r>
    </w:p>
    <w:p w14:paraId="3E4B8CF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 kao investicijsko društvo, kreditna institucija, društvo za upravljanje ili tržišni posrednik nije u roku iz članka 76. stavka 4. ovoga Zakona čuvala svu dokumentaciju i podatke o svim poslovima s financijskim instrumentima</w:t>
      </w:r>
    </w:p>
    <w:p w14:paraId="736BE3AD" w14:textId="71D940A9" w:rsidR="00C10AC0" w:rsidRPr="000479E9" w:rsidRDefault="00C10AC0" w:rsidP="00C10AC0">
      <w:pPr>
        <w:pStyle w:val="box477650"/>
        <w:shd w:val="clear" w:color="auto" w:fill="FFFFFF"/>
        <w:spacing w:before="0" w:beforeAutospacing="0" w:after="0" w:afterAutospacing="0"/>
        <w:jc w:val="both"/>
        <w:textAlignment w:val="baseline"/>
      </w:pPr>
      <w:r w:rsidRPr="000479E9">
        <w:t>20. kao investicijsko društvo ili kreditna institucija nije poduzela sve korake za evidentiranje komunikacije iz članka 77. stavaka 1. i 2. ovoga Zakona, u skladu s člankom 77. stavkom 3</w:t>
      </w:r>
      <w:r w:rsidR="00691D4A" w:rsidRPr="000479E9">
        <w:t>.</w:t>
      </w:r>
      <w:r w:rsidRPr="000479E9">
        <w:t xml:space="preserve"> ovoga Zakona</w:t>
      </w:r>
    </w:p>
    <w:p w14:paraId="0D0A5F0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 kao investicijsko društvo ili kreditna institucija nije usvojila, implementirala ili ne održava učinkovitu politiku o evidentiranju komunikacije iz članka 77. ovoga Zakona u skladu s uvjetima iz članka 79. ovoga Zakona i članka 76. Delegirane uredbe (EU) br. 2017/565</w:t>
      </w:r>
    </w:p>
    <w:p w14:paraId="61EC810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22. kao investicijsko društvo ili kreditna institucija nije poduzela sve razumne korake za sprječavanje komunikacije iz članka 77. ovoga Zakona privatnom opremom zaposlenika ili druge relevantne osobe u skladu s člankom 79. stavkom 2. ovoga Zakona</w:t>
      </w:r>
    </w:p>
    <w:p w14:paraId="491FFD6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23. kao investicijsko društvo, kreditna institucija ili društvo za upravljanje koje drži novčana sredstva i/ili financijske instrumente klijenta ne vodi evidencije i račune tako da u svakom trenutku i bez odgađanja može razlikovati imovinu koju drži za jednog klijenta od imovine koju drži za bilo kojeg drugog klijenta i od svoje vlastite imovine, u skladu s člankom 80. stavkom 4. točkom 1. ovoga Zakona</w:t>
      </w:r>
    </w:p>
    <w:p w14:paraId="6B495A4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24. kao investicijsko društvo, kreditna institucija ili društvo za upravljanje koje drži novčana sredstva ili financijske instrumente klijenta ne vodi evidencije i račune tako </w:t>
      </w:r>
      <w:r w:rsidRPr="000479E9">
        <w:lastRenderedPageBreak/>
        <w:t>da se mogu upotrijebiti za revizijski trag, u skladu s člankom 80. stavkom 4. točkom 2. ovoga Zakona</w:t>
      </w:r>
    </w:p>
    <w:p w14:paraId="7818DA9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25. kao investicijsko društvo, kreditna institucija ili društvo za upravljanje koje drži novčana sredstva ili financijske instrumente nije na odgovarajući način organizacijski ustrojena kako bi se rizik gubitka ili smanjenja imovine klijenta ili prava u vezi s tom imovinom, nastao kao rezultat zlouporabe imovine, prijevare, lošeg administriranja, neprimjerenog vođenja evidencije ili nemara, sveo na najmanju moguću mjeru, u skladu s člankom 80. stavkom 4. točkom 6. ovoga Zakona</w:t>
      </w:r>
    </w:p>
    <w:p w14:paraId="6C869E4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26. kao investicijsko društvo ne postupa pažnjom dobrog stručnjaka pri odabiru, imenovanju ili ugovaranju uvjeta deponiranja novčanih sredstava klijenta u skladu s člankom 81. stavkom 4. ovoga Zakona i pravilnikom iz članka 80. stavka 10. ovoga Zakona</w:t>
      </w:r>
    </w:p>
    <w:p w14:paraId="0374133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27. kao investicijsko društvo ili kreditna institucija koja koristi algoritamsko trgovanje ne uspostavi djelotvorne sustave i mjere za kontrolu rizika u skladu s odredbama Delegirane uredbe (EU) br. 2017/589 i članka 82. stavaka 1. do 4. ovoga Zakona</w:t>
      </w:r>
    </w:p>
    <w:p w14:paraId="1713039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28. kao investicijsko društvo ili kreditna institucija koja koristi algoritamsko trgovanje provodi strategiju održavanja tržišta u smislu članka 83. stavka 2. ovoga Zakona, a ne ispunjava uvjete propisane Delegiranom uredbom (EU) br. 2017/578 i člankom 83. stavkom 3. ovoga Zakona</w:t>
      </w:r>
    </w:p>
    <w:p w14:paraId="4F7CCDE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29. kao investicijsko društvo ili kreditna institucija koja klijentima omogućuje izravan elektronički pristup mjestu trgovanja ne uspostavi djelotvorne sustave i kontrolne mehanizme koji osiguravaju ispravnu procjenu primjerenosti klijenta koji koristi uslugu te odgovarajuću kontrolu te procjene, u skladu s člankom 84. stavkom 2. točkom 1. ovoga Zakona</w:t>
      </w:r>
    </w:p>
    <w:p w14:paraId="01F41D4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30. kao investicijsko društvo ili kreditna institucija koja klijentima omogućuje izravan elektronički pristup mjestu trgovanja ne uspostavi ili ne uspostavi djelotvorne sustave i kontrolne mehanizme koji onemogućuje klijentu da prekorači primjerene, unaprijed postavljene pragove trgovanja i ograničenja kredita za trgovanje, u skladu s člankom 84. stavkom 2. točkom 2. ovoga Zakona</w:t>
      </w:r>
    </w:p>
    <w:p w14:paraId="0D13875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31. kao investicijsko društvo ili kreditna institucija koja klijentima omogućuje izravan elektronički pristup mjestu trgovanja ne uspostavi djelotvorne sustave i kontrolne mehanizme koji osiguravaju primjeren nadzor trgovanja klijenata koji tu uslugu koriste, u skladu s člankom 84. stavkom 2. točkom 3. ovoga Zakona</w:t>
      </w:r>
    </w:p>
    <w:p w14:paraId="413B824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32. kao investicijsko društvo ili kreditna institucija koja klijentima omogućuje izravan elektronički pristup mjestu trgovanja ne uspostavi djelotvorne sustave i kontrolne mehanizme koji sprječavaju da putem sustava izravnog elektroničkog pristupa dođe do trgovanja koje predstavlja rizik za samo investicijsko društvo, stvara ili doprinosi stvaranju neurednog tržišta, koje bi moglo biti suprotno Uredbi (EU) br. 596/2014 ili pravilima mjesta trgovanja, u skladu s člankom 84. stavkom 2. točkom 4. ovoga Zakona</w:t>
      </w:r>
    </w:p>
    <w:p w14:paraId="2300AED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33. kao investicijsko društvo ili kreditna institucija koja klijentima omogućuje izravan elektronički pristup mjestu trgovanja nije osigurala da klijenti tu mogućnost koriste u skladu s uvjetima iz ovoga Zakona i pravilima mjesta trgovanja, u skladu s člankom 84. stavkom 7. ovoga Zakona</w:t>
      </w:r>
    </w:p>
    <w:p w14:paraId="6C3FC08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34. kao investicijsko društvo, kreditna institucija, društvo za upravljanje ili tržišni posrednik tijekom pružanja investicijskih i pomoćnih usluga kontinuirano ili učestalo ne postupa u najboljem interesu klijenta, u skladu s člankom 86. stavcima 1. do 4. ovoga Zakona</w:t>
      </w:r>
    </w:p>
    <w:p w14:paraId="64CAAA4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35. kao investicijsko društvo, kreditna institucija, društvo za upravljanje ili tržišni posrednik klijentima i/ili potencijalnim klijentima kontinuirano ili učestalo pruža podatke koji nisu korektni, jasni i koji dovode ili bi mogli dovesti u zabludu, u skladu s člankom 44. Delegirane uredbe (EU) br. 2017/565 i člankom 87. ovoga Zakona</w:t>
      </w:r>
    </w:p>
    <w:p w14:paraId="4DF34387" w14:textId="4802806E" w:rsidR="00C10AC0" w:rsidRPr="000479E9" w:rsidRDefault="00C10AC0" w:rsidP="00C10AC0">
      <w:pPr>
        <w:pStyle w:val="box477650"/>
        <w:shd w:val="clear" w:color="auto" w:fill="FFFFFF"/>
        <w:spacing w:before="0" w:beforeAutospacing="0" w:after="0" w:afterAutospacing="0"/>
        <w:jc w:val="both"/>
        <w:textAlignment w:val="baseline"/>
      </w:pPr>
      <w:r w:rsidRPr="000479E9">
        <w:t>36. priprema istraživanja, daje na korištenje ili distribuira klijentima i/ili potencijalnim klijentima istraživanja koja nisu korektna, jasna, jasno prepoznatljiva ili dovode ili bi mogla dovesti u zabludu, protivno članku 87.a stavku 1. ovoga Zakona i uvjetima iz Delegirane uredbe Komisije (EU) 2017/565 koji se primjenjuju na to istraživanje</w:t>
      </w:r>
    </w:p>
    <w:p w14:paraId="087274C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37. kao investicijsko društvo koje pruža uslugu upravljanja portfeljem ili druge investicijske usluge ili pomoćne usluge ne osigura da je istraživanje koje distribuira klijentima ili potencijalnim klijentima, a koje u cijelosti ili djelomično plaća izdavatelj, označeno kao „istraživanje koje financira izdavatelj“, protivno članku 87.a stavku 2. ovoga Zakona</w:t>
      </w:r>
    </w:p>
    <w:p w14:paraId="29F79F6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38. kao investicijsko društvo nije jasno i vidljivo označilo istraživanje u skladu s EU-ovim kodeksom ponašanja za istraživanja koja financira izdavatelj ili promidžbeni sadržaj, protivno odredbi članka 87.a stavka 3. ovoga Zakona</w:t>
      </w:r>
    </w:p>
    <w:p w14:paraId="1BAA545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39. kao investicijsko društvo koje priprema ili distribuira istraživanje koje financira izdavatelj nije uspostavilo organizacijske aranžmane u skladu s člankom 87.a stavkom 4. ovoga Zakona</w:t>
      </w:r>
    </w:p>
    <w:p w14:paraId="70712F2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40. kao investicijsko društvo, kreditna institucija, društvo za upravljanje ili tržišni posrednik klijentima i/ili potencijalnim klijentima učestalo ne dostavlja pravodobno podatke iz stavka 2. članka 88. ovoga Zakona, u skladu s člankom 88. stavkom 1. ovoga Zakona</w:t>
      </w:r>
    </w:p>
    <w:p w14:paraId="412A6D1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41. kao investicijsko društvo kreditna institucija, društvo za upravljanje ili tržišni posrednik klijentima i/ili potencijalnim klijentima podatke iz članka 88. stavka 2. ovoga Zakona učestalo dostavlja u obliku koji nije u skladu s člankom 50. Delegirane uredbe (EU) br. 2017/565 i člankom 88. stavkom 3. ovoga Zakona</w:t>
      </w:r>
    </w:p>
    <w:p w14:paraId="13A8E74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42. kao investicijsko društvo, kreditna institucija, društvo za upravljanje ili tržišni posrednik u komunikaciji s klijentima/potencijalnim klijentima učestalo ističe da je investicijski savjet koji nudi neovisan, a nisu ispunjeni uvjeti iz članka 53. Delegirane uredbe (EU) br. 2017/565 i članka 90. stavka 1. ovoga Zakona</w:t>
      </w:r>
    </w:p>
    <w:p w14:paraId="51BC437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43. kao investicijsko društvo vodi zaseban račun za istraživanja protivno uvjetima propisanim člankom 94. stavkom 3. ovoga Zakona</w:t>
      </w:r>
    </w:p>
    <w:p w14:paraId="3E73FA9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44. kao investicijsko društvo ne vodi evidenciju o ukupnim troškovima na način propisan člankom 94. stavkom 9. ovoga Zakona</w:t>
      </w:r>
    </w:p>
    <w:p w14:paraId="0260BFE9" w14:textId="2305E982" w:rsidR="00C10AC0" w:rsidRPr="000479E9" w:rsidRDefault="00C10AC0" w:rsidP="00C10AC0">
      <w:pPr>
        <w:pStyle w:val="box477650"/>
        <w:shd w:val="clear" w:color="auto" w:fill="FFFFFF"/>
        <w:spacing w:before="0" w:beforeAutospacing="0" w:after="0" w:afterAutospacing="0"/>
        <w:jc w:val="both"/>
        <w:textAlignment w:val="baseline"/>
      </w:pPr>
      <w:r w:rsidRPr="000479E9">
        <w:t>45. kao investicijsko društvo na zahtjev klijenta ne stavi na raspolaganje informacije protivno odredbi članka 94. stavka 10. ovoga Zakona</w:t>
      </w:r>
    </w:p>
    <w:p w14:paraId="54AEED5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46. kao investicijsko društvo, kreditna institucija, društvo za upravljanje ili tržišni posrednik koji klijentima pruža uslugu investicijskog savjetovanja i/ili upravljanja portfeljem učestalo ne prikuplja ili učestalo prikuplja manjkave podatke iz članka 54. </w:t>
      </w:r>
      <w:r w:rsidRPr="000479E9">
        <w:lastRenderedPageBreak/>
        <w:t>Delegirane uredbe (EU) br. 2017/565, u skladu s člankom 105. stavkom 3. ovoga Zakona</w:t>
      </w:r>
    </w:p>
    <w:p w14:paraId="55D3F61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47. kao investicijsko društvo ili kreditna institucija klijentima pruža investicijske usluge u smislu članka 107. stavka 1. ovoga Zakona, učestalo ne prikuplja ili učestalo prikuplja manjkave podatke o znanju i iskustvu klijenta na području ulaganja iz članka 54. Delegirane uredbe (EU) br. 2017/565, u skladu s člankom 107. stavkom 3. ovoga Zakona</w:t>
      </w:r>
    </w:p>
    <w:p w14:paraId="3F94351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48. kao investicijsko društvo ili kreditna institucija klijentima učestalo pruža investicijske usluge bez prikupljanja podataka iz članka 107. ovoga Zakona, a nisu ispunjeni svi uvjeti iz članka 110. stavka 1. ovoga Zakona, u skladu s člankom 110. stavkom 1. ovoga Zakona</w:t>
      </w:r>
    </w:p>
    <w:p w14:paraId="33C53BF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49. kao investicijsko društvo ili kreditna institucija ne vodi evidencije o procjeni prikladnosti u skladu s člankom 56. Delegirane uredbe EU br. 2017/565 i člankom 108. ovoga Zakona</w:t>
      </w:r>
    </w:p>
    <w:p w14:paraId="309A950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50. kao investicijsko društvo ili kreditna institucija pri izvršavanju naloga ne poduzme sve korake dovoljne za postizanje najpovoljnijeg ishoda za klijenta uzimajući u obzir cijene, troškove, brzinu, vjerojatnost izvršenja i namire, veličinu, vrstu te sve druge okolnosti relevantne za izvršavanje naloga, u skladu s člankom 121. stavkom 1. ovoga Zakona</w:t>
      </w:r>
    </w:p>
    <w:p w14:paraId="3553F1A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51. kao investicijsko društvo ili kreditna institucija nije bez odgode nakon izvršenja naloga, kada je riječ o financijskim instrumentima koji podliježu obvezama trgovanja utvrđenima u člancima 23. i 28. Uredbe (EU) br. 600/2014, obavijestila klijenta o mjestu izvršenja naloga, u skladu s člankom 121. stavkom 5. ovoga Zakona</w:t>
      </w:r>
    </w:p>
    <w:p w14:paraId="706A71C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52. se kao investicijsko društvo ili kreditna institucija koja izvršava naloge malih ulagatelja učestalo ne pridržava obveze utvrđivanja najpovoljnijeg ishoda u skladu s člankom 122. stavcima 1. i 2. ovoga Zakona</w:t>
      </w:r>
    </w:p>
    <w:p w14:paraId="3E9BBE8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53. kao investicijsko društvo ili kreditna institucija koja izvršava naloge klijenata ne donese ili učestalo ne primjenjuje politiku izvršavanja naloga koja mu omogućava postizanje najpovoljnijeg ishoda pri izvršavanju naloga klijenta, u skladu s člankom 123. stavkom 1. ovoga Zakona</w:t>
      </w:r>
    </w:p>
    <w:p w14:paraId="77E915C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54. kao investicijsko društvo ili kreditna institucija koja izvršava naloge klijenata nema propisane ili učestalo ne primjenjuje primjerene mjere i postupke koje jamče promptno, korektno i ažurno izvršavanje naloga u skladu s uvjetima iz članaka 67. do 69. Delegirane uredbe (EU) br. 2017/565, u skladu s člankom 119. stavkom 1. ovoga Zakona</w:t>
      </w:r>
    </w:p>
    <w:p w14:paraId="43F5AA9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55. kao investicijsko društvo ili kreditna institucija koja izvršava naloge klijenata zloupotrijebi podatak u vezi s neizvršenim nalogom klijenta, u skladu s člankom 119. stavkom 4. ovoga Zakona</w:t>
      </w:r>
    </w:p>
    <w:p w14:paraId="429D61E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56. kao investicijsko društvo ili kreditna institucija učestalo limitirane naloge klijenta ne izvršava u skladu s uvjetima iz članka 70. Delegirane uredbe (EU) br. 2017/565, u skladu s člankom 120. stavkom 2. ovoga Zakona</w:t>
      </w:r>
    </w:p>
    <w:p w14:paraId="2AC1C3F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57. kao investicijsko društvo, kreditna institucija ili društvo za upravljanje poslove iz članka 126. stavka 1. ovoga Zakona povjeri osobi koja ne ispunjava uvjete iz članka 127. ovoga Zakona odnosno ako poslove iz članka 126. stavka 1. ovoga Zakona za </w:t>
      </w:r>
      <w:r w:rsidRPr="000479E9">
        <w:lastRenderedPageBreak/>
        <w:t>račun investicijskog društva obavlja osoba koja nije upisana u registar vezanog zastupnika ili nije ovlaštena obavljati investicijske usluge i aktivnosti, u skladu s člankom 126. ovoga Zakona</w:t>
      </w:r>
    </w:p>
    <w:p w14:paraId="6687CDE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58. kao investicijsko društvo, kreditna institucija ili društvo za upravljanje koje je imenovalo vezanog zastupnika ne nadzire ili ne nadzire adekvatno pridržava li se vezani zastupnik ovoga Zakona i relevantnih propisa prilikom obavljanja poslova iz članka 126. stavka 1. ovoga Zakona, u skladu s člankom 128. stavkom 2. točkom 1. ovoga Zakona</w:t>
      </w:r>
    </w:p>
    <w:p w14:paraId="02F2AB0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59. kao subjekt nadzora Agencije iz članka 191. stavka 2. ovoga Zakona ne postupi u skladu s rješenjem o nadzornim mjerama Agencije, izrečenim sukladno članku 201. ovoga Zakona, na način i u roku koji odredi Agencija</w:t>
      </w:r>
    </w:p>
    <w:p w14:paraId="3296EC8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60. kao investicijsko društvo ili kreditna institucija ne objavljuje ponude u skladu s člankom 14. stavkom 1. Uredbe (EU) br. 600/2014</w:t>
      </w:r>
    </w:p>
    <w:p w14:paraId="62FDB6F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61. kao investicijsko društvo ili kreditna institucija kao sistematski internalizator ne objavljuje ponude u skladu s člankom 15. stavkom 1. Uredbe (EU) br. 600/2014</w:t>
      </w:r>
    </w:p>
    <w:p w14:paraId="3A61E99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62. kao investicijsko društvo ili kreditna institucija kao sistematski internalizator ne provodi transparentna i nediskriminirajuća pravila i objektivne kriterije za učinkovito izvršavanje naloga u skladu s člankom 15. stavkom 1. podstavkom 3. Uredbe (EU) br. 600/2014</w:t>
      </w:r>
    </w:p>
    <w:p w14:paraId="594C26D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63. kao investicijsko društvo ili kreditna institucija kao sistematski internalizator učestalo izvršava naloge klijenata prema cijenama različitima od onih propisanih člankom 15. stavkom 2. Uredbe (EU) br. 600/2014</w:t>
      </w:r>
    </w:p>
    <w:p w14:paraId="597AFB2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64. kao investicijsko društvo ili kreditna institucija kao sistematski internalizator koji objavljuje ponude za različite veličine učestalo izvršava naloge klijenata protivno uvjetima iz članka 15. stavka 4. Uredbe (EU) br. 600/2014</w:t>
      </w:r>
    </w:p>
    <w:p w14:paraId="5E0189A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65. kao investicijsko društvo ili kreditna institucija kao sistematski internalizator nema jasne standarde koji uređuju pristup ponudama, u skladu s člankom 17. stavkom 1. Uredbe (EU) br. 600/2014</w:t>
      </w:r>
    </w:p>
    <w:p w14:paraId="7C0A323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66. kao investicijsko društvo ili kreditna institucija kao sistematski internalizator nije uskladila ponude, poboljšanja cijena tih ponuda ili cijene izvršenja s pomacima cijene utvrđenima u skladu s člankom 49. Direktive 2014/65/EU, u skladu s člankom 17.a Uredbe (EU) br. 600/2014</w:t>
      </w:r>
    </w:p>
    <w:p w14:paraId="2E3464E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67. kao investicijsko društvo ili kreditna institucija nije uskladila informacije objavljene u skladu s člankom 21. stavkom 1. Uredbe (EU) br. 600/2014 sa zahtjevima iz članka 21. stavka 3. Uredbe (EU) br. 600/2014</w:t>
      </w:r>
    </w:p>
    <w:p w14:paraId="2B10E44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68. kao investicijsko društvo ili kreditna institucija nije osigurala da se transakcije dionicama koje imaju međunarodni identifikacijski broj vrijednosnog papira (ISIN) izdan u Europskom gospodarskom prostoru (EGP) i kojima se trguje na mjestu trgovanja koje ono izvršava odvija na odgovarajućem mjestu trgovanja, u skladu s člankom 23. stavkom 1. Uredbe (EU) br. 600/2014</w:t>
      </w:r>
    </w:p>
    <w:p w14:paraId="4212BEF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69. kao investicijsko društvo ili kreditna institucija upravlja unutarnjim sustavom za uparivanje naloga, a nema odobrenje Agencije za pružanje usluge upravljanja MTP-om u skladu s člankom 23. stavkom 2. Uredbe (EU) br. 600/2014</w:t>
      </w:r>
    </w:p>
    <w:p w14:paraId="643468D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70. kao investicijsko društvo ili kreditna institucija ne čuva podatke o nalozima i transakcijama u skladu s člankom 25. stavkom 1. Uredbe (EU) br. 600/2014</w:t>
      </w:r>
    </w:p>
    <w:p w14:paraId="49A6BD8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71. kao investicijsko društvo ili kreditna institucija ne objavljuje podatke o transakciji u skladu s uvjetima iz članka 20. stavka 1. Uredbe (EU) br. 600/2014</w:t>
      </w:r>
    </w:p>
    <w:p w14:paraId="1CC27B9A" w14:textId="738B8D13"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72. kao investicijsko društvo ili kreditna institucija ne objavljuje sve pojedinačne transakcije preko jednog APA-e u skladu s člankom 20. stavkom </w:t>
      </w:r>
      <w:r w:rsidR="00786816" w:rsidRPr="000479E9">
        <w:t>1.a</w:t>
      </w:r>
      <w:r w:rsidRPr="000479E9">
        <w:t xml:space="preserve"> Uredbe (EU) br. 600/2014</w:t>
      </w:r>
    </w:p>
    <w:p w14:paraId="6C0C915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73. kao investicijsko društvo ili kreditna institucija ne objavljuje transakcije u skladu s uvjetima iz članka 21. stavka 1. Uredbe (EU) br. 600/2014</w:t>
      </w:r>
    </w:p>
    <w:p w14:paraId="392FD07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74. kao investicijsko društvo ili kreditna institucija učestalo ne objavljuje sve pojedinačne transakcije preko jednog APA-e u skladu s člankom 21. stavkom 2. Uredbe (EU) br. 600/2014</w:t>
      </w:r>
    </w:p>
    <w:p w14:paraId="7A5DC27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75. kao središnja druga ugovorna strana ne prihvati poravnanje financijskih instrumenata suprotno uvjetima propisanima člankom 35. stavkom 1. Uredbe (EU) br. 600/2014</w:t>
      </w:r>
    </w:p>
    <w:p w14:paraId="79FB445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76. kao središnja druga ugovorna strana uskrati pristup mjestu trgovanja protivno članku 35. stavku 3. Uredbe (EU) br. 600/2014</w:t>
      </w:r>
    </w:p>
    <w:p w14:paraId="377AE03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77. kao središnja druga ugovorna strana ne prihvati poravnanje financijskih instrumenata suprotno uvjetima propisanima člankom 36. stavkom 1. Uredbe (EU) br. 600/2014</w:t>
      </w:r>
    </w:p>
    <w:p w14:paraId="7FF90AA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78. kao središnja druga ugovorna strana uskrati pristup mjestu trgovanja protivno članku 36. stavku 3. Uredbe (EU) br. 600/2014</w:t>
      </w:r>
    </w:p>
    <w:p w14:paraId="101B877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79. je kao središnja druga ugovorna strana, tržišni operater, investicijsko društvo ili kreditna institucija koja upravlja mjestom trgovanja ili povezani subjekt sklopila sporazum s ponuditeljem referentne vrijednosti u suprotnosti s člankom 37. stavkom 3. Uredbe (EU) br. 600/2014</w:t>
      </w:r>
    </w:p>
    <w:p w14:paraId="0B29649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80. na tržište stavi, distribuira ili prodaje određene financijske instrumente ili strukturirane depozite ili financijske instrumente ili strukturirane depozite s određenim naznačenim obilježjima protivno zabrani ESMA-e, EBA-e ili Agencije u skladu s člancima 40., 41. i 42. Uredbe (EU) br. 600/2014</w:t>
      </w:r>
    </w:p>
    <w:p w14:paraId="4E056FD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81. obavlja određene vrste financijskih aktivnosti ili praksi protivno zabrani ESMA-e, EBA-e ili Agencije u skladu s člancima 40., 41. i 42. Uredbe (EU) br. 600/2014</w:t>
      </w:r>
    </w:p>
    <w:p w14:paraId="41A15E2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82. kao financijska druga ugovorna strana ili nefinancijska druga ugovorna strana koja podliježe obvezi poravnanja na temelju glave II. Uredbe (EU) br. 648/2012 učestalo zaključuje transakcije protivno članku 28. stavku 1. Uredbe (EU) br. 600/2014</w:t>
      </w:r>
    </w:p>
    <w:p w14:paraId="66A5FB7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83. kao središnja druga ugovorna strana, tržišni operater, investicijsko društvo ili kreditna institucija koja upravlja mjestom trgovanja ili investicijsko društvo ili kreditna institucija koja djeluje kao član poravnanja u skladu s člankom 2. stavkom 14. Uredbe (EU) br. 648/2012 nije uspostavila djelotvorne sustave, postupke i/ili mehanizme u odnosu na poravnane izvedenice u skladu s člankom 29. stavkom 2. Uredbe (EU) br. 600/2014</w:t>
      </w:r>
    </w:p>
    <w:p w14:paraId="08AC393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84. kao investicijsko društvo, kreditna institucija ili tržišni operater koji je pružatelj usluga smanjenja rizika nakon trgovanja ne vodi potpunu i točnu evidenciju transakcija iz članka 31. stavka 1. Uredbe (EU) br. 600/2014 ili ne pruža Agenciji ili ESMA-i pristup tim evidencijama, u skladu s člankom 31. stavkom 3. Uredbe (EU) br. 600/2014</w:t>
      </w:r>
    </w:p>
    <w:p w14:paraId="521C46B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85. kao osoba koja ima vlasnička prava na referentnu vrijednost nije osigurala pristup središnjoj drugoj ugovornoj strani i/ili mjestu trgovanja podacima u skladu s člankom 37. stavkom 1. Uredbe (EU) br. 600/2014</w:t>
      </w:r>
    </w:p>
    <w:p w14:paraId="21D2338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86. kao investicijsko društvo ili kreditna institucija učestalo ne izvještava Agenciju o detaljima izvršenih transakcija iz članka 26. stavka 1. Uredbe (EU) br. 600/2014, na načine propisane člankom 26. stavkom 7. Uredbe (EU) br. 600/2014 i u rokovima propisanim člankom 26. stavkom 1. Uredbe (EU) br. 600/2014</w:t>
      </w:r>
    </w:p>
    <w:p w14:paraId="181063D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87. kao investicijsko društvo ili kreditna institucija učestalo dostavlja Agenciji izvještaj o izvršenim transakcijama iz članka 26. stavka 1. Uredbe (EU) br. 600/2014 koji nije ispunjen podacima propisanim člankom 26. stavkom 3. Uredbe (EU) br. 600/2014 ili isti izvještaj učestalo ne ispunjava ispravno</w:t>
      </w:r>
    </w:p>
    <w:p w14:paraId="47D4059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88. kao investicijsko društvo ili kreditna institucija iz članka 26. stavka 4. Uredbe (EU) br. 600/2014 učestalo ne navodi u prenesenom nalogu sve pojedinosti navedene u članku 26. stavcima 1. i 3. Uredbe (EU) br. 600/2014 ili učestalo sama ne izvještava Agenciju o detaljima izvršenih transakcija</w:t>
      </w:r>
    </w:p>
    <w:p w14:paraId="2BE7C98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89. kao investicijsko društvo ili kreditna institucija koja upravlja mjestom trgovanja učestalo ne izvještava Agenciju sukladno članku 26. stavcima 1. i 3. Uredbe (EU) br. 600/2014 o detaljima transakcija koje su izvršene preko njegova sustava na temelju naloga osobe na koju se ne odnose odredbe Uredbe (EU) br. 600/2014, a sukladno članku 26. stavku 4. Uredbe (EU) br. 600/2014</w:t>
      </w:r>
    </w:p>
    <w:p w14:paraId="762A043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90. kao investicijsko društvo ili kreditna institucija koja upravlja mjestom trgovanja i koja u ime investicijskog društva dostavlja Agenciji izvještaj o izvršenim transakcijama sukladno članku 26. stavku 7. podstavku 1. Uredbe (EU) br. 600/2014, nema uspostavljene i ne primjenjuje organizacijske zahtjeve propisane člankom 26. stavkom 7. podstavkom 5. Uredbe (EU) br. 600/2014</w:t>
      </w:r>
    </w:p>
    <w:p w14:paraId="44EFE40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91. kao investicijsko društvo ili kreditna institucija učestalo ne podnosi ispravljeno izvješće o izvršenim transakcijama iz članka 26. stavka 1. Uredbe (EU) br. 600/2014, sukladno članku 26. stavku 7. podstavku 8. Uredbe (EU) br. 600/2014</w:t>
      </w:r>
    </w:p>
    <w:p w14:paraId="420CCA86" w14:textId="4BAFF5EE" w:rsidR="00C10AC0" w:rsidRPr="000479E9" w:rsidRDefault="00C10AC0" w:rsidP="00C10AC0">
      <w:pPr>
        <w:pStyle w:val="box477650"/>
        <w:shd w:val="clear" w:color="auto" w:fill="FFFFFF"/>
        <w:spacing w:before="0" w:beforeAutospacing="0" w:after="0" w:afterAutospacing="0"/>
        <w:jc w:val="both"/>
        <w:textAlignment w:val="baseline"/>
      </w:pPr>
      <w:r w:rsidRPr="000479E9">
        <w:t>92. kao investicijsko društvo ili kreditna institucija učestalo ne dostavlja Agenciji potpunu specifikaciju pozicija iz članka 383. stavaka 1. i 2. ovoga Zakona, protivno članku 381. stavku 1. točki 1. ovoga Zakona, ili istu specifikaciju učestalo ne ispunjava ispravno</w:t>
      </w:r>
    </w:p>
    <w:p w14:paraId="7FC23D8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93. kao investicijsko društvo ili kreditna institucija učestalo ne dostavlja drugom ili središnjem nadležnom tijelu potpunu specifikaciju pozicija iz članka 383. stavaka 1. i 2. ovoga Zakona, protivno članku 381. stavku 1. točkama 1., 2. i 3. ovoga Zakona, ili istu specifikaciju ne dostavlja drugom ili središnjem nadležnom tijelu u obliku propisanom Provedbenom uredbom (EU) br. 2017/1093 ili istu specifikaciju učestalo ne ispunjava ispravno</w:t>
      </w:r>
    </w:p>
    <w:p w14:paraId="59C090B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94. kao investicijsko društvo ili kreditna institucija koji su članovi uređenog tržišta ili MTP-a ili klijenti OTP-a učestalo ne izvještava investicijska društva, kreditne institucije ili tržišne operatere tih mjesta trgovanja o detaljima vlastitih pozicija, kao i detaljima pozicija konačnih klijenata koje drži putem ugovora kojima se trguje na tom mjestu trgovanja u skladu s člankom 382. ovoga Zakona ili o detaljima pozicija učestalo izvještava neispravno</w:t>
      </w:r>
    </w:p>
    <w:p w14:paraId="4B7C500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95. kao investicijsko društvo ili kreditna institucija kao sistematski internalizator ponude daje protivno uvjetima iz članka 14. stavka 3. Uredbe (EU) br. 600/2014 u pogledu cijene i/ili minimalne količine</w:t>
      </w:r>
    </w:p>
    <w:p w14:paraId="7B1752C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96. kao burza ne obavlja zadaće vezane uz organizaciju i poslovanje uređenog tržišta u skladu s člankom 284. stavkom 3. ovoga Zakona, vodeći se načelima zaštite javnog interesa i stabilnosti tržišta kapitala u skladu sa stavkom 5. istoga članka</w:t>
      </w:r>
    </w:p>
    <w:p w14:paraId="48CF1FD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97. kao burza ne osigura da uređeno tržište ispunjava uvjete iz dijela prvoga glave III. ovoga Zakona, u skladu s člankom 284. stavkom 2. ovoga Zakona</w:t>
      </w:r>
    </w:p>
    <w:p w14:paraId="4D045D15" w14:textId="387A982F"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98. kao burza obavlja druge djelatnosti protivno članku 285. stavku </w:t>
      </w:r>
      <w:r w:rsidR="00714B2F" w:rsidRPr="000479E9">
        <w:t>5</w:t>
      </w:r>
      <w:r w:rsidRPr="000479E9">
        <w:t>.</w:t>
      </w:r>
      <w:r w:rsidR="00714B2F" w:rsidRPr="000479E9">
        <w:t xml:space="preserve"> i 6.</w:t>
      </w:r>
      <w:r w:rsidRPr="000479E9">
        <w:t xml:space="preserve"> ovoga Zakona</w:t>
      </w:r>
    </w:p>
    <w:p w14:paraId="3B73C565" w14:textId="25344BC8"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99. kao burza ne obavijesti Agenciju, na dan početka obavljanja nove djelatnosti, o novoj djelatnosti i/ili ne dostavi obrazloženje iz članka 285. stavka </w:t>
      </w:r>
      <w:r w:rsidR="00714B2F" w:rsidRPr="000479E9">
        <w:t>9</w:t>
      </w:r>
      <w:r w:rsidRPr="000479E9">
        <w:t xml:space="preserve">. ovoga Zakona, protivno članku 285. stavku </w:t>
      </w:r>
      <w:r w:rsidR="00714B2F" w:rsidRPr="000479E9">
        <w:t>7</w:t>
      </w:r>
      <w:r w:rsidRPr="000479E9">
        <w:t>. ovoga Zakona</w:t>
      </w:r>
    </w:p>
    <w:p w14:paraId="63689A9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100. kao burza nije osigurala da članovi uprave burze u svakom trenutku ispunjavaju svaki od zahtjeva iz članka 288. stavka 4. ovoga Zakona</w:t>
      </w:r>
    </w:p>
    <w:p w14:paraId="3EFE959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101. kao burza značajna u smislu veličine, unutarnje organizacije i prirode, područja djelovanja i složenosti aktivnosti nije uspostavila odbor za imenovanja, u skladu s odredbama članka 289. stavka 10. ovoga Zakona</w:t>
      </w:r>
    </w:p>
    <w:p w14:paraId="47BD0DA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102. kao burza ako članovi nadzornog odbora burze nemaju pristup informacijama i/ili dokumentima koji su potrebni za nadgledanje i praćenje odlučivanja uprave burze kako je propisano člankom 289. stavkom 16. ovoga Zakona</w:t>
      </w:r>
    </w:p>
    <w:p w14:paraId="3AC0C28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103. kao burza ne pribavi prethodnu suglasnost Agencije protivno članku 294. stavku 1. ovoga Zakona</w:t>
      </w:r>
    </w:p>
    <w:p w14:paraId="0FF3F4F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104. kao burza ne obavijesti Agenciju u skladu s člankom 294. stavkom 3. ovoga Zakona</w:t>
      </w:r>
    </w:p>
    <w:p w14:paraId="1D0855A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105. kao burza Agenciju ne obavijesti u roku iz članka 295. stavka 1. ovoga Zakona o prestanku mandata člana uprave ili nadzornog odbora</w:t>
      </w:r>
    </w:p>
    <w:p w14:paraId="63C9F56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106. kao burza Agenciji ne dostavi podatke na temelju kojih je moguće procijeniti da su ispunjeni svi zahtjevi propisani odredbama članka 288. i odredbama članka 289. ovoga Zakona ili Agenciju ne obavijesti o značajnijim promjenama u načinu izvršenja zahtjeva propisanih odredbama članaka 288. i 289. ovoga Zakona, a sukladno članku 295. stavku 2. ovoga Zakona</w:t>
      </w:r>
    </w:p>
    <w:p w14:paraId="55D84A2E" w14:textId="624BF133"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107. kao burza nije osigurala da novi zahtjev za izdavanje suglasnosti za imenovanje bude podnesen Agenciji najkasnije u roku od 30 dana od dana primitka obavijesti o ukidanju, prestanku ili odbijanju izdavanja suglasnosti za imenovanje, u skladu s člankom 292. stavkom </w:t>
      </w:r>
      <w:r w:rsidR="00714B2F" w:rsidRPr="000479E9">
        <w:t>5</w:t>
      </w:r>
      <w:r w:rsidRPr="000479E9">
        <w:t>. ovoga Zakona</w:t>
      </w:r>
    </w:p>
    <w:p w14:paraId="65A2B7C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108. kao burza nije dostavila Agenciji podatke o vlasničkoj strukturi, imateljima kvalificiranih udjela, kao i o identitetu i iznosu udjela svih osoba koje imaju mogućnost vršiti značajan utjecaj na upravljanje uređenim tržištem kako je propisano člankom 293. stavkom 2. ovoga Zakona</w:t>
      </w:r>
    </w:p>
    <w:p w14:paraId="2E712AC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109. kao burza nije obavijestila Agenciju o svim značajnim promjenama u poslovanju burze u skladu s člankom 287. stavkom 8. ovoga Zakona</w:t>
      </w:r>
    </w:p>
    <w:p w14:paraId="4683EEB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110. kao burza nije o padu vlastitih financijskih sredstava obavijestila Agenciju sukladno članku 287. stavku 7. ovoga Zakona</w:t>
      </w:r>
    </w:p>
    <w:p w14:paraId="4E68A53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111. kao burza nije uspostavila ili nije primjenjivala mjere i postupke za funkcioniranje trgovinskog sustava sukladno članku 296. stavku 1. točki 11. ovoga Zakona</w:t>
      </w:r>
    </w:p>
    <w:p w14:paraId="1F96E93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112. kao burza nije usvojila ili nije primjenjivala sigurnosne mjere za eventualne poremećaje u sustavu sukladno članku 296. stavku 1. točki 11. ovoga Zakona</w:t>
      </w:r>
    </w:p>
    <w:p w14:paraId="7B7D288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113. kao burza nije usvojila ili nije primjenjivala pravila i postupke koji omogućuju korektno i uredno trgovanje sukladno članku 296. stavku 1. točki 12. ovoga Zakona</w:t>
      </w:r>
    </w:p>
    <w:p w14:paraId="0B88F5E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114. kao burza nije usvojila ili nije primjenjivala objektivne kriterije za djelotvorno izvršavanje naloga sukladno članku 296. stavku 1. točki 12. ovoga Zakona</w:t>
      </w:r>
    </w:p>
    <w:p w14:paraId="204E423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115. kao burza nije usvojila ili nije primjenjivala mjere koje olakšavaju zaključivanje transakcija sukladno članku 296. stavku 1. točki 13. ovoga Zakona</w:t>
      </w:r>
    </w:p>
    <w:p w14:paraId="754EDA4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116. kao burza nije uspostavila mehanizme kojima se osigurava da ispunjava standarde kvalitete podataka na temelju članka 22.b Uredbe (EU) br. 600/2014, u skladu s člankom 296. stavkom 1. točkom 14. ovoga Zakona</w:t>
      </w:r>
    </w:p>
    <w:p w14:paraId="6D1976C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117. kao burza nije osigurala da ima najmanje tri značajno aktivna člana ili korisnika, od kojih svaki ima mogućnost interakcije s ostalima u vezi s formiranjem cijena, u skladu s člankom 296. stavkom 1. točkom 15. ovoga Zakona</w:t>
      </w:r>
    </w:p>
    <w:p w14:paraId="04EF13D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118. je kao burza izdvojila poslovne procese koji su bitni za njezino poslovanje ili rad uređenog tržišta suprotno članku 296. stavku 3. ovoga Zakona</w:t>
      </w:r>
    </w:p>
    <w:p w14:paraId="62D95E6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119. kao burza ili operater MTP-a ili operater OTP-a nije uspostavila učinkovite mehanizme sukladno odredbi članka 298. stavka 2. ovoga Zakona i odredbama Delegirane uredbe (EU) br. 2017/584</w:t>
      </w:r>
    </w:p>
    <w:p w14:paraId="48073E7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120. kao burza ili operater MTP-a ili operater OTP-a nije osigurala otpornost trgovinskog sustava, sukladno članku 298. stavku 1. točki 1. ovoga Zakona i odredbi Delegirane uredbe (EU) br. 2017/584</w:t>
      </w:r>
    </w:p>
    <w:p w14:paraId="58F4BCD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121. kao burza ili operater MTP-a ili operater OTP-a nije osigurala dovoljan kapacitet trgovinskog sustava za obradu velikog broja naloga i poruka, sukladno članku 298. stavku 1. točki 2. ovoga Zakona i odredbi Delegirane uredbe (EU) br. 2017/584</w:t>
      </w:r>
    </w:p>
    <w:p w14:paraId="3FFD5ADF" w14:textId="0CADC5B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122. kao burza ili operater MTP-a ili operater OTP-a nije osigurala uredno trgovanje u uvjetima tržišnog stresa, sukladno članku 298. stavku 1. točki 3. ovoga Zakona </w:t>
      </w:r>
    </w:p>
    <w:p w14:paraId="759403E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123. kao burza ili operater MTP-a ili operater OTP-a nije uspostavila sustave, postupke i mehanizme za odbacivanje naloga sukladno članku 299. stavku 1. ovoga Zakona</w:t>
      </w:r>
    </w:p>
    <w:p w14:paraId="4A66045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124. kao burza ili operater MTP-a ili operater OTP-a nije osigurala da su parametri za zaustavljanje trgovanja adekvatno prilagođeni na način da u obzir uzima likvidnost različitih razreda i podrazreda imovine, prirodu tržišnog modela i vrste korisnika koji su dovoljni da se izbjegnu značajni poremećaji u urednosti trgovanja i iste primjenjivati, u skladu s člankom 299. stavkom 3. ovoga Zakona</w:t>
      </w:r>
    </w:p>
    <w:p w14:paraId="46C2490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125. kao burza ili operater MTP-a ili operater OTP-a nije javno objavila na svojoj internetskoj stranici informacije o okolnostima koje su dovele do zaustavljanja ili ograničavanja trgovanja i o načelima za utvrđivanje glavnih tehničkih parametara koji se za to koriste, u skladu s člankom 299. stavkom 7. ovoga Zakona</w:t>
      </w:r>
    </w:p>
    <w:p w14:paraId="2677E12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126. kao burza ili operater MTP-a ili operater OTP-a koja upravlja uređenim tržištem bitnim u smislu likvidnosti sukladno odredbama Delegirane uredbe (EU) br. 2017/566 nije uspostavila sustave i postupke radi osiguravanja obavještavanja nadležnog tijela, sukladno članku 299. stavku 6. ovoga Zakona</w:t>
      </w:r>
    </w:p>
    <w:p w14:paraId="6004EEE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127. kao burza ili operater MTP-a ili operater OTP-a nije osigurala sustave, postupke i mehanizme kako bi osigurala sprječavanje stvaranja neurednih uvjeta trgovanja i upravljanja neurednim uvjetima trgovanja zbog algoritamskog trgovanja, sukladno članku 301. stavku 1. ovoga Zakona</w:t>
      </w:r>
    </w:p>
    <w:p w14:paraId="384D0E8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128. kao burza ili operater MTP-a ili operater OTP-a članovima nije omogućila okruženje za provođenje testiranja algoritama, sukladno članku 301. stavku 2. ovoga Zakona i sukladno odredbama Delegirane uredbe (EU) br. 2017/584</w:t>
      </w:r>
    </w:p>
    <w:p w14:paraId="7F33DE6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129. kao burza ili operater MTP-a ili operater OTP-a koji omogućava izravni elektronički pristup uređenom tržištu nije osigurala takav pristup osobama na način kako su one određene sukladno članku 302. stavku 1. podstavku 1. ovoga Zakona</w:t>
      </w:r>
    </w:p>
    <w:p w14:paraId="03E83BE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130. kao burza ili operater MTP-a ili operater OTP-a nije sklopila s članovima sporazume za suspendiranje ili isključivanje pružanja izravnog elektroničkog pristupa, sukladno članku 302. stavku 3. ovoga članka</w:t>
      </w:r>
    </w:p>
    <w:p w14:paraId="7F4F247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131. kao burza ili operater MTP-a ili operater OTP-a nije usvojila režim pomaka cijena za dionice, potvrde o deponiranim vrijednosnim papirima, fondovima čijim se udjelima trguje na burzi, certifikate i/ili druge slične financijske instrumente odnosno sve druge financijske instrumente za koje su zahtjevi uređeni Delegiranom uredbom (EU) br. 2017/588, sukladno članku 303. stavku 1. ovoga Zakona i odredbama Delegirane uredbe (EU) br. 2017/588</w:t>
      </w:r>
    </w:p>
    <w:p w14:paraId="1A38079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132. kao burza ne dostavi Agenciji prijedlog pravila burze te njihovih izmjena i dopuna, kao i obrazloženje, suprotno članku 305. stavku 4. ovoga Zakona</w:t>
      </w:r>
    </w:p>
    <w:p w14:paraId="7287CB3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133. kao burza ne objavi pravila burze na propisani način i u propisanom roku, protivno članku 305. stavku 4. ovoga Zakona</w:t>
      </w:r>
    </w:p>
    <w:p w14:paraId="5E8D3435" w14:textId="0186C3B1" w:rsidR="00C10AC0" w:rsidRPr="000479E9" w:rsidRDefault="00C10AC0" w:rsidP="00C10AC0">
      <w:pPr>
        <w:pStyle w:val="box477650"/>
        <w:shd w:val="clear" w:color="auto" w:fill="FFFFFF"/>
        <w:spacing w:before="0" w:beforeAutospacing="0" w:after="0" w:afterAutospacing="0"/>
        <w:jc w:val="both"/>
        <w:textAlignment w:val="baseline"/>
      </w:pPr>
      <w:r w:rsidRPr="000479E9">
        <w:t>134. kao burza ne obavijesti Agenciju i/ili korisnike usluga protivno članku 305. stavku 6. ovoga Zakona</w:t>
      </w:r>
    </w:p>
    <w:p w14:paraId="6A18CD1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135. kao burza ne odredi naknade za kolokacijske usluge u skladu s Delegiranom uredbom Komisije (EU) 2017/573 оd 6. lipnja 2016. o dopuni Direktive 2014/65/EU Europskog parlamenta i Vijeća o tržištu financijskih instrumenata u pogledu regulatornih tehničkih standarda o zahtjevima kojima se osiguravaju korektne i nediskriminirajuće kolokacijske usluge i strukture naknada (Tekst značajan za EGP) (SL L 87, 31. 3. 2017.), protivno članku 306. stavku 2. ovoga Zakona</w:t>
      </w:r>
    </w:p>
    <w:p w14:paraId="547FC9A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136. kao burza ne obavijesti bez odgode Agenciju o svakoj promjeni naknada iz članka 306. stavaka 1. i 2. ovoga Zakona, zajedno s obrazloženjem, protivno članku 306. stavku 8. ovoga Zakona</w:t>
      </w:r>
    </w:p>
    <w:p w14:paraId="456832FC" w14:textId="44883E57" w:rsidR="00C10AC0" w:rsidRPr="000479E9" w:rsidRDefault="00C10AC0" w:rsidP="00C10AC0">
      <w:pPr>
        <w:pStyle w:val="box477650"/>
        <w:shd w:val="clear" w:color="auto" w:fill="FFFFFF"/>
        <w:spacing w:before="0" w:beforeAutospacing="0" w:after="0" w:afterAutospacing="0"/>
        <w:jc w:val="both"/>
        <w:textAlignment w:val="baseline"/>
      </w:pPr>
      <w:r w:rsidRPr="000479E9">
        <w:t>137. kao burza ne dostavi Agenciji prijedlog cjenika burze, kao i njegovih izmjena i dopuna, 15 dana prije njegova usvajanja, protivno članku 306. stavku 9. ovoga Zakona</w:t>
      </w:r>
    </w:p>
    <w:p w14:paraId="373E6CE4" w14:textId="26837695" w:rsidR="00C10AC0" w:rsidRPr="000479E9" w:rsidRDefault="00C10AC0" w:rsidP="00C10AC0">
      <w:pPr>
        <w:pStyle w:val="box477650"/>
        <w:shd w:val="clear" w:color="auto" w:fill="FFFFFF"/>
        <w:spacing w:before="0" w:beforeAutospacing="0" w:after="0" w:afterAutospacing="0"/>
        <w:jc w:val="both"/>
        <w:textAlignment w:val="baseline"/>
      </w:pPr>
      <w:r w:rsidRPr="000479E9">
        <w:t>13</w:t>
      </w:r>
      <w:r w:rsidR="00CB45B2" w:rsidRPr="000479E9">
        <w:t>8</w:t>
      </w:r>
      <w:r w:rsidRPr="000479E9">
        <w:t>. kao burza, nije utvrdila Pravilima uređenog tržišta segmente uređenog tržišta i/ili jasna i transparentna pravila o uvrštenju financijskih instrumenata na uređeno tržište na pojedini segment, protivno članku 320. stavku 1. ovoga Zakona</w:t>
      </w:r>
    </w:p>
    <w:p w14:paraId="70E438CC" w14:textId="7F9EF894" w:rsidR="00C10AC0" w:rsidRPr="000479E9" w:rsidRDefault="00C10AC0" w:rsidP="00C10AC0">
      <w:pPr>
        <w:pStyle w:val="box477650"/>
        <w:shd w:val="clear" w:color="auto" w:fill="FFFFFF"/>
        <w:spacing w:before="0" w:beforeAutospacing="0" w:after="0" w:afterAutospacing="0"/>
        <w:jc w:val="both"/>
        <w:textAlignment w:val="baseline"/>
      </w:pPr>
      <w:r w:rsidRPr="000479E9">
        <w:t>1</w:t>
      </w:r>
      <w:r w:rsidR="00CB45B2" w:rsidRPr="000479E9">
        <w:t>39</w:t>
      </w:r>
      <w:r w:rsidRPr="000479E9">
        <w:t>. kao burza, nije osigurala Pravilima uređenog tržišta, u slučaju izvedenica, da su izvedeni financijski instrumenti oblikovani na način koji omogućuje uredno formiranje njihove cijene i/ili postojanje djelotvornih uvjeta namire, protivno članku 320. stavku 3. ovoga Zakona i članku 5. Delegirane uredbe Komisije (EU) 2017/568</w:t>
      </w:r>
    </w:p>
    <w:p w14:paraId="7E63DF5E" w14:textId="10B352DC"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14</w:t>
      </w:r>
      <w:r w:rsidR="00CB45B2" w:rsidRPr="000479E9">
        <w:t>0</w:t>
      </w:r>
      <w:r w:rsidRPr="000479E9">
        <w:t>. kao burza, nije uspostavila i/ili ne primjenjuje djelotvorne mjere za provjeru ispunjavaju li izdavatelji prenosivih vrijednosnih papira koji su uvršteni za trgovanje na uređenom tržištu obveze, u skladu s člankom 321. stavkom 2. ovoga Zakona</w:t>
      </w:r>
    </w:p>
    <w:p w14:paraId="587D23B1" w14:textId="4A7E7699" w:rsidR="00C10AC0" w:rsidRPr="000479E9" w:rsidRDefault="00C10AC0" w:rsidP="00C10AC0">
      <w:pPr>
        <w:pStyle w:val="box477650"/>
        <w:shd w:val="clear" w:color="auto" w:fill="FFFFFF"/>
        <w:spacing w:before="0" w:beforeAutospacing="0" w:after="0" w:afterAutospacing="0"/>
        <w:jc w:val="both"/>
        <w:textAlignment w:val="baseline"/>
      </w:pPr>
      <w:r w:rsidRPr="000479E9">
        <w:t>14</w:t>
      </w:r>
      <w:r w:rsidR="00CB45B2" w:rsidRPr="000479E9">
        <w:t>1</w:t>
      </w:r>
      <w:r w:rsidRPr="000479E9">
        <w:t>. kao burza nije omogućila članovima pristup javno objavljenim podacima iz članka 321. stavka 2. ovoga Zakona, sukladno članku 321. stavku 3. ovoga Zakona</w:t>
      </w:r>
    </w:p>
    <w:p w14:paraId="5364DEB8" w14:textId="709899A8" w:rsidR="00714B2F" w:rsidRPr="000479E9" w:rsidRDefault="00C10AC0" w:rsidP="00C10AC0">
      <w:pPr>
        <w:pStyle w:val="box477650"/>
        <w:shd w:val="clear" w:color="auto" w:fill="FFFFFF"/>
        <w:spacing w:before="0" w:beforeAutospacing="0" w:after="0" w:afterAutospacing="0"/>
        <w:jc w:val="both"/>
        <w:textAlignment w:val="baseline"/>
      </w:pPr>
      <w:r w:rsidRPr="000479E9">
        <w:t>14</w:t>
      </w:r>
      <w:r w:rsidR="00CB45B2" w:rsidRPr="000479E9">
        <w:t>2</w:t>
      </w:r>
      <w:r w:rsidRPr="000479E9">
        <w:t>. kao burza nije donijela i/ili objavila na svojoj internetskoj stranici postupke za provjeru usklađenosti izdavatelja prenosivog vrijednosnog papira s obvezama prema pravu Europske unije u skladu s člankom 7. Delegirane uredbe Komisije (EU) 2017/568</w:t>
      </w:r>
    </w:p>
    <w:p w14:paraId="53CF1198" w14:textId="294BA636" w:rsidR="00C10AC0" w:rsidRPr="000479E9" w:rsidRDefault="00C10AC0" w:rsidP="00C10AC0">
      <w:pPr>
        <w:pStyle w:val="box477650"/>
        <w:shd w:val="clear" w:color="auto" w:fill="FFFFFF"/>
        <w:spacing w:before="0" w:beforeAutospacing="0" w:after="0" w:afterAutospacing="0"/>
        <w:jc w:val="both"/>
        <w:textAlignment w:val="baseline"/>
      </w:pPr>
      <w:r w:rsidRPr="000479E9">
        <w:t>1</w:t>
      </w:r>
      <w:r w:rsidR="00CB45B2" w:rsidRPr="000479E9">
        <w:t>4</w:t>
      </w:r>
      <w:r w:rsidRPr="000479E9">
        <w:t>3. kao burza ili operater MTP-a ili operater OTP-a ne donese odluku o privremenoj obustavi trgovanja ili isključenju iz trgovanja financijskog instrumenta i svake povezane izvedenice, kada to zahtijeva zaštita ulagatelja ili taj financijski instrument više ne udovoljava pravilima burze, sukladno članku 340. stavku 2. ovoga Zakona</w:t>
      </w:r>
    </w:p>
    <w:p w14:paraId="49E2DB52" w14:textId="563439E9"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144. kao burza, nije obavijestila bez odgode Agenciju o svakom zaprimljenom zahtjevu za uvrštenje ili odluci u vezi s uvrštenjem financijskih instrumenata, protivno članku 330. stavku </w:t>
      </w:r>
      <w:r w:rsidR="00714B2F" w:rsidRPr="000479E9">
        <w:t>7</w:t>
      </w:r>
      <w:r w:rsidRPr="000479E9">
        <w:t>. ovoga Zakona</w:t>
      </w:r>
    </w:p>
    <w:p w14:paraId="1F04B03C" w14:textId="2C9E86BF"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145. kao burza, nije bez odgode objavila na svojim internetskim stranicama sve podatke o uvrštenju financijskih instrumenata na uređeno tržište kojim upravlja, protivno članku 330. stavku </w:t>
      </w:r>
      <w:r w:rsidR="00714B2F" w:rsidRPr="000479E9">
        <w:t>8</w:t>
      </w:r>
      <w:r w:rsidRPr="000479E9">
        <w:t>. ovoga Zakona</w:t>
      </w:r>
    </w:p>
    <w:p w14:paraId="11E9A04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146. kao burza ili operater MTP-a ili operater OTP-a na zahtjev Agencije nije slijedila privremenu obustavu ili isključenje, sukladno članku 340. stavku 5. ovoga Zakona</w:t>
      </w:r>
    </w:p>
    <w:p w14:paraId="4AB76DC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147. kao burza nije uspostavila ili nije održavala ili nije provodila pravila za prijem u članstvo ili pristup uređenom tržištu, sukladno članku 314. stavku 1. ovoga Zakona</w:t>
      </w:r>
    </w:p>
    <w:p w14:paraId="79FB7A4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148. je kao burza prihvatila kao člana uređenog tržišta suprotno uvjetima propisanim člankom 313. stavcima 1. ili 2. ovoga Zakona</w:t>
      </w:r>
    </w:p>
    <w:p w14:paraId="3F8DFF5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149. kao burza nije nadzirala naloge, uključujući otkazivanja naloga i transakcije koje obavljaju članovi uređenog tržišta, sukladno članku 316. stavku 2. ovoga Zakona</w:t>
      </w:r>
    </w:p>
    <w:p w14:paraId="4589332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150. kao burza nije obavijestila Agenciju o svakom značajnom kršenju svojih pravila, nepravilnim uvjetima trgovanja ili postupanju koje može ukazivati na ponašanje koje je zabranjeno na temelju Uredbe (EU) br. 596/2014 ili poremećaje u sustavu povezane s financijskim instrumentom, sukladno članku 316. stavku 3. ovoga Zakona</w:t>
      </w:r>
    </w:p>
    <w:p w14:paraId="3B7B24E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151. kao burza nije dostavila Agenciji sve potrebne podatke ili surađivala s Agencijom ili drugim nadležnim tijelom, sukladno članku 316. stavku 4. ovoga Zakona</w:t>
      </w:r>
    </w:p>
    <w:p w14:paraId="7E434FF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152. kao operater MTP-a ili OTP-a bez odgode ne obustavi ili ne isključi financijske instrumente iz trgovanja, sukladno članku 343. stavku 12. ovoga Zakona</w:t>
      </w:r>
    </w:p>
    <w:p w14:paraId="775F8A5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153. kao operater MTP-a ili OTP-a upravlja MTP-om ili </w:t>
      </w:r>
      <w:r w:rsidRPr="000479E9">
        <w:softHyphen/>
        <w:t>OTP-om, ako ne postoji mogućnost interakcije između članova ili korisnika u vezi s formiranjem cijena, sukladno članku 344. stavku 2. ovoga Zakona</w:t>
      </w:r>
    </w:p>
    <w:p w14:paraId="274B6D7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154. kao operater MTP-a ili OTP-a nije uspostavila djelotvorne sustave, mjere i postupke kako bi postupala u skladu s odredbama članaka 298., 299., 300., 301., 302. ili 303. ovoga Zakona, sukladno članku 344. stavku 3. ovoga Zakona</w:t>
      </w:r>
    </w:p>
    <w:p w14:paraId="13B284A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155. kao operater MTP-a ili OTP-a nije uspostavila mehanizme za prepoznavanje i svladavanje negativnih posljedica na djelovanje MTP-a ili OTP-a ili na njegove vlasnike ili članove koje bi sukob interesa između MTP-a, OTP-a, njihovih vlasnika ili </w:t>
      </w:r>
      <w:r w:rsidRPr="000479E9">
        <w:lastRenderedPageBreak/>
        <w:t>operatera MTP-a ili OTP-a mogao imati u dobrom funkcioniranju MTP-a ili OTP-a, sukladno članku 344. stavku 4. ovoga Zakona</w:t>
      </w:r>
    </w:p>
    <w:p w14:paraId="4297FD7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156. kao operater MTP-a ili OTP-a nije osigurala javno dostupne podatke ili se nije uvjerila da postoji pristup tim podacima, kako bi ulagatelji mogli donijeti investicijsku odluku, a uzimajući u obzir vrstu korisnika i instrumenata kojima se trguje, sukladno članku 345. stavku 1. ovoga Zakona</w:t>
      </w:r>
    </w:p>
    <w:p w14:paraId="5BE4AA2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157. kao operater MTP-a ili OTP-a nije osigurala da izdavatelj vrijednosnih papira bez čije se suglasnosti trguje na MTP-u ili </w:t>
      </w:r>
      <w:r w:rsidRPr="000479E9">
        <w:softHyphen/>
        <w:t>OTP-u ne podliježe obvezi objavljivanja podataka prema tom MTP-u ili OTP-u, sukladno članku 345. stavku 4. ovoga Zakona</w:t>
      </w:r>
    </w:p>
    <w:p w14:paraId="6E60A32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158. kao operater MTP-a ili OTP-a nije propisala ili primjenjivala transparentna i nediskriminirajuća pravila i postupke kojima se omogućuje korektno i uredno trgovanje, sukladno odredbama članka 346. stavka 1. ovoga Zakona</w:t>
      </w:r>
    </w:p>
    <w:p w14:paraId="0C5F510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159. kao operater MTP-a ili OTP-a nije redovito pratila sve aktivnosti na nalozima poslanim u sustav, kao i transakcije koje su izvršili njihovi članovi u cilju utvrđivanja mogućeg kršenja pravila, neurednih uvjeta trgovanja, postupanja koje može ukazivati na ponašanje koje je zabranjeno na temelju Uredbe (EU) br. 596/2014 ili poremećaje u sustavu povezane s financijskim instrumentom, sukladno članku 347. stavku 2. ovoga Zakona</w:t>
      </w:r>
    </w:p>
    <w:p w14:paraId="3FB549B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160. kao operater MTP-a ili OTP-a nije uspostavio mehanizme kojima osigurava ispunjavanje standarda kvalitete podataka na temelju članka 22.b Uredbe (EU) br. 600/2014, u skladu s člankom 347. stavkom 4. ovoga Zakona</w:t>
      </w:r>
    </w:p>
    <w:p w14:paraId="28DAFF0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161. kao operater MTP-a ili OTP-a nije bez odgode obavijestila Agenciju o tome da je utvrdila značajno kršenje pravila MTP-a ili OTP-a, neurednih uvjeta trgovanja, postupanja koje može ukazivati na ponašanje koje je zabranjeno na temelju Uredbe (EU) br. 596/2014 ili poremećaja u sustavu povezanih s financijskim instrumentom, sukladno članku 347. stavku 5. ovoga Zakona</w:t>
      </w:r>
    </w:p>
    <w:p w14:paraId="7477675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162. kao operater MTP-a ili OTP-a ne dostavi bez odgode Agenciji sve potrebne podatke ili ne surađuje prilikom nadzora, provođenja istražnih radnji i mjera nad slučajevima zlouporabe tržišta koje su se dogodile unutar sustava MTP-a ili OTP-a kojim upravlja, sukladno članku 347. stavku 6. ovoga Zakona</w:t>
      </w:r>
    </w:p>
    <w:p w14:paraId="23C3873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163. kao operater MTP-a nije propisala i/ili provodila pravila, sukladno članku 349. stavku 1. ovoga Zakona</w:t>
      </w:r>
    </w:p>
    <w:p w14:paraId="1F26F4F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164. kao operater MTP-a nije uspostavila ili primjenjivala mjere koje omogućuju nesmetano i pravodobno zaključivanje transakcija koje se izvršavaju unutar sustava MTP-a, sukladno članku 349. stavku 3. ovoga Zakona</w:t>
      </w:r>
    </w:p>
    <w:p w14:paraId="3490731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165. kao operater MTP-a nije kontinuirano tijekom poslovanja imala dovoljna financijska sredstva, ovisno o vrsti i opsegu zaključenih transakcija te stupnju rizika kojima su izloženi, kako bi se omogućilo uredno funkcioniranje MTP-a, sukladno članku 349. stavku 4. ovoga Zakona</w:t>
      </w:r>
    </w:p>
    <w:p w14:paraId="249CC8A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166. je kao investicijsko društvo ili tržišni operater koji upravlja MTP-om izvršavala naloge klijenata uz korištenje vlastitog kapitala ili je trgovala za vlastiti račun uparivanjem naloga, sukladno članku 349. stavku 6. ovoga Zakona</w:t>
      </w:r>
    </w:p>
    <w:p w14:paraId="2DCB3D9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167. kao operater OTP-a nije uspostavila ili primjenjivala mehanizme za sprječavanje izvršavanja naloga klijenata uz korištenje vlastitog kapitala investicijskog društva, </w:t>
      </w:r>
      <w:r w:rsidRPr="000479E9">
        <w:lastRenderedPageBreak/>
        <w:t>burze ili bilo kojeg subjekta koji je dio iste grupe ili pravne osobe kao operater OTP-a, sukladno članku 350. stavku 1. ovoga Zakona</w:t>
      </w:r>
    </w:p>
    <w:p w14:paraId="69075C5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168. je kao operater OTP-a djelovala i kao sistematski internalizator, protivno zabrani iz članka 350. stavka 2. ovoga Zakona</w:t>
      </w:r>
    </w:p>
    <w:p w14:paraId="5A6D76A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169. je kao operater OTP-a povezala OTP sa sistematskim internalizatorom na način na koji bi se omogućilo povezivanje naloga u OTP-u i naloga ili ponuda u sistematskom internalizatoru, sukladno članku 350. stavku 3. ovoga Zakona</w:t>
      </w:r>
    </w:p>
    <w:p w14:paraId="346EB03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170. je kao operater OTP-a povezala OTP s drugim OTP-om na način koji je omogućio povezivanje naloga na različitim OTP-ima, sukladno članku 350. stavku 4. ovoga Zakona</w:t>
      </w:r>
    </w:p>
    <w:p w14:paraId="156B71B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171. je kao operater OTP-a trgovala za vlastiti račun uparivanjem naloga, sukladno odredbi članka 3. točke 121. ovoga Zakona bez pristanka klijenta ili je trgovala financijskim instrumentima koji nisu obveznice, strukturirani financijski proizvodi, emisijske jedinice i izvedenicama koje ispunjavaju uvjete propisane člankom 350. stavkom 8. ovoga Zakona, sukladno članku 350. stavku 5. ovoga Zakona</w:t>
      </w:r>
    </w:p>
    <w:p w14:paraId="55F57E3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172. je kao operater OTP-a koristila pravo diskrecije iako nije bio ispunjen jedan od uvjeta propisanih člankom 350. stavkom 10. ovoga Zakona</w:t>
      </w:r>
    </w:p>
    <w:p w14:paraId="45F83243"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173. kao operater MTP-a koji je registrirao MTP kao rastuće tržište malih i srednjih poduzeća nije uspostavila ili primjenjivala jasna pravila, sustave ili postupke kojima se osigurava ispunjenje zahtjeva da se prilikom prvotnog primanja financijskih instrumenata u trgovinu na MTP-u objavljuje dovoljno informacija kako bi se ulagateljima omogućilo donošenje informirane odluke o ulaganju u te financijske instrumente, sukladno članku 352. stavku 3. točki 3. ovoga Zakona</w:t>
      </w:r>
    </w:p>
    <w:p w14:paraId="5DAD213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174. kao operater MTP-a koji je registrirao MTP kao rastuće tržište malih i srednjih poduzeća nije uspostavila ili primjenjivala jasna pravila, sustave ili postupke kojima se osigurava ispunjenje zahtjeva da izdavatelji na MTP-u kako je definirano člankom 3. stavkom 1. točkom 21. Uredbe (EU) br. 596/2014, osobe koje obavljaju rukovoditeljske dužnosti definirane člankom 3. stavkom 1. točkom 25. Uredbe (EU) br. 596/2014 te osobe usko povezane s njima definirane člankom 3. stavkom 1. točkom 26. Uredbe (EU) br. 596/2014 moraju ispunjavati relevantne zahtjeve koji se na njih primjenjuju u okviru Uredbe (EU) br. 596/2014, sukladno članku 352. stavku 3. točki 5. ovoga Zakona</w:t>
      </w:r>
    </w:p>
    <w:p w14:paraId="55DFEB88" w14:textId="58A424D4"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175. kao operater MTP-a koji je registrirao MTP kao rastuće tržište malih i srednjih poduzeća nije uspostavila ili nije primjenjivala jasna pravila, sustave ili postupke kojima se osigurava ispunjenje zahtjeva da prospekti odnosno dokumenti za primanje u trgovinu iz članka 352. stavka 3. točke 3. ovoga Zakona, financijski izvještaji iz članka 352. stavka 3. točke </w:t>
      </w:r>
      <w:r w:rsidR="00714B2F" w:rsidRPr="000479E9">
        <w:t>4</w:t>
      </w:r>
      <w:r w:rsidRPr="000479E9">
        <w:t xml:space="preserve">. ovoga Zakona i informacije iz članka 7. stavka 1. Uredbe (EU) br. 596/2014 koje objave izdavatelji čiji su financijski instrumenti primljeni u trgovinu na MTP-u budu dostupni javnosti tako da su objavljene na internetskoj stranici operatera MTP-a odnosno da je na internetskoj stranici operatera MTP-a dostupna izravna poveznica na internetsku stranicu izdavatelja na kojoj su objavljeni ti dokumenti, izvještaji odnosno informacije, s time da navedeni dokumenti, izvještaji i informacije odnosno izravne poveznice na internetsku stranicu izdavatelja moraju biti dostupne na internetskoj stranici operatera MTP-a tijekom razdoblja od </w:t>
      </w:r>
      <w:r w:rsidRPr="000479E9">
        <w:lastRenderedPageBreak/>
        <w:t>najmanje pet godina, računajući od dana kada su objavljene, sukladno članku 352. stavku 3. točki 6. ovoga Zakona</w:t>
      </w:r>
    </w:p>
    <w:p w14:paraId="0A5BB53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176. kao operater MTP-a koji je registrirao MTP kao rastuće tržište malih i srednjih poduzeća nije uspostavila ili nije primjenjivala jasna pravila, sustave ili postupke kojima se osigurava ispunjenje zahtjeva da su uspostavljeni učinkoviti sustavi i kontrole u svrhu sprečavanja i otkrivanja zlouporabe tržišta na MTP-u u skladu sa zahtjevima Uredbe (EU) br. 596/2014, sukladno članku 352. stavku 3. točki 7. ovoga Zakona</w:t>
      </w:r>
    </w:p>
    <w:p w14:paraId="7B4405F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177. kao operater MTP-a koji namjerava registrirati segment MTP-a kao rastuće tržište malih i srednjih poduzeća nije osigurao da je segment MTP-a koji je registriran kao „rastuće tržište malih i srednjih poduzeća“ jasno odvojen od ostalih tržišnih segmenata kojima upravlja, u skladu s člankom 352. stavkom 4. točkom 1. ovoga Zakona</w:t>
      </w:r>
    </w:p>
    <w:p w14:paraId="7BA713F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178. kao operater MTP-a koji namjerava registrirati segment MTP-a kao rastuće tržište malih i srednjih poduzeća nije osigurao da transakcije izvršene na dotičnom segmentu rastućeg tržišta malih i srednjih poduzeća jasno se razlikuju od drugih tržišnih aktivnosti na drugim segmentima MTP-a, u skladu s člankom 352. stavkom 4. točkom 2. ovoga Zakona</w:t>
      </w:r>
    </w:p>
    <w:p w14:paraId="53B63FE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179. kao operater MTP-a koji namjerava registrirati segment MTP-a kao rastuće tržište malih i srednjih poduzeća nije na zahtjev Agencije, dostavio detaljan popis instrumenata uvrštenih na dotični segment rastućeg tržišta malih i srednjih poduzeća, kao i sve informacije o poslovanju tog segmenta, u skladu s člankom 352. stavkom 4. točkom 3. ovoga Zakona</w:t>
      </w:r>
    </w:p>
    <w:p w14:paraId="11BE51E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180. kao tržišni operater ili investicijsko društvo ili kreditna institucija koja vodi mjesto trgovanja ne objavljuje neprekidno tijekom uobičajenog vremena trgovanja podatke iz članka 3. stavka 1. Uredbe (EU) br. 600/2014</w:t>
      </w:r>
    </w:p>
    <w:p w14:paraId="4D59656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181. kao tržišni operater ili investicijsko društvo ili kreditna institucija koja vodi mjesto trgovanja onemogući pristup sustavima iz članka 3. stavka 1. Uredbe (EU) br. 600/2014, sukladno odredbi članka 3. stavka 3. Uredbe (EU) br. 600/2014</w:t>
      </w:r>
    </w:p>
    <w:p w14:paraId="79943A1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182. kao tržišni operater ili investicijsko društvo ili kreditna institucija koja vodi mjesto trgovanja na kojemu se formaliziraju dogovorene transakcije u skladu s člankom 4. stavkom 1. točkom (b) podtočkom 1. Uredbe (EU) br. 600/2014 ne osigura uvjete iz članka 4. stavka 3. podstavka 1. Uredbe (EU) br. 600/2014</w:t>
      </w:r>
    </w:p>
    <w:p w14:paraId="4685997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183. kao tržišni operater ili investicijsko društvo ili kreditna institucija koja vodi mjesto trgovanja ne objavljuje pojedinosti o transakcijama, u skladu s člankom 6. stavkom 1. Uredbe (EU) br. 600/2014</w:t>
      </w:r>
    </w:p>
    <w:p w14:paraId="0E5D2FB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184. kao tržišni operater ili investicijsko društvo ili kreditna institucija koja vodi mjesto trgovanja onemogući pristup sustavima iz članka 6. stavka 1. Uredbe (EU) br. 600/2014, sukladno odredbi članka 6. stavka 2. Uredbe (EU) br. 600/2014</w:t>
      </w:r>
    </w:p>
    <w:p w14:paraId="27FB5B6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185. kao tržišni operater ili investicijsko društvo ili kreditna institucija koja vodi mjesto trgovanja sklopi dogovor o odgođenoj objavi ili odgodi objavu podataka o trgovanju bez prethodnog odobrenja Agencije, u skladu s člankom 7. stavkom 1. Uredbe (EU) br. 600/2014</w:t>
      </w:r>
    </w:p>
    <w:p w14:paraId="70EDC6BE"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186. kao tržišni operater ili investicijsko društvo ili kreditna institucija koja vodi mjesto trgovanja o dogovoru o odgođenom objavljivanju podataka o trgovanju ne obavijesti tržišne sudionike i javnost u skladu s člankom 7. stavkom 1. Uredbe (EU) br. 600/2014</w:t>
      </w:r>
    </w:p>
    <w:p w14:paraId="6CEE68C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187. kao tržišni operater ili investicijsko društvo ili kreditna institucija koja vodi mjesto trgovanja ne objavljuje neprekidno tijekom uobičajenog vremena trgovanja podatke iz članka 8. stavka 1. Uredbe (EU) br. 600/2014</w:t>
      </w:r>
    </w:p>
    <w:p w14:paraId="11374B0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188. kao tržišni operater ili investicijsko društvo ili kreditna institucija koja vodi mjesto trgovanja ne objavljuje neprekidno tijekom uobičajenog vremena trgovanja podatke iz članka 8.a stavka 1. Uredbe (EU) br. 600/2014</w:t>
      </w:r>
    </w:p>
    <w:p w14:paraId="11461B3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189. kao tržišni operater ili investicijsko društvo ili kreditna institucija koja vodi mjesto trgovanja ne objavljuje neprekidno tijekom uobičajenog vremena trgovanja podatke iz članka 8.b stavka 1. Uredbe (EU) br. 600/2014</w:t>
      </w:r>
    </w:p>
    <w:p w14:paraId="498E03D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190. kao tržišni operater ili investicijsko društvo ili kreditna institucija koja vodi mjesto trgovanja ne objavljuje podatke u skladu s člankom 10. stavkom 1. Uredbe (EU) br. 600/2014</w:t>
      </w:r>
    </w:p>
    <w:p w14:paraId="6836FFB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191. kao tržišni operater ili investicijsko društvo ili kreditna institucija koja vodi mjesto trgovanja onemogući pristup sustavima iz članka 10. stavka 1. Uredbe (EU) br. 600/2014, sukladno odredbi članka 10. stavka 2. Uredbe (EU) br. 600/2014</w:t>
      </w:r>
    </w:p>
    <w:p w14:paraId="20FBEAF1"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192. kao tržišni operater ili investicijsko društvo ili kreditna institucija koja vodi mjesto trgovanja o dogovoru o odgođenom objavljivanju podataka o trgovanju ne obavijesti tržišne sudionike i javnost, u skladu s člankom 11. stavkom 1. Uredbe (EU) br. 600/2014</w:t>
      </w:r>
    </w:p>
    <w:p w14:paraId="7B70D785" w14:textId="0AC53DB8" w:rsidR="00C10AC0" w:rsidRPr="000479E9" w:rsidRDefault="00C10AC0" w:rsidP="00C10AC0">
      <w:pPr>
        <w:pStyle w:val="box477650"/>
        <w:shd w:val="clear" w:color="auto" w:fill="FFFFFF"/>
        <w:spacing w:before="0" w:beforeAutospacing="0" w:after="0" w:afterAutospacing="0"/>
        <w:jc w:val="both"/>
        <w:textAlignment w:val="baseline"/>
      </w:pPr>
      <w:r w:rsidRPr="000479E9">
        <w:t>193. kao tržišni operater ili investicijsko društvo ili kreditna institucija koja vodi mjesto trgovanja informacije objavljene u skladu s člancima 3., 4. i 6. do 11.</w:t>
      </w:r>
      <w:r w:rsidR="00714B2F" w:rsidRPr="000479E9">
        <w:t>a</w:t>
      </w:r>
      <w:r w:rsidRPr="000479E9">
        <w:t xml:space="preserve"> Uredbe (EU) br. 600/2014 ne stavi na raspolaganje javnosti, u skladu s člankom 12. stavkom 1. Uredbe (EU) br. 600/2014</w:t>
      </w:r>
    </w:p>
    <w:p w14:paraId="3308FD75" w14:textId="2C25B1E2" w:rsidR="00C10AC0" w:rsidRPr="000479E9" w:rsidRDefault="00C10AC0" w:rsidP="00C10AC0">
      <w:pPr>
        <w:pStyle w:val="box477650"/>
        <w:shd w:val="clear" w:color="auto" w:fill="FFFFFF"/>
        <w:spacing w:before="0" w:beforeAutospacing="0" w:after="0" w:afterAutospacing="0"/>
        <w:jc w:val="both"/>
        <w:textAlignment w:val="baseline"/>
      </w:pPr>
      <w:r w:rsidRPr="000479E9">
        <w:t>194. kao tržišni operater ili investicijsko društvo ili kreditna institucija koja vodi mjesto trgovanja informacije objavljene u skladu s člancima 3., 4.</w:t>
      </w:r>
      <w:r w:rsidR="00A54FDB" w:rsidRPr="000479E9">
        <w:t>, od</w:t>
      </w:r>
      <w:r w:rsidRPr="000479E9">
        <w:t xml:space="preserve"> 6. do 11.</w:t>
      </w:r>
      <w:r w:rsidR="00714B2F" w:rsidRPr="000479E9">
        <w:t>a, 14., 20., 21., 27.g i 27.h</w:t>
      </w:r>
      <w:r w:rsidRPr="000479E9">
        <w:t xml:space="preserve"> Uredbe (EU) br. 600/2014 ne stavi na raspolaganje javnosti pod uvjetima propisanima u skladu s člankom 13. stavkom 1. Uredbe (EU) br. 600/2014</w:t>
      </w:r>
    </w:p>
    <w:p w14:paraId="7AF039F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195. kao tržišni operater ili investicijsko društvo ili kreditna institucija koja vodi mjesto trgovanja ne čuva podatke u skladu s člankom 25. stavkom 2. Uredbe (EU) br. 600/2014</w:t>
      </w:r>
    </w:p>
    <w:p w14:paraId="6CEC5EA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196. kao tržišni operater, investicijsko društvo ili kreditna institucija koja upravlja mjestom trgovanja zahtjev za pristup središnjoj drugoj ugovornoj strani ne dostavi Agenciji u skladu s člankom 35. stavkom 2. Uredbe (EU) br. 600/2014</w:t>
      </w:r>
    </w:p>
    <w:p w14:paraId="42F7B67C"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197. kao tržišni operater, investicijsko društvo ili kreditna institucija koja upravlja mjestom trgovanja zahtjev za pristup središnjoj drugoj ugovornoj strani ne dostavi Agenciji u skladu s člankom 36. stavkom 2. Uredbe (EU) br. 600/2014</w:t>
      </w:r>
    </w:p>
    <w:p w14:paraId="34208518"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198. kao tržišni operater nije osigurala da transakcije izvedenicama koje su zaključene na uređenom tržištu poravnava središnja druga ugovorna strana u skladu s člankom 29. stavkom 1. Uredbe (EU) br. 600/2014</w:t>
      </w:r>
    </w:p>
    <w:p w14:paraId="5E9EBF9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199. kao tržišni operater ili investicijsko društvo ili kreditna institucija koja upravlja mjestom trgovanja ne uspostavi kontrolne mehanizme u vezi s upravljanjem robnim izvedenicama ili izvedenicama na emisijske jedinice kojima se trguje na tom mjestu trgovanja, a u skladu s člankom 380. stavkom 1. ovoga Zakona</w:t>
      </w:r>
    </w:p>
    <w:p w14:paraId="0B28BD7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200. kao tržišni operater ili investicijsko društvo ili kreditna institucija koja upravlja mjestom trgovanja ne obavijesti Agenciju o detaljima uspostavljenih kontrolnih mehanizama vezanih uz upravljanje pozicijama ili izmjenama istih, protivno obvezi iz članka 380. stavka 4. ovoga Zakona</w:t>
      </w:r>
    </w:p>
    <w:p w14:paraId="34F9BEF2"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201. kao tržišni operater ili investicijsko društvo ili kreditna institucija koja upravlja mjestom trgovanja, za mjesta trgovanja na kojima se trguje opcijama, učestalo ne objavljuje dva tjedna izvještaja ili ih ne ispunjava u skladu s člankom 381. stavkom 1. točkom 1. ovoga Zakona</w:t>
      </w:r>
    </w:p>
    <w:p w14:paraId="6C1F2AA5"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202. kao tržišni operater ili investicijsko društvo ili kreditna institucija koja upravlja mjestom trgovanja, za mjesta trgovanja na kojima se ne trguje opcijama, ne objavi tjedni izvještaj o elementima iz članka 381. stavka 1. točke 1. ovoga Zakona, protivno članku 381. stavku 1. točki 2. ovoga Zakona</w:t>
      </w:r>
    </w:p>
    <w:p w14:paraId="02B3E8E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203. kao tržišni operater ili investicijsko društvo ili kreditna institucija koja upravlja mjestom trgovanja, za mjesta trgovanja na kojima se trguje opcijama, učestalo ne dostavlja Agenciji izvještaje iz članka 381. stavka 1. točke 1. ovoga Zakona u skladu s člankom 381. stavkom 2. ovoga Zakona</w:t>
      </w:r>
    </w:p>
    <w:p w14:paraId="4AFA2A8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204. kao tržišni operater ili investicijsko društvo ili kreditna institucija koja upravlja mjestom trgovanja, za mjesta trgovanja na kojima se trguje opcijama, učestalo ne dostavlja ESMA-i izvještaje iz članka 381. stavka 1. točke 1. ovoga Zakona u skladu s člankom 381. stavkom 2. ovoga Zakona</w:t>
      </w:r>
    </w:p>
    <w:p w14:paraId="7A3D48C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205. kao tržišni operater ili investicijsko društvo ili kreditna institucija koja upravlja mjestom trgovanja, za mjesta trgovanja na kojima se ne trguje opcijama, učestalo ne dostavlja Agenciji izvještaje iz članka 381. stavka 1. točke 2. ovoga Zakona u skladu s člankom 381. stavkom 2. ovoga Zakona</w:t>
      </w:r>
    </w:p>
    <w:p w14:paraId="1C1D7700" w14:textId="63D9CC8D" w:rsidR="00C10AC0" w:rsidRPr="000479E9" w:rsidRDefault="00C10AC0" w:rsidP="00C10AC0">
      <w:pPr>
        <w:pStyle w:val="box477650"/>
        <w:shd w:val="clear" w:color="auto" w:fill="FFFFFF"/>
        <w:spacing w:before="0" w:beforeAutospacing="0" w:after="0" w:afterAutospacing="0"/>
        <w:jc w:val="both"/>
        <w:textAlignment w:val="baseline"/>
      </w:pPr>
      <w:r w:rsidRPr="000479E9">
        <w:t>206. kao tržišni operater ili investicijsko društvo ili kreditna institucija koja upravlja mjestom trgovanja, za mjesta trgovanja na kojima se ne trguje opcijama, učestalo ne dostavlja ESMA-i izvještaje iz članka 381. stavka 1. točke 2. ovoga Zakona</w:t>
      </w:r>
      <w:r w:rsidR="0081756B" w:rsidRPr="000479E9">
        <w:t>, protivno članku 381. stavku 2. ovoga Zakona</w:t>
      </w:r>
    </w:p>
    <w:p w14:paraId="316AEEC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207. kao tržišni operater ili investicijsko društvo ili kreditna institucija koja upravlja mjestom trgovanja učestalo ne dostavlja Agenciji izvještaj iz članka 381. stavka 1. točke 3. ovoga Zakona ili isti izvještaj učestalo ne dostavlja Agenciji na zahtjev</w:t>
      </w:r>
    </w:p>
    <w:p w14:paraId="6E570F7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208. kao tržišni operater učestalo ne izvještava Agenciju sukladno članku 26. stavcima 1. i 3. Uredbe (EU) br. 600/2014 o detaljima transakcija koje su izvršene preko njezina sustava, na temelju naloga osobe na koju se ne odnose odredbe Uredbe (EU) br. 600/2014, a sukladno članku 26. stavku 4. Uredbe (EU) br. 600/2014</w:t>
      </w:r>
    </w:p>
    <w:p w14:paraId="1CF9843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209. kao tržišni operater koji u ime investicijskog društva dostavlja Agenciji izvještaj o izvršenim transakcijama sukladno članku 26. stavku 7. podstavku 1. Uredbe (EU) br. 600/2014, učestalo dostavlja Agenciji izvještaj o izvršenim transakcijama koji nije ispunjen podacima propisanim člankom 26. stavkom 3. Uredbe (EU) br. 600/2014 ili isti izvještaj učestalo ne ispunjava ispravno</w:t>
      </w:r>
    </w:p>
    <w:p w14:paraId="2B5274DF"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210. kao tržišni operater koji u ime investicijskog društva dostavlja Agenciji izvještaj o izvršenim transakcijama sukladno članku 26. stavku 7. podstavku 1. Uredbe (EU) br. 600/2014 nema uspostavljene i ne primjenjuje organizacijske zahtjeve propisane člankom 26. stavkom 7. podstavkom 5. Uredbe (EU) br. 600/2014</w:t>
      </w:r>
    </w:p>
    <w:p w14:paraId="155A53A6"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lastRenderedPageBreak/>
        <w:t>211. kao tržišni operater učestalo ne podnosi ispravljeno izvješće o izvršenim transakcijama iz članka 26. stavka 1. Uredbe (EU) br. 600/2014 u ime investicijskog društva, sukladno članku 26. stavku 7. podstavku 8. Uredbe (EU) br. 600/2014</w:t>
      </w:r>
    </w:p>
    <w:p w14:paraId="4547C97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212. kao pružatelj usluga dostave podataka ne obavijesti Agenciju o svim promjenama u sastavu uprave sukladno članku 366. stavku 5. ovoga Zakona</w:t>
      </w:r>
    </w:p>
    <w:p w14:paraId="6E08C2FA"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213. kao pružatelj usluga dostave podataka, investicijsko društvo, kreditna institucija ili tržišni operater koje je APA, koji je dobio odobrenje Agencije sukladno članku 358. ovoga Zakona učestalo ne objavljuje podatke propisane člancima 20. i 21. Uredbe (EU) br. 600/2014 što je tehnički moguće bliže stvarnom vremenu, u skladu s člankom 27.g stavkom 1. Uredbe (EU) br. 600/2014</w:t>
      </w:r>
    </w:p>
    <w:p w14:paraId="612CEE79"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214. kao pružatelj usluga dostave podataka, investicijsko društvo, kreditna institucija ili tržišni operater koje je APA, koji je dobio odobrenje Agencije sukladno članku 358. ovoga Zakona učestalo ne omogućava da su podaci iz članka 27.g stavka 1. Uredbe (EU) br. 600/2014 besplatno dostupni 15 minuta nakon što ih je APA objavila, u skladu s člankom 27.g stavkom 1. Uredbe (EU) br. 600/2014</w:t>
      </w:r>
    </w:p>
    <w:p w14:paraId="13C58954"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215. kao pružatelj usluga dostave podataka, investicijsko društvo, kreditna institucija ili tržišni operater koje je APA, koji je dobio odobrenje Agencije sukladno članku 358. ovoga Zakona učestalo ne distribuira podatke iz članaka 20. i 21. Uredbe (EU) br. 600/2014 na način koji osigurava brz pristup podacima na nediskriminirajućoj osnovi i u formatu koji olakšava konsolidiranje podataka sa sličnim podacima iz drugih izvora, u skladu s člankom 27.g stavkom 1. Uredbe (EU) br. 600/2014</w:t>
      </w:r>
    </w:p>
    <w:p w14:paraId="1C32082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216. kao pružatelj usluga dostave podataka, investicijsko društvo, kreditna institucija ili tržišni operater koje je APA, koji je dobio odobrenje Agencije sukladno članku 358. ovoga Zakona učestalo ne uključuje pojedinosti propisane člankom 27.g stavkom 2. Uredbe (EU) br. 600/2014 u podatke koje je dužna objaviti sukladno članku 27.g stavku 1. Uredbe (EU) br. 600/2014 učestalo</w:t>
      </w:r>
    </w:p>
    <w:p w14:paraId="467063B7"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217. kao pružatelj usluga dostave podataka, investicijsko društvo, kreditna institucija ili tržišni operater koje je APA, koji je dobio odobrenje Agencije sukladno odredbama ovoga Zakona kontinuirano ne ispunjava organizacijske zahtjeve iz članka 27.g stavaka 3. do 5. Uredbe (EU) br. 600/2014</w:t>
      </w:r>
    </w:p>
    <w:p w14:paraId="60AE3440"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218. kao pružatelj usluga dostave podataka, investicijsko društvo, kreditna institucija ili tržišni operater koje je APA, koji je dobio odobrenje Agencije sukladno odredbama ovoga Zakona ne održava mehanizme koji osiguravaju da su usluge APA-e razdvojene od ostalih poslovnih funkcija u skladu s člankom 27.g stavkom 3. Uredbe (EU) br. 600/2014, a utvrdi se kako navedeno postupanje rezultira diskriminacijom prikupljenih podataka</w:t>
      </w:r>
    </w:p>
    <w:p w14:paraId="1617741D" w14:textId="3D25EEEA"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219. kao pružatelj usluga dostave podataka, investicijsko društvo, kreditna institucija ili tržišni operater koje je APA, koji je dobio odobrenje Agencije sukladno odredbama ovoga Zakona ne pohranjuje podatke u skladu s člankom 22. stavkom 2. Uredbe (EU) br. 600/2014 i regulatornim tehničkim standardima koje donosi ESMA, sukladno članku 22. stavku </w:t>
      </w:r>
      <w:r w:rsidR="00EF1F8F" w:rsidRPr="000479E9">
        <w:t>3</w:t>
      </w:r>
      <w:r w:rsidRPr="000479E9">
        <w:t>. Uredbe (EU) br. 600/2014</w:t>
      </w:r>
    </w:p>
    <w:p w14:paraId="1CCE2F7D"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 xml:space="preserve">220. kao pružatelj usluga dostave podataka, investicijsko društvo, kreditna institucija ili tržišni operater koje je ARM učestalo dostavlja Agenciji izvještaj o izvršenim transakcijama iz članka 26. stavka 1. Uredbe (EU) br. 600/2014 koji nije ispunjen </w:t>
      </w:r>
      <w:r w:rsidRPr="000479E9">
        <w:lastRenderedPageBreak/>
        <w:t>podacima propisanim člankom 26. stavkom 3. Uredbe (EU) br. 600/2014 ili isti izvještaj učestalo ne ispunjava ispravno</w:t>
      </w:r>
    </w:p>
    <w:p w14:paraId="2D0095AB" w14:textId="77777777" w:rsidR="00C10AC0" w:rsidRPr="000479E9" w:rsidRDefault="00C10AC0" w:rsidP="00C10AC0">
      <w:pPr>
        <w:pStyle w:val="box477650"/>
        <w:shd w:val="clear" w:color="auto" w:fill="FFFFFF"/>
        <w:spacing w:before="0" w:beforeAutospacing="0" w:after="0" w:afterAutospacing="0"/>
        <w:jc w:val="both"/>
        <w:textAlignment w:val="baseline"/>
      </w:pPr>
      <w:r w:rsidRPr="000479E9">
        <w:t>221. kao pružatelj usluga dostave podataka, investicijsko društvo, kreditna institucija ili tržišni operater koje je ARM učestalo ne dostavlja Agenciji ispravljeno izvješće o izvršenim transakcijama iz članka 26. stavka 1. Uredbe (EU) br. 600/2014, sukladno članku 26. stavku 7. podstavku 8. Uredbe (EU) br. 600/2014</w:t>
      </w:r>
    </w:p>
    <w:p w14:paraId="3574D291" w14:textId="3AD31784"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CB45B2" w:rsidRPr="000479E9">
        <w:t>2</w:t>
      </w:r>
      <w:r w:rsidRPr="000479E9">
        <w:t>. kao pružatelj usluga dostave podataka, investicijsko društvo, kreditna institucija ili tržišni operater koji obavlja usluge dostave podataka ne postupi u skladu s rješenjem o nadzornim mjerama Agencije, izrečenim sukladno članku 372. ovoga Zakona, na način i u roku koji odredi Agencija</w:t>
      </w:r>
    </w:p>
    <w:p w14:paraId="5DBEC76F" w14:textId="4F39F693"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CB45B2" w:rsidRPr="000479E9">
        <w:t>3</w:t>
      </w:r>
      <w:r w:rsidRPr="000479E9">
        <w:t>. ima poziciju koja je veća od ograničenja utvrđenog za tu robnu izvedenicu, a što je protivno članku 374. ovoga Zakona</w:t>
      </w:r>
    </w:p>
    <w:p w14:paraId="7AF5E774" w14:textId="7DB53426"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CB45B2" w:rsidRPr="000479E9">
        <w:t>4</w:t>
      </w:r>
      <w:r w:rsidRPr="000479E9">
        <w:t>. ne dostavi ili ne dostavi u roku podatke o veličini i namjeni pozicije ili izloženosti koja proizlazi iz sklopljenog ugovora o robnoj izvedenici ili ekonomski jednakovrijednog OTC ugovora i imovine ili obveze u vezi s tržištem temeljnog instrumenta u skladu s člankom 385. stavkom 3. ovoga Zakona</w:t>
      </w:r>
    </w:p>
    <w:p w14:paraId="46BD5031" w14:textId="2B9E9256"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CB45B2" w:rsidRPr="000479E9">
        <w:t>5</w:t>
      </w:r>
      <w:r w:rsidRPr="000479E9">
        <w:t>. ne izvrši mjere na način i u rokovima propisanim rješenjem Agencije iz članka 385. stavka 5. ovoga Zakona</w:t>
      </w:r>
    </w:p>
    <w:p w14:paraId="67BA35CD" w14:textId="7D60C2E2"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CB45B2" w:rsidRPr="000479E9">
        <w:t>6</w:t>
      </w:r>
      <w:r w:rsidRPr="000479E9">
        <w:t>. kao izdavatelj financijskih instrumenata uvrštenih na uređeno tržište nije osigurala postojanje identifikacijskog broja odnosno identifikacijske oznake sukladno odredbama članka 3. Delegirane uredbe (EU) br. 2017/585, a u skladu s člankom 320. stavkom 5. ovoga Zakona</w:t>
      </w:r>
    </w:p>
    <w:p w14:paraId="6DAED6AE" w14:textId="0421498C" w:rsidR="00C10AC0" w:rsidRPr="000479E9" w:rsidRDefault="00C10AC0" w:rsidP="00C10AC0">
      <w:pPr>
        <w:pStyle w:val="box477650"/>
        <w:shd w:val="clear" w:color="auto" w:fill="FFFFFF"/>
        <w:spacing w:before="0" w:beforeAutospacing="0" w:after="0" w:afterAutospacing="0"/>
        <w:jc w:val="both"/>
        <w:textAlignment w:val="baseline"/>
      </w:pPr>
      <w:r w:rsidRPr="000479E9">
        <w:t>22</w:t>
      </w:r>
      <w:r w:rsidR="00CB45B2" w:rsidRPr="000479E9">
        <w:t>7</w:t>
      </w:r>
      <w:r w:rsidRPr="000479E9">
        <w:t>. kao izdavatelj financijskih instrumenata uvrštenih na MTP ili OTP nije osigurala postojanje identifikacijskog broja odnosno identifikacijske oznake sukladno odredbama članka 3. Delegirane uredbe (EU) br. 2017/585, a u skladu s člankom 345. stavkom 5. ovoga Zakona</w:t>
      </w:r>
    </w:p>
    <w:p w14:paraId="676ECFEA" w14:textId="3E3CBB66" w:rsidR="00C10AC0" w:rsidRPr="000479E9" w:rsidRDefault="00C10AC0" w:rsidP="00C10AC0">
      <w:pPr>
        <w:pStyle w:val="box477650"/>
        <w:shd w:val="clear" w:color="auto" w:fill="FFFFFF"/>
        <w:spacing w:before="0" w:beforeAutospacing="0" w:after="0" w:afterAutospacing="0"/>
        <w:jc w:val="both"/>
        <w:textAlignment w:val="baseline"/>
      </w:pPr>
      <w:r w:rsidRPr="000479E9">
        <w:t>2</w:t>
      </w:r>
      <w:r w:rsidR="00CB45B2" w:rsidRPr="000479E9">
        <w:t>28</w:t>
      </w:r>
      <w:r w:rsidRPr="000479E9">
        <w:t xml:space="preserve">. kao subjekt nadzora Agencije iz članka 683. stavka 1. točke 1. podtočaka a), b) i c) ovoga Zakona ili kao pravna osoba čija je podružnica subjekt nadzora iz članka 683. stavka 1. točke 1. podtočaka d) do </w:t>
      </w:r>
      <w:r w:rsidR="00EF1F8F" w:rsidRPr="000479E9">
        <w:t>n</w:t>
      </w:r>
      <w:r w:rsidRPr="000479E9">
        <w:t>) ovoga Zakona ne omogući Agenciji i/ili ovlaštenim osobama Agencije, na njihov zahtjev i u traženom roku, obavljanje nadzora, tako što protivno članku 684. stavku 2. točki 2. ovoga Zakona ne omogući na zahtjev Agencije ili ovlaštene osobe Agencije pristup svakom dokumentu i podacima u bilo kojem obliku i/ili ne dostavi njihovu presliku, uključujući poslovne knjige i dokumentaciju</w:t>
      </w:r>
    </w:p>
    <w:p w14:paraId="212B23D8" w14:textId="57A7AD17" w:rsidR="00C10AC0" w:rsidRPr="000479E9" w:rsidRDefault="00C10AC0" w:rsidP="00C10AC0">
      <w:pPr>
        <w:pStyle w:val="box477650"/>
        <w:shd w:val="clear" w:color="auto" w:fill="FFFFFF"/>
        <w:spacing w:before="0" w:beforeAutospacing="0" w:after="0" w:afterAutospacing="0"/>
        <w:jc w:val="both"/>
        <w:textAlignment w:val="baseline"/>
      </w:pPr>
      <w:r w:rsidRPr="000479E9">
        <w:t>2</w:t>
      </w:r>
      <w:r w:rsidR="00CB45B2" w:rsidRPr="000479E9">
        <w:t>29</w:t>
      </w:r>
      <w:r w:rsidRPr="000479E9">
        <w:t xml:space="preserve">. kao subjekt nadzora Agencije iz članka 683. stavka 1. točke 1. podtočaka a), b) i c) ovoga Zakona ili kao pravna osoba čija je podružnica subjekt nadzora iz članka 683. stavka 1. točke 1. podtočaka d) do </w:t>
      </w:r>
      <w:r w:rsidR="00EF1F8F" w:rsidRPr="000479E9">
        <w:t>n</w:t>
      </w:r>
      <w:r w:rsidRPr="000479E9">
        <w:t>) ovoga Zakona ne omogući Agenciji i/ili ovlaštenim osobama Agencije, na njihov zahtjev i u traženom roku, obavljanje nadzora, tako što protivno članku 684. stavku 2. točki 4. ovoga Zakona ne da postojeće zapise telefonskih razgovora, elektroničkih komunikacija i ostalih zapisa o podatkovnom prometu koji su dostupni subjektu nadzora ili drugoj osobi kojoj su propisane obveze čuvanja takvih zapisa ovim Zakonom, Uredbom (EU) br. 596/2014, Uredbom (EU) br. 600/2014 ili drugim relevantnim propisom</w:t>
      </w:r>
    </w:p>
    <w:p w14:paraId="0F0AD529" w14:textId="0D2EAF40" w:rsidR="00C10AC0" w:rsidRPr="000479E9" w:rsidRDefault="00C10AC0" w:rsidP="00C10AC0">
      <w:pPr>
        <w:pStyle w:val="box477650"/>
        <w:shd w:val="clear" w:color="auto" w:fill="FFFFFF"/>
        <w:spacing w:before="0" w:beforeAutospacing="0" w:after="0" w:afterAutospacing="0"/>
        <w:jc w:val="both"/>
        <w:textAlignment w:val="baseline"/>
      </w:pPr>
      <w:r w:rsidRPr="000479E9">
        <w:t>2</w:t>
      </w:r>
      <w:r w:rsidR="00CB45B2" w:rsidRPr="000479E9">
        <w:t>30</w:t>
      </w:r>
      <w:r w:rsidRPr="000479E9">
        <w:t xml:space="preserve">. kao subjekt nadzora Agencije iz članka 683. stavka 1. točke 1. podtočaka a), b) i c) ovoga Zakona ili kao pravna osoba čija je podružnica subjekt nadzora iz članka </w:t>
      </w:r>
      <w:r w:rsidRPr="000479E9">
        <w:lastRenderedPageBreak/>
        <w:t xml:space="preserve">683. stavka 1. točke 1. podtočaka d) do </w:t>
      </w:r>
      <w:r w:rsidR="00EF1F8F" w:rsidRPr="000479E9">
        <w:t>n</w:t>
      </w:r>
      <w:r w:rsidRPr="000479E9">
        <w:t>) ovoga Zakona ne omogući Agenciji i/ili ovlaštenim osobama Agencije, na njihov zahtjev i u traženom roku, obavljanje nadzora, tako što protivno članku 688. stavku 3. ovoga Zakona ne uruči sve traženo i/ili ne osigura standardno sučelje za pristup sustavu za upravljanje bazama podataka kojima se koristi</w:t>
      </w:r>
    </w:p>
    <w:p w14:paraId="2DA04882" w14:textId="2545A128" w:rsidR="00C10AC0" w:rsidRPr="000479E9" w:rsidRDefault="00C10AC0" w:rsidP="00C10AC0">
      <w:pPr>
        <w:pStyle w:val="box477650"/>
        <w:shd w:val="clear" w:color="auto" w:fill="FFFFFF"/>
        <w:spacing w:before="0" w:beforeAutospacing="0" w:after="0" w:afterAutospacing="0"/>
        <w:jc w:val="both"/>
        <w:textAlignment w:val="baseline"/>
      </w:pPr>
      <w:r w:rsidRPr="000479E9">
        <w:t>23</w:t>
      </w:r>
      <w:r w:rsidR="00CB45B2" w:rsidRPr="000479E9">
        <w:t>1</w:t>
      </w:r>
      <w:r w:rsidRPr="000479E9">
        <w:t xml:space="preserve">. kao subjekt nadzora Agencije iz članka 683. stavka 1. točke 1. podtočaka a), b) i c) ovoga Zakona ili kao pravna osoba čija je podružnica subjekt nadzora iz članka 683. stavka 1. točke 1. podtočaka d) do </w:t>
      </w:r>
      <w:r w:rsidR="00EF1F8F" w:rsidRPr="000479E9">
        <w:t>n</w:t>
      </w:r>
      <w:r w:rsidRPr="000479E9">
        <w:t>) ovoga Zakona ne omogući Agenciji i/ili ovlaštenim osobama Agencije, na njihov zahtjev i u traženom roku, obavljanje nadzora, tako što protivno članku 690. stavku 2. ovoga Zakona ne preda dokumentaciju iz koje je razvidan potpuni opis rada informacijskog sustava</w:t>
      </w:r>
    </w:p>
    <w:p w14:paraId="790A690E" w14:textId="02A6A793" w:rsidR="00C10AC0" w:rsidRPr="000479E9" w:rsidRDefault="00C10AC0" w:rsidP="00C10AC0">
      <w:pPr>
        <w:pStyle w:val="box477650"/>
        <w:shd w:val="clear" w:color="auto" w:fill="FFFFFF"/>
        <w:spacing w:before="0" w:beforeAutospacing="0" w:after="0" w:afterAutospacing="0"/>
        <w:jc w:val="both"/>
        <w:textAlignment w:val="baseline"/>
      </w:pPr>
      <w:r w:rsidRPr="000479E9">
        <w:t>23</w:t>
      </w:r>
      <w:r w:rsidR="00CB45B2" w:rsidRPr="000479E9">
        <w:t>2</w:t>
      </w:r>
      <w:r w:rsidRPr="000479E9">
        <w:t xml:space="preserve">. kao subjekt nadzora Agencije iz članka 683. stavka 1. točke 1. podtočaka a), b) i c) ovoga Zakona ili kao pravna osoba čija je podružnica subjekt nadzora iz članka 683. stavka 1. točke 1. podtočaka d) do </w:t>
      </w:r>
      <w:r w:rsidR="00EF1F8F" w:rsidRPr="000479E9">
        <w:t>n</w:t>
      </w:r>
      <w:r w:rsidRPr="000479E9">
        <w:t>) ovoga Zakona ne omogući Agenciji i/ili ovlaštenim osobama Agencije, na njihov zahtjev i u traženom roku, obavljanje nadzora, tako što protivno članku 689. stavcima 1. i 2. ovoga Zakona ne osigura uvjete za obavljanje nadzora</w:t>
      </w:r>
    </w:p>
    <w:p w14:paraId="1F6D4961" w14:textId="548F45CB" w:rsidR="00C10AC0" w:rsidRPr="000479E9" w:rsidRDefault="00C10AC0" w:rsidP="00C10AC0">
      <w:pPr>
        <w:pStyle w:val="box477650"/>
        <w:shd w:val="clear" w:color="auto" w:fill="FFFFFF"/>
        <w:spacing w:before="0" w:beforeAutospacing="0" w:after="0" w:afterAutospacing="0"/>
        <w:jc w:val="both"/>
        <w:textAlignment w:val="baseline"/>
      </w:pPr>
      <w:r w:rsidRPr="000479E9">
        <w:t>23</w:t>
      </w:r>
      <w:r w:rsidR="00CB45B2" w:rsidRPr="000479E9">
        <w:t>3</w:t>
      </w:r>
      <w:r w:rsidRPr="000479E9">
        <w:t xml:space="preserve">. kao subjekt nadzora Agencije iz članka 683. stavka 1. točke 1. podtočaka a), b) i c) ovoga Zakona ili kao pravna osoba čija je podružnica subjekt nadzora iz članka 683. stavka 1. točke 1. podtočaka d) do </w:t>
      </w:r>
      <w:r w:rsidR="00EF1F8F" w:rsidRPr="000479E9">
        <w:t>n</w:t>
      </w:r>
      <w:r w:rsidRPr="000479E9">
        <w:t>) ovoga Zakona ne omogući Agenciji i/ili ovlaštenim osobama Agencije, na njihov zahtjev i u traženom roku, obavljanje nadzora, tako što protivno članku 690. stavku 1. ovoga Zakona ne osigura uvjete za obavljanje nadzora.</w:t>
      </w:r>
    </w:p>
    <w:p w14:paraId="3EA4DB7D" w14:textId="17755829" w:rsidR="00C10AC0" w:rsidRPr="000479E9" w:rsidRDefault="00C10AC0" w:rsidP="00C10AC0">
      <w:pPr>
        <w:spacing w:after="0"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Iznimno od stavka 1. ovoga članka, u slučaju da je pravna osoba prekršajem iz stavka 1. ovoga članka ostvarila korist ili spriječila gubitak, a iznos tako ostvarene koristi ili spriječenog gubitka može se utvrditi, kaznit će se za prekršaj novčanom kaznom u iznosu dvostruko utvrđenog iznosa tako ostvarene koristi odnosno tako spriječenog gubitka, ako je taj iznos veći od propisanog najvećeg iznosa novčane kazne iz stavka 1. ovoga članka.</w:t>
      </w:r>
    </w:p>
    <w:p w14:paraId="55852EAA" w14:textId="4CAB0177" w:rsidR="00C10AC0" w:rsidRPr="000479E9" w:rsidRDefault="00C10AC0" w:rsidP="00C10AC0">
      <w:pPr>
        <w:spacing w:after="0"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prekršaj iz stavka 1. ovoga članka kaznit će se i odgovorna osoba pravne osobe novčanom kaznom u iznosu od 1.320,00 do 10.000,00 eura.“</w:t>
      </w:r>
      <w:r w:rsidR="0005762C" w:rsidRPr="000479E9">
        <w:rPr>
          <w:rFonts w:ascii="Times New Roman" w:eastAsia="Times New Roman" w:hAnsi="Times New Roman"/>
          <w:sz w:val="24"/>
          <w:szCs w:val="24"/>
          <w:lang w:eastAsia="hr-HR"/>
        </w:rPr>
        <w:t>.</w:t>
      </w:r>
    </w:p>
    <w:p w14:paraId="7C0FB0B4" w14:textId="715C0AF1" w:rsidR="00C10AC0" w:rsidRPr="000479E9" w:rsidRDefault="00C10AC0" w:rsidP="00C10AC0">
      <w:pPr>
        <w:spacing w:after="0" w:line="240" w:lineRule="auto"/>
        <w:rPr>
          <w:rFonts w:ascii="Times New Roman" w:eastAsia="Times New Roman" w:hAnsi="Times New Roman" w:cs="Times New Roman"/>
          <w:sz w:val="24"/>
          <w:szCs w:val="24"/>
          <w:lang w:eastAsia="hr-HR"/>
        </w:rPr>
      </w:pPr>
    </w:p>
    <w:p w14:paraId="6E34E2E2" w14:textId="77777777" w:rsidR="00C10AC0" w:rsidRPr="000479E9" w:rsidRDefault="00C10AC0" w:rsidP="00617A00">
      <w:pPr>
        <w:spacing w:after="0" w:line="240" w:lineRule="auto"/>
        <w:jc w:val="center"/>
        <w:rPr>
          <w:rFonts w:ascii="Times New Roman" w:eastAsia="Times New Roman" w:hAnsi="Times New Roman" w:cs="Times New Roman"/>
          <w:b/>
          <w:bCs/>
          <w:sz w:val="24"/>
          <w:szCs w:val="24"/>
          <w:lang w:eastAsia="hr-HR"/>
        </w:rPr>
      </w:pPr>
    </w:p>
    <w:p w14:paraId="00259902" w14:textId="0BC3E774"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21655B" w:rsidRPr="000479E9">
        <w:rPr>
          <w:rFonts w:ascii="Times New Roman" w:eastAsia="Times New Roman" w:hAnsi="Times New Roman" w:cs="Times New Roman"/>
          <w:b/>
          <w:bCs/>
          <w:sz w:val="24"/>
          <w:szCs w:val="24"/>
          <w:lang w:eastAsia="hr-HR"/>
        </w:rPr>
        <w:t>93</w:t>
      </w:r>
      <w:r w:rsidR="00C7528F" w:rsidRPr="000479E9">
        <w:rPr>
          <w:rFonts w:ascii="Times New Roman" w:eastAsia="Times New Roman" w:hAnsi="Times New Roman" w:cs="Times New Roman"/>
          <w:b/>
          <w:bCs/>
          <w:sz w:val="24"/>
          <w:szCs w:val="24"/>
          <w:lang w:eastAsia="hr-HR"/>
        </w:rPr>
        <w:t>.</w:t>
      </w:r>
    </w:p>
    <w:p w14:paraId="3D6B8086"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6A39188" w14:textId="7592F659" w:rsidR="00C10AC0" w:rsidRPr="000479E9" w:rsidRDefault="00C10AC0" w:rsidP="00C10AC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Naslov iznad članka 701. i članak 701. mijenjaju se i glase: </w:t>
      </w:r>
    </w:p>
    <w:p w14:paraId="52B1F0CB" w14:textId="77777777" w:rsidR="00C10AC0" w:rsidRPr="000479E9" w:rsidRDefault="00C10AC0" w:rsidP="00C10AC0">
      <w:pPr>
        <w:spacing w:after="0" w:line="240" w:lineRule="auto"/>
        <w:rPr>
          <w:rFonts w:ascii="Times New Roman" w:eastAsia="Times New Roman" w:hAnsi="Times New Roman" w:cs="Times New Roman"/>
          <w:sz w:val="24"/>
          <w:szCs w:val="24"/>
          <w:lang w:eastAsia="hr-HR"/>
        </w:rPr>
      </w:pPr>
    </w:p>
    <w:p w14:paraId="4682192F" w14:textId="6A95F651" w:rsidR="00C10AC0" w:rsidRPr="000479E9" w:rsidRDefault="00C10AC0" w:rsidP="00C10AC0">
      <w:pPr>
        <w:spacing w:beforeLines="30" w:before="72" w:afterLines="30" w:after="72" w:line="240" w:lineRule="auto"/>
        <w:jc w:val="center"/>
        <w:textAlignment w:val="baseline"/>
        <w:rPr>
          <w:rFonts w:ascii="Times New Roman" w:eastAsia="Times New Roman" w:hAnsi="Times New Roman"/>
          <w:iCs/>
          <w:sz w:val="24"/>
          <w:szCs w:val="24"/>
          <w:lang w:eastAsia="hr-HR"/>
        </w:rPr>
      </w:pPr>
      <w:bookmarkStart w:id="6" w:name="_Hlk234328161"/>
      <w:r w:rsidRPr="000479E9">
        <w:rPr>
          <w:rFonts w:ascii="Times New Roman" w:eastAsia="Times New Roman" w:hAnsi="Times New Roman"/>
          <w:iCs/>
          <w:sz w:val="24"/>
          <w:szCs w:val="24"/>
          <w:lang w:eastAsia="hr-HR"/>
        </w:rPr>
        <w:t>„Ostali teži prekršaji pravnih osoba</w:t>
      </w:r>
    </w:p>
    <w:bookmarkEnd w:id="6"/>
    <w:p w14:paraId="080CEDB4" w14:textId="77777777" w:rsidR="00C10AC0" w:rsidRPr="000479E9" w:rsidRDefault="00C10AC0" w:rsidP="00C10AC0">
      <w:pPr>
        <w:spacing w:beforeLines="30" w:before="72" w:afterLines="30" w:after="72" w:line="240" w:lineRule="auto"/>
        <w:jc w:val="center"/>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Članak 701.</w:t>
      </w:r>
    </w:p>
    <w:p w14:paraId="7307CCC2"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Za teži prekršaj iz stavka 3. ovoga članka kaznit će se pravna osoba novčanom kaznom u iznosu koji je višekratnik broja 1.000, a koja ne može biti manja od 20.000,00 eura ni veća od 5 % ukupnog prihoda koji je ostvarila u godini kada je počinjen prekršaj utvrđen službenim financijskim izvještajima za tu godinu,</w:t>
      </w:r>
      <w:r w:rsidRPr="000479E9">
        <w:t xml:space="preserve"> </w:t>
      </w:r>
      <w:r w:rsidRPr="000479E9">
        <w:rPr>
          <w:rFonts w:ascii="Times New Roman" w:eastAsia="Times New Roman" w:hAnsi="Times New Roman"/>
          <w:sz w:val="24"/>
          <w:szCs w:val="24"/>
          <w:lang w:eastAsia="hr-HR"/>
        </w:rPr>
        <w:t>a ako izvješća za tu godinu nema, uzet će se posljednje dostupno službeno godišnje izvješće.</w:t>
      </w:r>
    </w:p>
    <w:p w14:paraId="29BA5441" w14:textId="77777777" w:rsidR="00C2512F" w:rsidRPr="000479E9" w:rsidRDefault="00C10AC0" w:rsidP="00C2512F">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 xml:space="preserve">(2) Prekršaj iz stavka 1. ovoga članka smatra se težim ako je ispunjen jedan ili više sljedećih </w:t>
      </w:r>
      <w:r w:rsidR="00C2512F" w:rsidRPr="000479E9">
        <w:rPr>
          <w:rFonts w:ascii="Times New Roman" w:eastAsia="Times New Roman" w:hAnsi="Times New Roman"/>
          <w:sz w:val="24"/>
          <w:szCs w:val="24"/>
          <w:lang w:eastAsia="hr-HR"/>
        </w:rPr>
        <w:t xml:space="preserve">primjenjivih </w:t>
      </w:r>
      <w:r w:rsidRPr="000479E9">
        <w:rPr>
          <w:rFonts w:ascii="Times New Roman" w:eastAsia="Times New Roman" w:hAnsi="Times New Roman"/>
          <w:sz w:val="24"/>
          <w:szCs w:val="24"/>
          <w:lang w:eastAsia="hr-HR"/>
        </w:rPr>
        <w:t>uvjeta</w:t>
      </w:r>
      <w:r w:rsidR="00C2512F" w:rsidRPr="000479E9">
        <w:rPr>
          <w:rFonts w:ascii="Times New Roman" w:eastAsia="Times New Roman" w:hAnsi="Times New Roman"/>
          <w:sz w:val="24"/>
          <w:szCs w:val="24"/>
          <w:lang w:eastAsia="hr-HR"/>
        </w:rPr>
        <w:t xml:space="preserve">, pri čemu se okolnost koja već predstavlja obilježje prekršaja iz stavka 3. ovoga članka ne uzima sama po sebi kao osnova za utvrđenje ispunjenja nekog od ovih uvjeta: </w:t>
      </w:r>
    </w:p>
    <w:p w14:paraId="0D471B6D" w14:textId="2201B0CA"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p>
    <w:p w14:paraId="71C3DC1D" w14:textId="77777777"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opetovano ili sustavno, pri čemu se sustavnim smatra postupanje koje proizlazi iz uspostavljenih poslovnih praksi, organizacijskih nedostataka ili svjesnog obrasca postupanja</w:t>
      </w:r>
    </w:p>
    <w:p w14:paraId="01E04484" w14:textId="77777777"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tijekom duljeg razdoblja, pri čemu se trajanje procjenjuje uzimajući u obzir prirodu, učestalost i okolnosti konkretnog kršenja</w:t>
      </w:r>
    </w:p>
    <w:p w14:paraId="13B138B9" w14:textId="77777777"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značajne štete za klijente ili ulagatelje ili je stvorio konkretnu i neposrednu opasnost od nastanka takve štete</w:t>
      </w:r>
    </w:p>
    <w:p w14:paraId="10D9D09A" w14:textId="77777777"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ugrožavanja urednog funkcioniranja tržišta ili narušavanja integriteta tržišta, ili je stvorio konkretnu i neposrednu opasnost od nastanka takvog događaja</w:t>
      </w:r>
    </w:p>
    <w:p w14:paraId="0F2461B1" w14:textId="77777777"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672A97B1" w14:textId="6FC2AE78"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onemogućio </w:t>
      </w:r>
      <w:r w:rsidR="00E869A1"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ili znatno otežao nadzor Agencije</w:t>
      </w:r>
    </w:p>
    <w:p w14:paraId="680A3C7D" w14:textId="437CACCD"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povezan </w:t>
      </w:r>
      <w:r w:rsidR="00E869A1"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s</w:t>
      </w:r>
      <w:r w:rsidR="00E869A1"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 xml:space="preserve"> zlouporabom povjerljivih informacija ili imovine klijenata</w:t>
      </w:r>
    </w:p>
    <w:p w14:paraId="6BBF7A6C" w14:textId="4F4632DA" w:rsidR="00C2512F" w:rsidRPr="000479E9" w:rsidRDefault="00C2512F" w:rsidP="00C2512F">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w:t>
      </w:r>
      <w:r w:rsidR="00E869A1" w:rsidRPr="000479E9">
        <w:rPr>
          <w:rFonts w:ascii="Times New Roman" w:eastAsia="Times New Roman" w:hAnsi="Times New Roman"/>
          <w:sz w:val="24"/>
          <w:szCs w:val="24"/>
          <w:lang w:eastAsia="hr-HR"/>
        </w:rPr>
        <w:t xml:space="preserve"> je</w:t>
      </w:r>
      <w:r w:rsidRPr="000479E9">
        <w:rPr>
          <w:rFonts w:ascii="Times New Roman" w:eastAsia="Times New Roman" w:hAnsi="Times New Roman"/>
          <w:sz w:val="24"/>
          <w:szCs w:val="24"/>
          <w:lang w:eastAsia="hr-HR"/>
        </w:rPr>
        <w:t xml:space="preserve"> do neurednih uvjeta trgovanja ili poremećaja na tržištu ili je stvorio konkretnu i neposrednu opasnost od nastanka takvog događaja.</w:t>
      </w:r>
    </w:p>
    <w:p w14:paraId="5A18C590"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p>
    <w:p w14:paraId="036009CC" w14:textId="77777777" w:rsidR="00C10AC0" w:rsidRPr="000479E9" w:rsidRDefault="00C10AC0" w:rsidP="0005762C">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teži prekršaj iz stavka 2. ovoga članka kaznit će se pravna osoba ako:</w:t>
      </w:r>
    </w:p>
    <w:p w14:paraId="16647A7A" w14:textId="77777777" w:rsidR="00C10AC0" w:rsidRPr="000479E9" w:rsidRDefault="00C10AC0" w:rsidP="00A741B2">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p>
    <w:p w14:paraId="27BB69F9" w14:textId="77777777" w:rsidR="00C10AC0" w:rsidRPr="000479E9" w:rsidRDefault="00C10AC0" w:rsidP="00AA43E2">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kao investicijsko društvo najkasnije do 31. ožujka tekuće godine Agenciji ne dostavi popis svih dioničara u skladu s člankom 16. stavkom 2. ovoga Zakona</w:t>
      </w:r>
    </w:p>
    <w:p w14:paraId="5BDD2C27" w14:textId="77777777" w:rsidR="00C10AC0" w:rsidRPr="000479E9" w:rsidRDefault="00C10AC0" w:rsidP="00AA51E6">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kao investicijsko društvo, kreditna institucija ili društvo za upravljanje u pogledu organizacijskih uvjeta ne postupa u skladu s člankom 50. stavkom 1. ovoga Zakona</w:t>
      </w:r>
    </w:p>
    <w:p w14:paraId="4EF3C4EF" w14:textId="77777777" w:rsidR="00C10AC0" w:rsidRPr="000479E9" w:rsidRDefault="00C10AC0" w:rsidP="00E9285F">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kao investicijsko društvo, kreditna institucija ili društvo za upravljanje u pogledu organizacijskih uvjeta ne obavijesti Agenciju u skladu s člankom 50. stavkom 3. ovoga Zakona</w:t>
      </w:r>
    </w:p>
    <w:p w14:paraId="78D6ECD2" w14:textId="77777777" w:rsidR="00C10AC0" w:rsidRPr="000479E9" w:rsidRDefault="00C10AC0" w:rsidP="00A45A25">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 kao investicijsko društvo, kreditna institucija ili društvo za upravljanje o izdvajanju ključnih operativnih funkcija iz članka 59. stavka 1. ovoga Zakona ne izvijesti Agenciju u skladu s člankom 59. stavkom 3. ili 4. ovoga Zakona</w:t>
      </w:r>
    </w:p>
    <w:p w14:paraId="684838FC" w14:textId="77777777" w:rsidR="00C10AC0" w:rsidRPr="000479E9" w:rsidRDefault="00C10AC0" w:rsidP="00000C1B">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 kao investicijsko društvo, kreditna institucija ili društvo za upravljanje koje drži novčana sredstva i/ili financijske instrumente suprotno zabrani iz članka 80. stavka 3. ovoga Zakona sklopi ugovor o financijskom kolateralu s malim ulagateljem</w:t>
      </w:r>
    </w:p>
    <w:p w14:paraId="35BF0FC3" w14:textId="27824ECE"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 xml:space="preserve">6. kao investicijsko društvo, kreditna institucija ili društvo za upravljanje drži financijske instrumente protivno članku 80. stavku </w:t>
      </w:r>
      <w:r w:rsidR="00A85D44"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ovoga Zakona</w:t>
      </w:r>
    </w:p>
    <w:p w14:paraId="289BE81F" w14:textId="7798299F" w:rsidR="00C10AC0" w:rsidRPr="000479E9" w:rsidRDefault="00710816">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w:t>
      </w:r>
      <w:r w:rsidR="00C10AC0" w:rsidRPr="000479E9">
        <w:rPr>
          <w:rFonts w:ascii="Times New Roman" w:eastAsia="Times New Roman" w:hAnsi="Times New Roman"/>
          <w:sz w:val="24"/>
          <w:szCs w:val="24"/>
          <w:lang w:eastAsia="hr-HR"/>
        </w:rPr>
        <w:t xml:space="preserve">. kao investicijsko društvo ili kreditna institucija koja koristi algoritamsko trgovanje o činjenici da koristi algoritamsko trgovanje ne obavijesti Agenciju prije početka korištenja na pojedinom mjestu trgovanja u skladu s člankom 82. stavkom </w:t>
      </w:r>
      <w:r w:rsidR="00A85D44" w:rsidRPr="000479E9">
        <w:rPr>
          <w:rFonts w:ascii="Times New Roman" w:eastAsia="Times New Roman" w:hAnsi="Times New Roman"/>
          <w:sz w:val="24"/>
          <w:szCs w:val="24"/>
          <w:lang w:eastAsia="hr-HR"/>
        </w:rPr>
        <w:t>6</w:t>
      </w:r>
      <w:r w:rsidR="00C10AC0" w:rsidRPr="000479E9">
        <w:rPr>
          <w:rFonts w:ascii="Times New Roman" w:eastAsia="Times New Roman" w:hAnsi="Times New Roman"/>
          <w:sz w:val="24"/>
          <w:szCs w:val="24"/>
          <w:lang w:eastAsia="hr-HR"/>
        </w:rPr>
        <w:t>. ovoga Zakona</w:t>
      </w:r>
    </w:p>
    <w:p w14:paraId="0024A5FD" w14:textId="2381AA21" w:rsidR="00C10AC0" w:rsidRPr="000479E9" w:rsidRDefault="00710816">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w:t>
      </w:r>
      <w:r w:rsidR="00C10AC0" w:rsidRPr="000479E9">
        <w:rPr>
          <w:rFonts w:ascii="Times New Roman" w:eastAsia="Times New Roman" w:hAnsi="Times New Roman"/>
          <w:sz w:val="24"/>
          <w:szCs w:val="24"/>
          <w:lang w:eastAsia="hr-HR"/>
        </w:rPr>
        <w:t>. kao investicijsko društvo ili kreditna institucija koja koristi algoritamsko trgovanje ne izvijesti Agenciju u skladu s člankom 82. stavkom 7. ovoga Zakona</w:t>
      </w:r>
    </w:p>
    <w:p w14:paraId="331D03DB" w14:textId="76B4AD90" w:rsidR="00C10AC0" w:rsidRPr="000479E9" w:rsidRDefault="00710816">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w:t>
      </w:r>
      <w:r w:rsidR="00C10AC0" w:rsidRPr="000479E9">
        <w:rPr>
          <w:rFonts w:ascii="Times New Roman" w:eastAsia="Times New Roman" w:hAnsi="Times New Roman"/>
          <w:sz w:val="24"/>
          <w:szCs w:val="24"/>
          <w:lang w:eastAsia="hr-HR"/>
        </w:rPr>
        <w:t>. kao investicijsko društvo ili kreditna institucija koja klijentima omogućuje izravan elektronički pristup mjestu trgovanja nije u pisanom sporazumu s klijentom jasno naznačila da odgovornost za pridržavanje obveza iz Zakona ostaje na investicijskom društvu, u skladu s člankom 84. stavkom 9. ovoga Zakona</w:t>
      </w:r>
    </w:p>
    <w:p w14:paraId="7B29A70C" w14:textId="466689A1"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710816"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kao investicijsko društvo, kreditna institucija, društvo za upravljanje ili tržišni posrednik primi ili pruži dodatni poticaj</w:t>
      </w:r>
      <w:r w:rsidR="00A85D44" w:rsidRPr="000479E9">
        <w:rPr>
          <w:rFonts w:ascii="Times New Roman" w:eastAsia="Times New Roman" w:hAnsi="Times New Roman"/>
          <w:sz w:val="24"/>
          <w:szCs w:val="24"/>
          <w:lang w:eastAsia="hr-HR"/>
        </w:rPr>
        <w:t xml:space="preserve"> iz članka 91. stavka 1. ovoga Zakona,</w:t>
      </w:r>
      <w:r w:rsidRPr="000479E9">
        <w:rPr>
          <w:rFonts w:ascii="Times New Roman" w:eastAsia="Times New Roman" w:hAnsi="Times New Roman"/>
          <w:sz w:val="24"/>
          <w:szCs w:val="24"/>
          <w:lang w:eastAsia="hr-HR"/>
        </w:rPr>
        <w:t xml:space="preserve">, a nisu ispunjeni svi uvjeti </w:t>
      </w:r>
      <w:r w:rsidR="00A85D44" w:rsidRPr="000479E9">
        <w:rPr>
          <w:rFonts w:ascii="Times New Roman" w:eastAsia="Times New Roman" w:hAnsi="Times New Roman"/>
          <w:sz w:val="24"/>
          <w:szCs w:val="24"/>
          <w:lang w:eastAsia="hr-HR"/>
        </w:rPr>
        <w:t>iz</w:t>
      </w:r>
      <w:r w:rsidRPr="000479E9">
        <w:rPr>
          <w:rFonts w:ascii="Times New Roman" w:eastAsia="Times New Roman" w:hAnsi="Times New Roman"/>
          <w:sz w:val="24"/>
          <w:szCs w:val="24"/>
          <w:lang w:eastAsia="hr-HR"/>
        </w:rPr>
        <w:t xml:space="preserve"> člank</w:t>
      </w:r>
      <w:r w:rsidR="00A85D44"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 xml:space="preserve"> 91. stavk</w:t>
      </w:r>
      <w:r w:rsidR="00A85D44"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 xml:space="preserve"> </w:t>
      </w:r>
      <w:r w:rsidR="00A85D44"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ovoga Zakona</w:t>
      </w:r>
    </w:p>
    <w:p w14:paraId="07FA63EF" w14:textId="66BABE0D"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710816"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kao investicijsko društvo, kreditna institucija, društvo za upravljanje ili tržišni posrednik koji pruža uslugu upravljanja portfeljem ili neovisnog investicijskog savjetovanja prihvati i/ili zadrži dodatni poticaj, protivno članku 93. stavku 1. ovoga Zakona</w:t>
      </w:r>
    </w:p>
    <w:p w14:paraId="2BD882F2" w14:textId="6EB4C1AF"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710816" w:rsidRPr="000479E9">
        <w:rPr>
          <w:rFonts w:ascii="Times New Roman" w:eastAsia="Times New Roman" w:hAnsi="Times New Roman"/>
          <w:sz w:val="24"/>
          <w:szCs w:val="24"/>
          <w:lang w:eastAsia="hr-HR"/>
        </w:rPr>
        <w:t>2</w:t>
      </w:r>
      <w:r w:rsidR="00A85D44" w:rsidRPr="000479E9">
        <w:rPr>
          <w:rFonts w:ascii="Times New Roman" w:eastAsia="Times New Roman" w:hAnsi="Times New Roman"/>
          <w:sz w:val="24"/>
          <w:szCs w:val="24"/>
          <w:lang w:eastAsia="hr-HR"/>
        </w:rPr>
        <w:t>.</w:t>
      </w:r>
      <w:r w:rsidRPr="000479E9">
        <w:rPr>
          <w:rFonts w:ascii="Times New Roman" w:eastAsia="Times New Roman" w:hAnsi="Times New Roman"/>
          <w:sz w:val="24"/>
          <w:szCs w:val="24"/>
          <w:lang w:eastAsia="hr-HR"/>
        </w:rPr>
        <w:t xml:space="preserve"> nije prenijela dodatni poticaj, u slučaju iz članka 93. stavka 1. ovoga Zakona, klijentu u cijelosti, što je prije moguće, a najkasnije u roku od 15 dana od primitka poticaja, protivno članku 93. stavku 2. ovoga Zakona</w:t>
      </w:r>
    </w:p>
    <w:p w14:paraId="2C243D74" w14:textId="277744CC"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710816"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kao investicijsko društvo, kreditna institucija, društvo za upravljanje ili tržišni posrednik, koji investicijsku uslugu nudi zajedno s drugom uslugom ili proizvodom kao dio paketa ili kao uvjet za isti ugovor ili paket, učestalo ne izvještava klijente o tome je li moguće iste pakete kupiti odvojeno, u skladu s člankom 95. stavkom 1. ovoga Zakona</w:t>
      </w:r>
    </w:p>
    <w:p w14:paraId="0556662F" w14:textId="25970114"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710816"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kao investicijsko društvo, kreditna institucija, društvo za upravljanje ili tržišni posrednik, koji investicijsku uslugu nudi zajedno s drugom uslugom ili proizvodom kao dio paketa ili kao uvjet za isti ugovor ili paket, učestalo ne pruža odgovarajući opis različitih komponenata ugovora ili paketa i način na koji njihovo uzajamno djelovanje utječe na rizik, a vjerojatno je da se rizici koji proizlaze iz ugovora ili paketa razlikuju od rizika povezanih s pojedinom komponentom, u skladu s člankom 95. stavkom 2. ovoga Zakona</w:t>
      </w:r>
    </w:p>
    <w:p w14:paraId="5E9AC0C9" w14:textId="080D9EB8"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710816"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xml:space="preserve">. kao investicijsko društvo, kreditna institucija, društvo za upravljanje ili tržišni posrednik zapošljava ili na drugi način angažira fizičku osobu koja u ime i/ili za račun investicijskog društva klijentu pruži informacije o financijskim instrumentima, investicijskim i/ili pomoćnim uslugama, a ta fizička osoba ne ispunjava uvjete </w:t>
      </w:r>
      <w:r w:rsidR="003413FA" w:rsidRPr="000479E9">
        <w:rPr>
          <w:rFonts w:ascii="Times New Roman" w:eastAsia="Times New Roman" w:hAnsi="Times New Roman" w:cs="Times New Roman"/>
          <w:sz w:val="24"/>
          <w:szCs w:val="24"/>
          <w:lang w:eastAsia="hr-HR"/>
        </w:rPr>
        <w:t>iz pravilnika iz članka 99. stavka 6. ovoga Zakona, protivno članku 96. stavku 2. točki 1.</w:t>
      </w:r>
      <w:r w:rsidRPr="000479E9">
        <w:rPr>
          <w:rFonts w:ascii="Times New Roman" w:eastAsia="Times New Roman" w:hAnsi="Times New Roman"/>
          <w:sz w:val="24"/>
          <w:szCs w:val="24"/>
          <w:lang w:eastAsia="hr-HR"/>
        </w:rPr>
        <w:t xml:space="preserve"> ovoga Zakona</w:t>
      </w:r>
    </w:p>
    <w:p w14:paraId="71E2C332" w14:textId="33958D0F" w:rsidR="00C10AC0" w:rsidRPr="000479E9" w:rsidRDefault="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710816"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kao investicijsko društvo, kreditna institucija, društvo za upravljanje ili tržišni posrednik zapošljava ili na drugi način angažira fizičku osobu koja u ime i/ili za račun investicijskog društva izvrši ili prenese na izvršenje nalog klijenta, a ta fizička osoba </w:t>
      </w:r>
      <w:r w:rsidRPr="000479E9">
        <w:rPr>
          <w:rFonts w:ascii="Times New Roman" w:eastAsia="Times New Roman" w:hAnsi="Times New Roman"/>
          <w:sz w:val="24"/>
          <w:szCs w:val="24"/>
          <w:lang w:eastAsia="hr-HR"/>
        </w:rPr>
        <w:lastRenderedPageBreak/>
        <w:t xml:space="preserve">ne ispunjava uvjete </w:t>
      </w:r>
      <w:r w:rsidR="003413FA" w:rsidRPr="000479E9">
        <w:rPr>
          <w:rFonts w:ascii="Times New Roman" w:eastAsia="Times New Roman" w:hAnsi="Times New Roman" w:cs="Times New Roman"/>
          <w:sz w:val="24"/>
          <w:szCs w:val="24"/>
          <w:lang w:eastAsia="hr-HR"/>
        </w:rPr>
        <w:t>iz pravilnika iz članka 99. stavka 6. ovoga Zakona, protivno članku 96. stavku 2. točki 2.</w:t>
      </w:r>
      <w:r w:rsidRPr="000479E9">
        <w:rPr>
          <w:rFonts w:ascii="Times New Roman" w:eastAsia="Times New Roman" w:hAnsi="Times New Roman"/>
          <w:sz w:val="24"/>
          <w:szCs w:val="24"/>
          <w:lang w:eastAsia="hr-HR"/>
        </w:rPr>
        <w:t xml:space="preserve"> ovoga Zakona</w:t>
      </w:r>
    </w:p>
    <w:p w14:paraId="23674FC0" w14:textId="49645757" w:rsidR="00C10AC0" w:rsidRPr="000479E9" w:rsidRDefault="00710816">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17</w:t>
      </w:r>
      <w:r w:rsidR="00C10AC0" w:rsidRPr="000479E9">
        <w:rPr>
          <w:rFonts w:ascii="Times New Roman" w:eastAsia="Times New Roman" w:hAnsi="Times New Roman"/>
          <w:sz w:val="24"/>
          <w:szCs w:val="24"/>
          <w:lang w:eastAsia="hr-HR"/>
        </w:rPr>
        <w:t xml:space="preserve">. kao investicijsko društvo, kreditna institucija, društvo za upravljanje ili tržišni posrednik zapošljava ili na drugi način angažira fizičku osobu koja u ime i/ili za račun investicijskog društva klijentu pruži investicijski savjet ili donese investicijsku odluku u sklopu usluge upravljanja portfeljem, a ta fizička osoba ne ispunjava uvjete iz </w:t>
      </w:r>
      <w:r w:rsidR="003413FA" w:rsidRPr="000479E9">
        <w:rPr>
          <w:rFonts w:ascii="Times New Roman" w:eastAsia="Times New Roman" w:hAnsi="Times New Roman" w:cs="Times New Roman"/>
          <w:sz w:val="24"/>
          <w:szCs w:val="24"/>
          <w:lang w:eastAsia="hr-HR"/>
        </w:rPr>
        <w:t>pravilnika iz članka 99. stavka 6. ovoga Zakona, protivno članku 96. stavku 2. točki 3.</w:t>
      </w:r>
      <w:r w:rsidR="00C10AC0" w:rsidRPr="000479E9">
        <w:rPr>
          <w:rFonts w:ascii="Times New Roman" w:eastAsia="Times New Roman" w:hAnsi="Times New Roman"/>
          <w:sz w:val="24"/>
          <w:szCs w:val="24"/>
          <w:lang w:eastAsia="hr-HR"/>
        </w:rPr>
        <w:t xml:space="preserve"> ovoga Zakona</w:t>
      </w:r>
    </w:p>
    <w:p w14:paraId="4D6B3285" w14:textId="68040F8A" w:rsidR="00C10AC0" w:rsidRPr="000479E9" w:rsidRDefault="00710816">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18</w:t>
      </w:r>
      <w:r w:rsidR="00C10AC0" w:rsidRPr="000479E9">
        <w:rPr>
          <w:rFonts w:ascii="Times New Roman" w:eastAsia="Times New Roman" w:hAnsi="Times New Roman"/>
          <w:sz w:val="24"/>
          <w:szCs w:val="24"/>
          <w:lang w:eastAsia="hr-HR"/>
        </w:rPr>
        <w:t>. kao investicijsko društvo, kreditna institucija, društvo za upravljanje ili tržišni posrednik učestalo ne izvještava ili učestalo manjkavo izvještava klijente o pruženim uslugama na način propisan člancima 59. do 63. Delegirane uredbe (EU) br. 2017/565, u skladu s člankom 111. stavkom 1. ovoga Zakona</w:t>
      </w:r>
    </w:p>
    <w:p w14:paraId="247DF3E1" w14:textId="5197CFF9"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19</w:t>
      </w:r>
      <w:r w:rsidR="00C10AC0" w:rsidRPr="000479E9">
        <w:rPr>
          <w:rFonts w:ascii="Times New Roman" w:eastAsia="Times New Roman" w:hAnsi="Times New Roman"/>
          <w:sz w:val="24"/>
          <w:szCs w:val="24"/>
          <w:lang w:eastAsia="hr-HR"/>
        </w:rPr>
        <w:t>. kao investicijsko društvo ili kreditna institucija koja prenosi upute u smislu članka 118. stavka 2. ovoga Zakona na bilo koji način prenese odgovornost za cjelovitost i točnost podataka ili za primjerenost preporuka ili savjeta na drugu osobu, u skladu s člankom 118. stavkom 2. ovoga Zakona</w:t>
      </w:r>
    </w:p>
    <w:p w14:paraId="0F01D73B" w14:textId="48126BD5"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710816"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kao investicijsko društvo ili kreditna institucija koja primi upute ili nalog klijenta od drugog društva koje prenosi upute u smislu članka 118. stavka 2. ovoga Zakona na bilo koji način prenese odgovornost za zaključenje usluge ili transakcije, u skladu s člankom 118. stavkom 3. ovoga Zakona</w:t>
      </w:r>
    </w:p>
    <w:p w14:paraId="490872D7" w14:textId="05BFA532"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710816"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kao investicijsko društvo ili kreditna institucija ne procjenjuje redovito osiguravaju li mjesta izvršenja uključena u politiku izvršavanja naloga postizanje najpovoljnijeg ishoda za klijenta ili je potrebno izmijeniti mjere izvršavanja naloga, u skladu s člankom 125. stavkom 2. ovoga Zakona</w:t>
      </w:r>
    </w:p>
    <w:p w14:paraId="642A86E2" w14:textId="24312856"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710816"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kao investicijsko društvo ili kreditna institucija koja izvršava naloge klijenata učestalo nije u mogućnosti predočiti klijentima podatke koji dokazuju da je pojedini nalog u skladu s politikom izvršavanja naloga, u skladu s člankom 125. stavkom 4. ovoga Zakona</w:t>
      </w:r>
    </w:p>
    <w:p w14:paraId="4E8571B4" w14:textId="0CE5356D"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710816"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kao investicijsko društvo, kreditna institucija ili društvo za upravljanje koje je imenovalo vezanog zastupnika na bilo koji način pokuša prenijeti odgovornost za radnje i/ili propuste vezanog zastupnika kada on djeluje za račun investicijskog društva na vezanog zastupnika, suprotno zabrani iz članka 128. stavka 1. ovoga Zakona</w:t>
      </w:r>
    </w:p>
    <w:p w14:paraId="7067EBEA" w14:textId="503F4354"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710816"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kao investicijsko društvo, kreditna institucija ili društvo za upravljanje koje je imenovalo vezanog zastupnika nije poduzela odgovarajuće mjere kako bi se izbjeglo da se poslovi vezanog zastupnika izvan područja primjene ovoga Zakona negativno odražavaju na poslove koje vezani zastupnik poduzima za račun investicijskog društva, u skladu s člankom 128. stavkom 2. točkom 3. ovoga Zakona</w:t>
      </w:r>
    </w:p>
    <w:p w14:paraId="5DD274EE" w14:textId="2606D83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710816"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kao investicijsko društvo ili kreditna institucija ne poduzima razumne korake kako bi provjerila potpunost, točnost i pravodobnost izvješća o transakcijama koja su podnesena Agenciji u njezino ime, sukladno članku 26. stavku 7. četvrtom podstavku Uredbe (EU) br. 600/2014</w:t>
      </w:r>
    </w:p>
    <w:p w14:paraId="6DDCB14A" w14:textId="6FA182A1"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710816" w:rsidRPr="000479E9">
        <w:rPr>
          <w:rFonts w:ascii="Times New Roman" w:eastAsia="Times New Roman" w:hAnsi="Times New Roman"/>
          <w:sz w:val="24"/>
          <w:szCs w:val="24"/>
          <w:lang w:eastAsia="hr-HR"/>
        </w:rPr>
        <w:t>6</w:t>
      </w:r>
      <w:r w:rsidR="00C10AC0" w:rsidRPr="000479E9">
        <w:rPr>
          <w:rFonts w:ascii="Times New Roman" w:eastAsia="Times New Roman" w:hAnsi="Times New Roman"/>
          <w:sz w:val="24"/>
          <w:szCs w:val="24"/>
          <w:lang w:eastAsia="hr-HR"/>
        </w:rPr>
        <w:t>. kao burza ne obavijesti Agenciju o svim značajnim promjenama uvjeta pod kojim je odobrenje za rad izdano, u skladu s člankom 295. stavkom 1. ovoga Zakona</w:t>
      </w:r>
    </w:p>
    <w:p w14:paraId="468A5420" w14:textId="221D53B9"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27</w:t>
      </w:r>
      <w:r w:rsidR="0083545D" w:rsidRPr="000479E9">
        <w:rPr>
          <w:rFonts w:ascii="Times New Roman" w:eastAsia="Times New Roman" w:hAnsi="Times New Roman"/>
          <w:sz w:val="24"/>
          <w:szCs w:val="24"/>
          <w:lang w:eastAsia="hr-HR"/>
        </w:rPr>
        <w:t>.</w:t>
      </w:r>
      <w:r w:rsidR="00C10AC0" w:rsidRPr="000479E9">
        <w:rPr>
          <w:rFonts w:ascii="Times New Roman" w:eastAsia="Times New Roman" w:hAnsi="Times New Roman"/>
          <w:sz w:val="24"/>
          <w:szCs w:val="24"/>
          <w:lang w:eastAsia="hr-HR"/>
        </w:rPr>
        <w:t xml:space="preserve"> kao burza nije osigurala da članovi uprave burze </w:t>
      </w:r>
      <w:r w:rsidR="003413FA" w:rsidRPr="000479E9">
        <w:rPr>
          <w:rFonts w:ascii="Times New Roman" w:eastAsia="Times New Roman" w:hAnsi="Times New Roman"/>
          <w:sz w:val="24"/>
          <w:szCs w:val="24"/>
          <w:lang w:eastAsia="hr-HR"/>
        </w:rPr>
        <w:t>i</w:t>
      </w:r>
      <w:r w:rsidR="00C10AC0" w:rsidRPr="000479E9">
        <w:rPr>
          <w:rFonts w:ascii="Times New Roman" w:eastAsia="Times New Roman" w:hAnsi="Times New Roman"/>
          <w:sz w:val="24"/>
          <w:szCs w:val="24"/>
          <w:lang w:eastAsia="hr-HR"/>
        </w:rPr>
        <w:t>maju stručna znanja i/ili sposobnosti i/ili iskustvo u skladu s člankom 288. stavkom 3. ovoga Zakona</w:t>
      </w:r>
    </w:p>
    <w:p w14:paraId="43CA2D5C" w14:textId="5A55B6C1"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28</w:t>
      </w:r>
      <w:r w:rsidR="00C10AC0" w:rsidRPr="000479E9">
        <w:rPr>
          <w:rFonts w:ascii="Times New Roman" w:eastAsia="Times New Roman" w:hAnsi="Times New Roman"/>
          <w:sz w:val="24"/>
          <w:szCs w:val="24"/>
          <w:lang w:eastAsia="hr-HR"/>
        </w:rPr>
        <w:t>. kao burza nije osigurala da članovi nadzornog odbora burze zajednički imaju stručna znanja, sposobnosti i iskustvo potrebno za neovisno i samostalno nadziranje poslova burze kako je propisano člankom 289. stavkom 2. ovoga Zakona</w:t>
      </w:r>
    </w:p>
    <w:p w14:paraId="3E3B052E" w14:textId="2E92F34B"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29</w:t>
      </w:r>
      <w:r w:rsidR="00C10AC0" w:rsidRPr="000479E9">
        <w:rPr>
          <w:rFonts w:ascii="Times New Roman" w:eastAsia="Times New Roman" w:hAnsi="Times New Roman"/>
          <w:sz w:val="24"/>
          <w:szCs w:val="24"/>
          <w:lang w:eastAsia="hr-HR"/>
        </w:rPr>
        <w:t>. je član uprave burze ujedno i član uprave, nadzornog odbora odnosno izvršni ili neizvršni direktor u drugom pravnom subjektu, a to mu ne omogućuju pojedinačne okolnosti i priroda, opseg i složenost aktivnosti koje izvršava kao član uprave burze sukladno članku 288. stavku 10. ovoga Zakona</w:t>
      </w:r>
    </w:p>
    <w:p w14:paraId="7942789E" w14:textId="5E986AFA"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30</w:t>
      </w:r>
      <w:r w:rsidR="00C10AC0" w:rsidRPr="000479E9">
        <w:rPr>
          <w:rFonts w:ascii="Times New Roman" w:eastAsia="Times New Roman" w:hAnsi="Times New Roman"/>
          <w:sz w:val="24"/>
          <w:szCs w:val="24"/>
          <w:lang w:eastAsia="hr-HR"/>
        </w:rPr>
        <w:t>. kao burza nije uložila odgovarajuće ljudske i financijske resurse u obuku i osposobljavanje članova uprave sukladno članku 288. stavku 14. ovoga Zakona</w:t>
      </w:r>
    </w:p>
    <w:p w14:paraId="061A4D79" w14:textId="59EF0463"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710816"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kao burza nije osigurala da zahtjev za izdavanje suglasnosti iz članka 291. stavka 1. ovoga Zakona bude podnesen najmanje tri mjeseca prije isteka mandata pojedinom članu uprave u skladu s člankom 291. stavkom </w:t>
      </w:r>
      <w:r w:rsidR="003413FA"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ovoga Zakona</w:t>
      </w:r>
    </w:p>
    <w:p w14:paraId="3A1AC90A" w14:textId="4188387C"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710816"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kao burza nije uspostavila, provodila, održavala te redovito ažurirala, procjenjivala i nadzirala postupke odlučivanja i organizacijsku strukturu u kojima se jasno i na dokumentirani način utvrđuju linije izvještavanja i dodjeljuju funkcije i nadležnosti burze sukladno odredbi članka 296. stavka 1. ovoga Zakona</w:t>
      </w:r>
    </w:p>
    <w:p w14:paraId="309F534F" w14:textId="21EBC3D1"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710816"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kao burza nije uspostavila ili primjenjivala mjere pomoću kojih se jasno uočavaju i prevladavaju potencijalne negativne posljedice sukoba interesa na poslovanje uređenog tržišta ili njegove članove ili sudionike, sukladno odredbama članka 296. stavka 1. točaka 9. i 10. ovoga Zakona</w:t>
      </w:r>
    </w:p>
    <w:p w14:paraId="6B4BCCE5" w14:textId="6CC3E970"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710816"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kao burza nije uspostavila ili primjenjivala sveobuhvatan i učinkovit sustav upravljanja rizicima u skladu s člankom 297. stavkom 2. ovoga Zakona</w:t>
      </w:r>
    </w:p>
    <w:p w14:paraId="56006D2B" w14:textId="32DF569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710816"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kao burza ili operater MTP-a ili operater OTP-a nije postupila u slučaju značajnog kretanja cijena financijskog instrumenta sukladno članku 299. stavku 2. ovoga Zakona</w:t>
      </w:r>
    </w:p>
    <w:p w14:paraId="6968EDC0" w14:textId="3D099DB9"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710816" w:rsidRPr="000479E9">
        <w:rPr>
          <w:rFonts w:ascii="Times New Roman" w:eastAsia="Times New Roman" w:hAnsi="Times New Roman"/>
          <w:sz w:val="24"/>
          <w:szCs w:val="24"/>
          <w:lang w:eastAsia="hr-HR"/>
        </w:rPr>
        <w:t>6</w:t>
      </w:r>
      <w:r w:rsidR="00C10AC0" w:rsidRPr="000479E9">
        <w:rPr>
          <w:rFonts w:ascii="Times New Roman" w:eastAsia="Times New Roman" w:hAnsi="Times New Roman"/>
          <w:sz w:val="24"/>
          <w:szCs w:val="24"/>
          <w:lang w:eastAsia="hr-HR"/>
        </w:rPr>
        <w:t>. kao burza ili operater MTP-a ili operater OTP-a nije obavijestila Agenciju o parametrima za zaustavljanje trgovanja, na način i u roku sukladno članku 299. stavku 4. ovoga Zakona</w:t>
      </w:r>
    </w:p>
    <w:p w14:paraId="7975C480" w14:textId="34F484E5"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710816" w:rsidRPr="000479E9">
        <w:rPr>
          <w:rFonts w:ascii="Times New Roman" w:eastAsia="Times New Roman" w:hAnsi="Times New Roman"/>
          <w:sz w:val="24"/>
          <w:szCs w:val="24"/>
          <w:lang w:eastAsia="hr-HR"/>
        </w:rPr>
        <w:t>7</w:t>
      </w:r>
      <w:r w:rsidR="00C10AC0" w:rsidRPr="000479E9">
        <w:rPr>
          <w:rFonts w:ascii="Times New Roman" w:eastAsia="Times New Roman" w:hAnsi="Times New Roman"/>
          <w:sz w:val="24"/>
          <w:szCs w:val="24"/>
          <w:lang w:eastAsia="hr-HR"/>
        </w:rPr>
        <w:t>. kao burza ili operater MTP-a ili operater OTP-a nije uspostavila pisane sporazume sa svim investicijskim društvima koja provode strategiju održavanja likvidnosti, sukladno članku 300. stavku 1. ovoga Zakona i odredbama Delegirane uredbe (EU) br. 2017/578</w:t>
      </w:r>
    </w:p>
    <w:p w14:paraId="360055F7" w14:textId="0F0E1E16"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38</w:t>
      </w:r>
      <w:r w:rsidR="00C10AC0" w:rsidRPr="000479E9">
        <w:rPr>
          <w:rFonts w:ascii="Times New Roman" w:eastAsia="Times New Roman" w:hAnsi="Times New Roman"/>
          <w:sz w:val="24"/>
          <w:szCs w:val="24"/>
          <w:lang w:eastAsia="hr-HR"/>
        </w:rPr>
        <w:t>. kao burza ili operater MTP-a ili operater OTP-a nije uspostavila planove koji osiguravaju da dovoljan broj investicijskih društava sudjeluje u sporazumima iz članka 300. stavka 1. ovoga Zakona, a sukladno članku 300. stavku 2. ovoga Zakona i Delegiranoj uredbi (EU) br. 2017/578</w:t>
      </w:r>
    </w:p>
    <w:p w14:paraId="45EEBB1F" w14:textId="6E2C9379"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39</w:t>
      </w:r>
      <w:r w:rsidR="00C10AC0" w:rsidRPr="000479E9">
        <w:rPr>
          <w:rFonts w:ascii="Times New Roman" w:eastAsia="Times New Roman" w:hAnsi="Times New Roman"/>
          <w:sz w:val="24"/>
          <w:szCs w:val="24"/>
          <w:lang w:eastAsia="hr-HR"/>
        </w:rPr>
        <w:t>. kao burza ili operater MTP-a ili operater OTP-a nije nadzirala provođenje ili sama nije provodila sporazume iz članka 300. stavka 1. ovoga Zakona, sukladno članku 300. stavku 4. ovoga Zakona</w:t>
      </w:r>
    </w:p>
    <w:p w14:paraId="728D7EA8" w14:textId="28B015C4"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40</w:t>
      </w:r>
      <w:r w:rsidR="00C10AC0" w:rsidRPr="000479E9">
        <w:rPr>
          <w:rFonts w:ascii="Times New Roman" w:eastAsia="Times New Roman" w:hAnsi="Times New Roman"/>
          <w:sz w:val="24"/>
          <w:szCs w:val="24"/>
          <w:lang w:eastAsia="hr-HR"/>
        </w:rPr>
        <w:t>. kao burza ili operater MTP-a ili operater OTP-a nema mogućnost identificiranja naloga koje generira algoritamsko trgovanje ili različitih algoritama koji se koriste za stvaranje naloga ili relevantnih osoba koje pokreću te naloge, sukladno odredbama članka 301. stavka 4. ovoga Zakona i odredbi Delegirane uredbe (EU) br. 2017/566</w:t>
      </w:r>
    </w:p>
    <w:p w14:paraId="3940F089" w14:textId="063FD50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710816"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kao burza ili operater MTP-a ili operater OTP-a nije uspostavila standarde u pogledu kontrola rizika i pragova trgovanja i razvila mogućnosti kako razlikovanja tako i prekida naloga ili trgovanja osobe koje koristi izravan elektronički pristup, sukladno članku 302. stavku 2. ovoga Zakona</w:t>
      </w:r>
    </w:p>
    <w:p w14:paraId="0B589B34" w14:textId="59DC1255"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710816"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nema usklađene satove poslovanja u skladu s člankom 22.c Uredbe (EU) br. 600/2014</w:t>
      </w:r>
    </w:p>
    <w:p w14:paraId="6146CECA" w14:textId="35DD183B"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710816"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kao burza, nije osigurala Pravilima uređenog tržišta da se svim financijskim instrumentima uvrštenim za trgovanje na uređenom tržištu trguje korektno, uredno i djelotvorno, protivno članku 320. stavku 2. i stavku 4. ovoga Zakona i odredbama Delegirane uredbe Komisije (EU) br. 2017/568</w:t>
      </w:r>
      <w:r w:rsidR="003413FA" w:rsidRPr="000479E9">
        <w:rPr>
          <w:rFonts w:ascii="Times New Roman" w:eastAsia="Times New Roman" w:hAnsi="Times New Roman"/>
          <w:sz w:val="24"/>
          <w:szCs w:val="24"/>
          <w:lang w:eastAsia="hr-HR"/>
        </w:rPr>
        <w:t xml:space="preserve"> </w:t>
      </w:r>
    </w:p>
    <w:p w14:paraId="7477FE5C" w14:textId="7DF760F4"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710816"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kao burza ili operater MTP-a ili operater OTP-a o svojoj odluci iz članka 340. stavka 2. ne obavijesti javnost ili Agenciju na način kako je propisano člankom 340. stavkom 3. ovoga Zakona</w:t>
      </w:r>
    </w:p>
    <w:p w14:paraId="3A660D9A" w14:textId="164F6276"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710816" w:rsidRPr="000479E9">
        <w:rPr>
          <w:rFonts w:ascii="Times New Roman" w:eastAsia="Times New Roman" w:hAnsi="Times New Roman"/>
          <w:sz w:val="24"/>
          <w:szCs w:val="24"/>
          <w:lang w:eastAsia="hr-HR"/>
        </w:rPr>
        <w:t>5</w:t>
      </w:r>
      <w:r w:rsidR="00C10AC0" w:rsidRPr="000479E9">
        <w:rPr>
          <w:rFonts w:ascii="Times New Roman" w:eastAsia="Times New Roman" w:hAnsi="Times New Roman"/>
          <w:sz w:val="24"/>
          <w:szCs w:val="24"/>
          <w:lang w:eastAsia="hr-HR"/>
        </w:rPr>
        <w:t>. kao burza nije o namjeri omogućavanja udaljenog pristupa uređenom tržištu kojim upravlja obavijestila Agenciju, sukladno članku 318. stavku 1. ovoga Zakona</w:t>
      </w:r>
    </w:p>
    <w:p w14:paraId="7824A249" w14:textId="7E80F90B"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710816" w:rsidRPr="000479E9">
        <w:rPr>
          <w:rFonts w:ascii="Times New Roman" w:eastAsia="Times New Roman" w:hAnsi="Times New Roman"/>
          <w:sz w:val="24"/>
          <w:szCs w:val="24"/>
          <w:lang w:eastAsia="hr-HR"/>
        </w:rPr>
        <w:t>6</w:t>
      </w:r>
      <w:r w:rsidR="00C10AC0" w:rsidRPr="000479E9">
        <w:rPr>
          <w:rFonts w:ascii="Times New Roman" w:eastAsia="Times New Roman" w:hAnsi="Times New Roman"/>
          <w:sz w:val="24"/>
          <w:szCs w:val="24"/>
          <w:lang w:eastAsia="hr-HR"/>
        </w:rPr>
        <w:t>. kao burza nije Agenciji dostavila redovito obnavljan popis članova uređenog tržišta, sukladno članku 313. stavku 3. ovoga Zakona</w:t>
      </w:r>
    </w:p>
    <w:p w14:paraId="3072C674" w14:textId="34DF1355"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710816" w:rsidRPr="000479E9">
        <w:rPr>
          <w:rFonts w:ascii="Times New Roman" w:eastAsia="Times New Roman" w:hAnsi="Times New Roman"/>
          <w:sz w:val="24"/>
          <w:szCs w:val="24"/>
          <w:lang w:eastAsia="hr-HR"/>
        </w:rPr>
        <w:t>7.</w:t>
      </w:r>
      <w:r w:rsidR="00C10AC0" w:rsidRPr="000479E9">
        <w:rPr>
          <w:rFonts w:ascii="Times New Roman" w:eastAsia="Times New Roman" w:hAnsi="Times New Roman"/>
          <w:sz w:val="24"/>
          <w:szCs w:val="24"/>
          <w:lang w:eastAsia="hr-HR"/>
        </w:rPr>
        <w:t xml:space="preserve"> kao burza nije uspostavila ili održavala postupke i mjere za praćenje poštivanja pravila uređenog tržišta sukladno članku 316. stavku 1. ovog Zakona</w:t>
      </w:r>
    </w:p>
    <w:p w14:paraId="3E341467" w14:textId="1F46E024"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48</w:t>
      </w:r>
      <w:r w:rsidR="00C10AC0" w:rsidRPr="000479E9">
        <w:rPr>
          <w:rFonts w:ascii="Times New Roman" w:eastAsia="Times New Roman" w:hAnsi="Times New Roman"/>
          <w:sz w:val="24"/>
          <w:szCs w:val="24"/>
          <w:lang w:eastAsia="hr-HR"/>
        </w:rPr>
        <w:t>. kao operater MTP-a ili OTP-a ne dostavi Agenciji bez odgode informacije o svim promjenama podataka iz članka 348. stavka 1. ovoga Zakona, sukladno članku 348. stavku 3. ovoga Zakona</w:t>
      </w:r>
    </w:p>
    <w:p w14:paraId="6EFF7919" w14:textId="24F112BD"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49</w:t>
      </w:r>
      <w:r w:rsidR="00C10AC0" w:rsidRPr="000479E9">
        <w:rPr>
          <w:rFonts w:ascii="Times New Roman" w:eastAsia="Times New Roman" w:hAnsi="Times New Roman"/>
          <w:sz w:val="24"/>
          <w:szCs w:val="24"/>
          <w:lang w:eastAsia="hr-HR"/>
        </w:rPr>
        <w:t>. kao operater MTP-a ili OTP-a nije uspostavila ili održavala djelotvorne mjere i postupke koji omogućuju praćenje usklađenosti članova s pravilima MTP-a ili OTP-a, sukladno članku 347. stavku 1. ovoga Zakona</w:t>
      </w:r>
    </w:p>
    <w:p w14:paraId="59D5B170" w14:textId="4F68A8B6"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710816"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kao operater MTP-a ili OTP-a nije koristila potrebne resurse kako bi osigurala da je praćenje iz članka 347. stavka 2. ovoga Zakona učinkovito, sukladno članku 347. stavku 3. ovoga Zakona</w:t>
      </w:r>
    </w:p>
    <w:p w14:paraId="7604EB2D" w14:textId="7D1D35F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710816"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kao operater MTP-a s obzirom na pristup trgovini na MTP-u nije na odgovarajući način primjenjivala odredbe članaka 313., 314. ili 315. ovoga Zakona, sukladno članku 349. stavku 2. ovoga Zakona</w:t>
      </w:r>
    </w:p>
    <w:p w14:paraId="35BF2737" w14:textId="64AC3B7D"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710816"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kao operater MTP-a nije s obzirom na rizike kojima je izložena na odgovarajući način primjenjivala odredbe članka 297. ovoga Zakona, sukladno članku 349. stavku 5. ovoga Zakona</w:t>
      </w:r>
    </w:p>
    <w:p w14:paraId="01504B37" w14:textId="3E7326DE"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710816"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je kao operater OTP-a trgovala za vlastiti račun bez uparivanja naloga državnim dužničkim vrijednosnim papirima za koje postoji likvidno tržište sukladno odredbama Delegirane uredbe (EU) br. 2017/583, sukladno članku 350. stavku 7. ovoga Zakona</w:t>
      </w:r>
    </w:p>
    <w:p w14:paraId="0062357B" w14:textId="62A6E12C"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5</w:t>
      </w:r>
      <w:r w:rsidR="00710816"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je kao operater OTP-a angažirala investicijsko društvo za provođenje strategije održavanja tržišta na osnovi koja nije neovisna ili je to investicijsko društvo usko povezano s operaterom OTP-a, sukladno članku 350. stavku 6. ovoga Zakona</w:t>
      </w:r>
    </w:p>
    <w:p w14:paraId="52AA6183" w14:textId="37193C9C"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710816" w:rsidRPr="000479E9">
        <w:rPr>
          <w:rFonts w:ascii="Times New Roman" w:eastAsia="Times New Roman" w:hAnsi="Times New Roman"/>
          <w:sz w:val="24"/>
          <w:szCs w:val="24"/>
          <w:lang w:eastAsia="hr-HR"/>
        </w:rPr>
        <w:t>5</w:t>
      </w:r>
      <w:r w:rsidR="00C10AC0" w:rsidRPr="000479E9">
        <w:rPr>
          <w:rFonts w:ascii="Times New Roman" w:eastAsia="Times New Roman" w:hAnsi="Times New Roman"/>
          <w:sz w:val="24"/>
          <w:szCs w:val="24"/>
          <w:lang w:eastAsia="hr-HR"/>
        </w:rPr>
        <w:t>. kao operater OTP-a nije osigurala da se izvršavanje naloga na OTP-u provodi na diskrecijskoj osnovi, sukladno članku 350. stavku 9. ovoga Zakona</w:t>
      </w:r>
    </w:p>
    <w:p w14:paraId="6D6BBBE9" w14:textId="5E370E87"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710816" w:rsidRPr="000479E9">
        <w:rPr>
          <w:rFonts w:ascii="Times New Roman" w:eastAsia="Times New Roman" w:hAnsi="Times New Roman"/>
          <w:sz w:val="24"/>
          <w:szCs w:val="24"/>
          <w:lang w:eastAsia="hr-HR"/>
        </w:rPr>
        <w:t>6</w:t>
      </w:r>
      <w:r w:rsidR="00C10AC0" w:rsidRPr="000479E9">
        <w:rPr>
          <w:rFonts w:ascii="Times New Roman" w:eastAsia="Times New Roman" w:hAnsi="Times New Roman"/>
          <w:sz w:val="24"/>
          <w:szCs w:val="24"/>
          <w:lang w:eastAsia="hr-HR"/>
        </w:rPr>
        <w:t>. kao operater OTP-a prilikom olakšavanja pregovora iz članka 350. stavka 11. ovoga Zakona nije postupala u skladu s člankom 350. stavcima 1. do 6. ili 8. ovoga Zakona, sukladno članku 350. stavku 12. ovoga Zakona</w:t>
      </w:r>
    </w:p>
    <w:p w14:paraId="5914BB80" w14:textId="0135336E" w:rsidR="00C10AC0" w:rsidRPr="000479E9" w:rsidRDefault="0083545D"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710816" w:rsidRPr="000479E9">
        <w:rPr>
          <w:rFonts w:ascii="Times New Roman" w:eastAsia="Times New Roman" w:hAnsi="Times New Roman"/>
          <w:sz w:val="24"/>
          <w:szCs w:val="24"/>
          <w:lang w:eastAsia="hr-HR"/>
        </w:rPr>
        <w:t>7</w:t>
      </w:r>
      <w:r w:rsidR="00C10AC0" w:rsidRPr="000479E9">
        <w:rPr>
          <w:rFonts w:ascii="Times New Roman" w:eastAsia="Times New Roman" w:hAnsi="Times New Roman"/>
          <w:sz w:val="24"/>
          <w:szCs w:val="24"/>
          <w:lang w:eastAsia="hr-HR"/>
        </w:rPr>
        <w:t>. kao operater OTP-a nije Agenciju bez odgode obavijestila o svakoj značajnoj izmjeni podataka iz članka 350. stavka 13. ovoga Zakona, u skladu s člankom 350. stavkom 14. ovoga Zakona</w:t>
      </w:r>
    </w:p>
    <w:p w14:paraId="0B6A0009" w14:textId="0D3539DC"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58</w:t>
      </w:r>
      <w:r w:rsidR="00C10AC0" w:rsidRPr="000479E9">
        <w:rPr>
          <w:rFonts w:ascii="Times New Roman" w:eastAsia="Times New Roman" w:hAnsi="Times New Roman"/>
          <w:sz w:val="24"/>
          <w:szCs w:val="24"/>
          <w:lang w:eastAsia="hr-HR"/>
        </w:rPr>
        <w:t>. kao operater MTP-a koji je registrirao MTP kao rastuće tržište malih i srednjih poduzeća nije uspostavila ili primjenjivala jasna pravila, sustave ili postupke kojima se osigurava ispunjenje zahtjeva da najmanje 50 % izdavatelja čijim se financijskim instrumentima može trgovati na MTP-u moraju biti mala ili srednja poduzeća u vrijeme kada Agencija donese rješenje kojim se odobrava registracija MTP-a kao rastućeg tržišta malih i srednjih poduzeća te u svakoj kalendarskoj godini nakon toga, sukladno članku 352. stavku 3. točki 1. ovoga Zakona</w:t>
      </w:r>
    </w:p>
    <w:p w14:paraId="7C900746" w14:textId="739AB339" w:rsidR="00C10AC0" w:rsidRPr="000479E9" w:rsidRDefault="00710816"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59</w:t>
      </w:r>
      <w:r w:rsidR="00C10AC0" w:rsidRPr="000479E9">
        <w:rPr>
          <w:rFonts w:ascii="Times New Roman" w:eastAsia="Times New Roman" w:hAnsi="Times New Roman"/>
          <w:sz w:val="24"/>
          <w:szCs w:val="24"/>
          <w:lang w:eastAsia="hr-HR"/>
        </w:rPr>
        <w:t>. kao operater MTP-a koji je registrirao MTP kao rastuće tržište malih i srednjih poduzeća nije uspostavila ili primjenjivala jasna pravila, sustave ili postupke kojima se osigurava ispunjenje zahtjeva za prvobitno i za daljnje primanje financijskih instrumenata izdavatelja u trgovinu na tom MTP-u, sukladno članku 352. stavku 3. točki 2. ovoga Zakona</w:t>
      </w:r>
    </w:p>
    <w:p w14:paraId="3C73F680" w14:textId="10DA889F"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710816"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kao operater MTP-a koji je registrirao MTP kao rastuće tržište malih i srednjih poduzeća nije uspostavila ili primjenjivala jasna pravila, sustave ili postupke kojima se osigurava ispunjenje zahtjeva da izdavatelji čiji su financijski instrumenti primljeni u trgovinu na MTP-u moraju, sami ili putem druge osobe koja djeluje za njihov račun, objavljivati godišnje financijske izvještaje u roku od šest mjeseci po završetku svake financijske godine te polugodišnje financijske izvještaje u roku od četiri mjeseca po završetku prvog polugodišta svake financijske godine, sukladno članku 352. stavku 3. točki 4. ovoga Zakona</w:t>
      </w:r>
    </w:p>
    <w:p w14:paraId="47C45FE5" w14:textId="2AB7F96E"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710816"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kao pružatelj usluga dostave podataka, investicijsko društvo, kreditna institucija ili tržišni operater koje je APA koji je dobio odobrenje sukladno odredbama ovoga Zakona ne objavi podatke propisane člancima 20. i 21. Uredbe (EU) br. 600/2014 pod razumnim tržišnim uvjetima u skladu s člankom 27.g stavkom 1. Uredbe (EU) br. 600/2014</w:t>
      </w:r>
    </w:p>
    <w:p w14:paraId="539FB466" w14:textId="6EE8B73E"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710816"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kao pružatelj usluga dostave podataka, investicijsko društvo, kreditna institucija ili tržišni operater koje je APA koji je dobio odobrenje sukladno odredbama ovoga Zakona ne distribuira podatke propisane člancima 20. i 21. Uredbe (EU) br. 600/2014 na način koji osigurava brz pristup podacima na nediskriminirajućoj osnovi i u formatu koji olakšava konsolidiranje podataka sa sličnim podacima iz drugih izvora, u skladu s člankom 27.g stavkom 1. Uredbe (EU) br. 600/2014</w:t>
      </w:r>
    </w:p>
    <w:p w14:paraId="30D88F96" w14:textId="70CAADE5"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6</w:t>
      </w:r>
      <w:r w:rsidR="00710816"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kao pružatelj usluga dostave podataka, investicijsko društvo, kreditna institucija ili tržišni operater koje je APA koji je dobio odobrenje sukladno odredbama ovoga Zakona ne održava mehanizme koji osiguravaju da su usluge APA-e razdvojene od ostalih poslovnih funkcija u skladu s člankom 27.g stavkom 3. Uredbe (EU) br. 600/2014</w:t>
      </w:r>
    </w:p>
    <w:p w14:paraId="7F0941DC" w14:textId="2A7E2B72"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710816"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kao pružatelj usluga dostave podataka, investicijsko društvo, kreditna institucija ili tržišni operater koje je ARM, koji je dobio odobrenje sukladno odredbama ovoga Zakona, ne održava mehanizme koji osiguravaju da su usluge ARM-a razdvojene od ostalih poslovnih funkcija u skladu s člankom 27.i stavkom 2. Uredbe (EU) br. 600/2014.</w:t>
      </w:r>
    </w:p>
    <w:p w14:paraId="5D1E1DAB" w14:textId="569E2D3B"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AC0CE7"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Iznimno od stavka 1. ovoga članka, ako je pravna osoba prekršajem iz stavka 3. ovoga članka ostvarila korist ili spriječila gubitak, a iznos tako ostvarene koristi ili spriječenog gubitka moguće je utvrditi, kaznit će se za prekršaj novčanom kaznom u iznosu dvostruko utvrđenog iznosa tako ostvarene koristi odnosno tako spriječenog gubitka, ako je taj iznos veći od propisanog najvećeg iznosa novčane kazne iz stavaka 1. ovoga članka.</w:t>
      </w:r>
    </w:p>
    <w:p w14:paraId="67650954" w14:textId="28F1A011"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272894">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Za prekršaje iz stavka 3. ovoga članka kaznit će se i odgovorna osoba pravne osobe novčanom kaznom u iznosu od 10.000,00 do 70.000,00 eura.“</w:t>
      </w:r>
      <w:r w:rsidR="0005762C" w:rsidRPr="000479E9">
        <w:rPr>
          <w:rFonts w:ascii="Times New Roman" w:eastAsia="Times New Roman" w:hAnsi="Times New Roman"/>
          <w:sz w:val="24"/>
          <w:szCs w:val="24"/>
          <w:lang w:eastAsia="hr-HR"/>
        </w:rPr>
        <w:t>.</w:t>
      </w:r>
    </w:p>
    <w:p w14:paraId="0E6027CA"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3C56C89" w14:textId="7A681183" w:rsidR="00C10AC0" w:rsidRPr="000479E9" w:rsidRDefault="00C10AC0"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5B79E9" w:rsidRPr="000479E9">
        <w:rPr>
          <w:rFonts w:ascii="Times New Roman" w:eastAsia="Times New Roman" w:hAnsi="Times New Roman" w:cs="Times New Roman"/>
          <w:b/>
          <w:bCs/>
          <w:sz w:val="24"/>
          <w:szCs w:val="24"/>
          <w:lang w:eastAsia="hr-HR"/>
        </w:rPr>
        <w:t>94</w:t>
      </w:r>
      <w:r w:rsidRPr="000479E9">
        <w:rPr>
          <w:rFonts w:ascii="Times New Roman" w:eastAsia="Times New Roman" w:hAnsi="Times New Roman" w:cs="Times New Roman"/>
          <w:b/>
          <w:bCs/>
          <w:sz w:val="24"/>
          <w:szCs w:val="24"/>
          <w:lang w:eastAsia="hr-HR"/>
        </w:rPr>
        <w:t xml:space="preserve">. </w:t>
      </w:r>
    </w:p>
    <w:p w14:paraId="37D0CA26" w14:textId="77777777" w:rsidR="00C10AC0" w:rsidRPr="000479E9" w:rsidRDefault="00C10AC0" w:rsidP="00C10AC0">
      <w:pPr>
        <w:spacing w:after="0" w:line="240" w:lineRule="auto"/>
        <w:rPr>
          <w:rFonts w:ascii="Times New Roman" w:eastAsia="Times New Roman" w:hAnsi="Times New Roman" w:cs="Times New Roman"/>
          <w:b/>
          <w:bCs/>
          <w:sz w:val="24"/>
          <w:szCs w:val="24"/>
          <w:lang w:eastAsia="hr-HR"/>
        </w:rPr>
      </w:pPr>
    </w:p>
    <w:p w14:paraId="6F986AFF" w14:textId="3D4C4736" w:rsidR="00C10AC0" w:rsidRPr="000479E9" w:rsidRDefault="00C10AC0" w:rsidP="00C10AC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članka 701. dodaju se naslov iznad članka i članak 701.a koji glase:</w:t>
      </w:r>
    </w:p>
    <w:p w14:paraId="2846AB56" w14:textId="77777777" w:rsidR="00C10AC0" w:rsidRPr="000479E9" w:rsidRDefault="00C10AC0" w:rsidP="00C10AC0">
      <w:pPr>
        <w:spacing w:after="0" w:line="240" w:lineRule="auto"/>
        <w:rPr>
          <w:rFonts w:ascii="Times New Roman" w:eastAsia="Times New Roman" w:hAnsi="Times New Roman" w:cs="Times New Roman"/>
          <w:sz w:val="24"/>
          <w:szCs w:val="24"/>
          <w:lang w:eastAsia="hr-HR"/>
        </w:rPr>
      </w:pPr>
    </w:p>
    <w:p w14:paraId="6B5AFF30" w14:textId="16E238E0" w:rsidR="00C10AC0" w:rsidRPr="000479E9" w:rsidRDefault="00C10AC0" w:rsidP="00C10AC0">
      <w:pPr>
        <w:spacing w:beforeLines="30" w:before="72" w:afterLines="30" w:after="72" w:line="240" w:lineRule="auto"/>
        <w:jc w:val="center"/>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„Ostali lakši prekršaji pravnih osoba</w:t>
      </w:r>
    </w:p>
    <w:p w14:paraId="1CFCCE80" w14:textId="7C3ADF2B" w:rsidR="00C10AC0" w:rsidRPr="000479E9" w:rsidRDefault="00C10AC0" w:rsidP="00C10AC0">
      <w:pPr>
        <w:spacing w:beforeLines="30" w:before="72" w:afterLines="30" w:after="72" w:line="240" w:lineRule="auto"/>
        <w:jc w:val="center"/>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Članak 701</w:t>
      </w:r>
      <w:r w:rsidR="00F443D2" w:rsidRPr="000479E9">
        <w:rPr>
          <w:rFonts w:ascii="Times New Roman" w:eastAsia="Times New Roman" w:hAnsi="Times New Roman"/>
          <w:sz w:val="24"/>
          <w:szCs w:val="24"/>
          <w:lang w:eastAsia="hr-HR"/>
        </w:rPr>
        <w:t>.</w:t>
      </w:r>
      <w:r w:rsidRPr="000479E9">
        <w:rPr>
          <w:rFonts w:ascii="Times New Roman" w:eastAsia="Times New Roman" w:hAnsi="Times New Roman"/>
          <w:sz w:val="24"/>
          <w:szCs w:val="24"/>
          <w:lang w:eastAsia="hr-HR"/>
        </w:rPr>
        <w:t>a</w:t>
      </w:r>
    </w:p>
    <w:p w14:paraId="298AB3EE" w14:textId="7718DDC8"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(1) Za prekršaj kod kojeg nije ispunjen jedan ili više uvjeta iz članka 701. </w:t>
      </w:r>
      <w:r w:rsidR="00000C1B" w:rsidRPr="000479E9">
        <w:rPr>
          <w:rFonts w:ascii="Times New Roman" w:eastAsia="Times New Roman" w:hAnsi="Times New Roman"/>
          <w:sz w:val="24"/>
          <w:szCs w:val="24"/>
          <w:lang w:eastAsia="hr-HR"/>
        </w:rPr>
        <w:t>s</w:t>
      </w:r>
      <w:r w:rsidRPr="000479E9">
        <w:rPr>
          <w:rFonts w:ascii="Times New Roman" w:eastAsia="Times New Roman" w:hAnsi="Times New Roman"/>
          <w:sz w:val="24"/>
          <w:szCs w:val="24"/>
          <w:lang w:eastAsia="hr-HR"/>
        </w:rPr>
        <w:t>tavka 2. ovoga Zakona, kaznit će se pravna osoba novčanom kaznom u iznosu od 2.000</w:t>
      </w:r>
      <w:r w:rsidR="00685A4A">
        <w:rPr>
          <w:rFonts w:ascii="Times New Roman" w:eastAsia="Times New Roman" w:hAnsi="Times New Roman"/>
          <w:sz w:val="24"/>
          <w:szCs w:val="24"/>
          <w:lang w:eastAsia="hr-HR"/>
        </w:rPr>
        <w:t>,00</w:t>
      </w:r>
      <w:r w:rsidRPr="000479E9">
        <w:rPr>
          <w:rFonts w:ascii="Times New Roman" w:eastAsia="Times New Roman" w:hAnsi="Times New Roman"/>
          <w:sz w:val="24"/>
          <w:szCs w:val="24"/>
          <w:lang w:eastAsia="hr-HR"/>
        </w:rPr>
        <w:t xml:space="preserve"> do 50.000</w:t>
      </w:r>
      <w:r w:rsidR="00685A4A">
        <w:rPr>
          <w:rFonts w:ascii="Times New Roman" w:eastAsia="Times New Roman" w:hAnsi="Times New Roman"/>
          <w:sz w:val="24"/>
          <w:szCs w:val="24"/>
          <w:lang w:eastAsia="hr-HR"/>
        </w:rPr>
        <w:t>,00</w:t>
      </w:r>
      <w:r w:rsidRPr="000479E9">
        <w:rPr>
          <w:rFonts w:ascii="Times New Roman" w:eastAsia="Times New Roman" w:hAnsi="Times New Roman"/>
          <w:sz w:val="24"/>
          <w:szCs w:val="24"/>
          <w:lang w:eastAsia="hr-HR"/>
        </w:rPr>
        <w:t xml:space="preserve"> eura, ako: </w:t>
      </w:r>
    </w:p>
    <w:p w14:paraId="49258A7A" w14:textId="77777777"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1. kao investicijsko društvo najkasnije do 31. ožujka tekuće godine Agenciji ne dostavi popis svih dioničara u skladu s člankom 16. stavkom 2. ovoga Zakona </w:t>
      </w:r>
    </w:p>
    <w:p w14:paraId="403E3C11" w14:textId="77777777"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kao investicijsko društvo, kreditna institucija ili društvo za upravljanje u pogledu organizacijskih uvjeta ne postupa u skladu s člankom 50. stavkom 1. ovoga Zakona </w:t>
      </w:r>
    </w:p>
    <w:p w14:paraId="2E933889" w14:textId="77777777"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3. kao investicijsko društvo, kreditna institucija ili društvo za upravljanje u pogledu organizacijskih uvjeta ne obavijesti Agenciju u skladu s člankom 50. stavkom 3. ovoga Zakona </w:t>
      </w:r>
    </w:p>
    <w:p w14:paraId="60ECA9DF" w14:textId="77777777"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4. kao investicijsko društvo, kreditna institucija ili društvo za upravljanje o izdvajanju ključnih operativnih funkcija iz članka 59. stavka 1. ovoga Zakona ne izvijesti Agenciju u skladu s člankom 59. stavkom 3. ili 4. ovoga Zakona </w:t>
      </w:r>
    </w:p>
    <w:p w14:paraId="723DC280" w14:textId="77777777"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5. kao investicijsko društvo, kreditna institucija ili društvo za upravljanje koje drži novčana sredstva i/ili financijske instrumente suprotno zabrani iz članka 80. stavka 3. ovoga Zakona sklopi ugovor o financijskom kolateralu s malim ulagateljem </w:t>
      </w:r>
    </w:p>
    <w:p w14:paraId="465B9752" w14:textId="0574C44E"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 xml:space="preserve">6. kao investicijsko društvo, kreditna institucija ili društvo za upravljanje drži financijske instrumente protivno članku 80. stavku </w:t>
      </w:r>
      <w:r w:rsidR="00786059"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xml:space="preserve">. ovoga Zakona </w:t>
      </w:r>
    </w:p>
    <w:p w14:paraId="31D7CF71" w14:textId="3E2117B7"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w:t>
      </w:r>
      <w:r w:rsidR="00C10AC0" w:rsidRPr="000479E9">
        <w:rPr>
          <w:rFonts w:ascii="Times New Roman" w:eastAsia="Times New Roman" w:hAnsi="Times New Roman"/>
          <w:sz w:val="24"/>
          <w:szCs w:val="24"/>
          <w:lang w:eastAsia="hr-HR"/>
        </w:rPr>
        <w:t xml:space="preserve">. kao investicijsko društvo ili kreditna institucija koja koristi algoritamsko trgovanje o činjenici da koristi algoritamsko trgovanje ne obavijesti Agenciju prije početka korištenja na pojedinom mjestu trgovanja u skladu s člankom 82. stavkom </w:t>
      </w:r>
      <w:r w:rsidR="00786059" w:rsidRPr="000479E9">
        <w:rPr>
          <w:rFonts w:ascii="Times New Roman" w:eastAsia="Times New Roman" w:hAnsi="Times New Roman"/>
          <w:sz w:val="24"/>
          <w:szCs w:val="24"/>
          <w:lang w:eastAsia="hr-HR"/>
        </w:rPr>
        <w:t>6</w:t>
      </w:r>
      <w:r w:rsidR="00C10AC0" w:rsidRPr="000479E9">
        <w:rPr>
          <w:rFonts w:ascii="Times New Roman" w:eastAsia="Times New Roman" w:hAnsi="Times New Roman"/>
          <w:sz w:val="24"/>
          <w:szCs w:val="24"/>
          <w:lang w:eastAsia="hr-HR"/>
        </w:rPr>
        <w:t xml:space="preserve">. ovoga Zakona </w:t>
      </w:r>
    </w:p>
    <w:p w14:paraId="3F3DE1F7" w14:textId="16978F31"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w:t>
      </w:r>
      <w:r w:rsidR="00C10AC0" w:rsidRPr="000479E9">
        <w:rPr>
          <w:rFonts w:ascii="Times New Roman" w:eastAsia="Times New Roman" w:hAnsi="Times New Roman"/>
          <w:sz w:val="24"/>
          <w:szCs w:val="24"/>
          <w:lang w:eastAsia="hr-HR"/>
        </w:rPr>
        <w:t xml:space="preserve">. kao investicijsko društvo ili kreditna institucija koja koristi algoritamsko trgovanje ne izvijesti Agenciju u skladu s člankom 82. stavkom 7. ovoga Zakona </w:t>
      </w:r>
    </w:p>
    <w:p w14:paraId="56F4E0E5" w14:textId="533B6958"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w:t>
      </w:r>
      <w:r w:rsidR="00C10AC0" w:rsidRPr="000479E9">
        <w:rPr>
          <w:rFonts w:ascii="Times New Roman" w:eastAsia="Times New Roman" w:hAnsi="Times New Roman"/>
          <w:sz w:val="24"/>
          <w:szCs w:val="24"/>
          <w:lang w:eastAsia="hr-HR"/>
        </w:rPr>
        <w:t xml:space="preserve">. kao investicijsko društvo ili kreditna institucija koja klijentima omogućuje izravan elektronički pristup mjestu trgovanja nije u pisanom sporazumu s klijentom jasno naznačila da odgovornost za pridržavanje obveza iz Zakona ostaje na investicijskom društvu, u skladu s člankom 84. stavkom 9. ovoga Zakona </w:t>
      </w:r>
    </w:p>
    <w:p w14:paraId="0B649A2B" w14:textId="12EE7B95"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D3455E"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kao investicijsko društvo, kreditna institucija, društvo za upravljanje ili tržišni posrednik primi ili pruži dodatni poticaj</w:t>
      </w:r>
      <w:r w:rsidR="00786059" w:rsidRPr="000479E9">
        <w:rPr>
          <w:rFonts w:ascii="Times New Roman" w:eastAsia="Times New Roman" w:hAnsi="Times New Roman"/>
          <w:sz w:val="24"/>
          <w:szCs w:val="24"/>
          <w:lang w:eastAsia="hr-HR"/>
        </w:rPr>
        <w:t xml:space="preserve"> </w:t>
      </w:r>
      <w:r w:rsidRPr="000479E9">
        <w:rPr>
          <w:rFonts w:ascii="Times New Roman" w:eastAsia="Times New Roman" w:hAnsi="Times New Roman"/>
          <w:sz w:val="24"/>
          <w:szCs w:val="24"/>
          <w:lang w:eastAsia="hr-HR"/>
        </w:rPr>
        <w:t xml:space="preserve">iz članka 91. stavka </w:t>
      </w:r>
      <w:r w:rsidR="00786059"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ovoga Zakona, </w:t>
      </w:r>
      <w:r w:rsidR="00786059" w:rsidRPr="000479E9">
        <w:rPr>
          <w:rFonts w:ascii="Times New Roman" w:eastAsia="Times New Roman" w:hAnsi="Times New Roman"/>
          <w:sz w:val="24"/>
          <w:szCs w:val="24"/>
          <w:lang w:eastAsia="hr-HR"/>
        </w:rPr>
        <w:t xml:space="preserve">a nisu ispunjeni svi uvjeti iz </w:t>
      </w:r>
      <w:r w:rsidRPr="000479E9">
        <w:rPr>
          <w:rFonts w:ascii="Times New Roman" w:eastAsia="Times New Roman" w:hAnsi="Times New Roman"/>
          <w:sz w:val="24"/>
          <w:szCs w:val="24"/>
          <w:lang w:eastAsia="hr-HR"/>
        </w:rPr>
        <w:t>člank</w:t>
      </w:r>
      <w:r w:rsidR="00786059" w:rsidRPr="000479E9">
        <w:rPr>
          <w:rFonts w:ascii="Times New Roman" w:eastAsia="Times New Roman" w:hAnsi="Times New Roman"/>
          <w:sz w:val="24"/>
          <w:szCs w:val="24"/>
          <w:lang w:eastAsia="hr-HR"/>
        </w:rPr>
        <w:t xml:space="preserve">a </w:t>
      </w:r>
      <w:r w:rsidRPr="000479E9">
        <w:rPr>
          <w:rFonts w:ascii="Times New Roman" w:eastAsia="Times New Roman" w:hAnsi="Times New Roman"/>
          <w:sz w:val="24"/>
          <w:szCs w:val="24"/>
          <w:lang w:eastAsia="hr-HR"/>
        </w:rPr>
        <w:t xml:space="preserve">91. </w:t>
      </w:r>
      <w:r w:rsidR="00786059" w:rsidRPr="000479E9">
        <w:rPr>
          <w:rFonts w:ascii="Times New Roman" w:eastAsia="Times New Roman" w:hAnsi="Times New Roman"/>
          <w:sz w:val="24"/>
          <w:szCs w:val="24"/>
          <w:lang w:eastAsia="hr-HR"/>
        </w:rPr>
        <w:t>stavka 3</w:t>
      </w:r>
      <w:r w:rsidRPr="000479E9">
        <w:rPr>
          <w:rFonts w:ascii="Times New Roman" w:eastAsia="Times New Roman" w:hAnsi="Times New Roman"/>
          <w:sz w:val="24"/>
          <w:szCs w:val="24"/>
          <w:lang w:eastAsia="hr-HR"/>
        </w:rPr>
        <w:t xml:space="preserve">. ovoga Zakona </w:t>
      </w:r>
    </w:p>
    <w:p w14:paraId="2D7B2975" w14:textId="6207B2EE"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D3455E"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kao investicijsko društvo, kreditna institucija, društvo za upravljanje ili tržišni posrednik koji pruža uslugu upravljanja portfeljem ili neovisnog investicijskog savjetovanja prihvati i/ili zadrži dodatni poticaj, protivno članku 93. stavku 1. ovoga Zakona </w:t>
      </w:r>
    </w:p>
    <w:p w14:paraId="68F22C11" w14:textId="28DE16EF"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D3455E"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xml:space="preserve">. nije prenijela dodatni poticaj, u slučaju iz članka 93. stavka 1. ovoga Zakona, klijentu u cijelosti, što je prije moguće, a najkasnije u roku od 15 dana od primitka poticaja, protivno članku 93. stavku 2. ovoga Zakona </w:t>
      </w:r>
    </w:p>
    <w:p w14:paraId="2D917BB7" w14:textId="6B228AB1"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D3455E"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xml:space="preserve">. kao investicijsko društvo, kreditna institucija, društvo za upravljanje ili tržišni posrednik, koji investicijsku uslugu nudi zajedno s drugom uslugom ili proizvodom kao dio paketa ili kao uvjet za isti ugovor ili paket, učestalo ne izvještava klijente o tome je li moguće iste pakete kupiti odvojeno, u skladu s člankom 95. stavkom 1. ovoga Zakona </w:t>
      </w:r>
    </w:p>
    <w:p w14:paraId="4143F8C4" w14:textId="272F8729"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D3455E"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xml:space="preserve">. kao investicijsko društvo, kreditna institucija, društvo za upravljanje ili tržišni posrednik, koji investicijsku uslugu nudi zajedno s drugom uslugom ili proizvodom kao dio paketa ili kao uvjet za isti ugovor ili paket, učestalo ne pruža odgovarajući opis različitih komponenata ugovora ili paketa i način na koji njihovo uzajamno djelovanje utječe na rizik, a vjerojatno je da se rizici koji proizlaze iz ugovora ili paketa razlikuju od rizika povezanih s pojedinom komponentom, u skladu s člankom 95. stavkom 2. ovoga Zakona </w:t>
      </w:r>
    </w:p>
    <w:p w14:paraId="67AB5683" w14:textId="5685C58E"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D3455E"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xml:space="preserve">. kao investicijsko društvo, kreditna institucija, društvo za upravljanje ili tržišni posrednik zapošljava ili na drugi način angažira fizičku osobu koja u ime i/ili za račun investicijskog društva klijentu pruži informacije o financijskim instrumentima, investicijskim i/ili pomoćnim uslugama, a ta fizička osoba ne ispunjava uvjete </w:t>
      </w:r>
      <w:r w:rsidR="00786059" w:rsidRPr="000479E9">
        <w:rPr>
          <w:rFonts w:ascii="Times New Roman" w:eastAsia="Times New Roman" w:hAnsi="Times New Roman" w:cs="Times New Roman"/>
          <w:sz w:val="24"/>
          <w:szCs w:val="24"/>
          <w:lang w:eastAsia="hr-HR"/>
        </w:rPr>
        <w:t xml:space="preserve">iz pravilnika iz članka 99. stavka 6. ovoga Zakona, protivno članku 96. stavku 2. točki 1. </w:t>
      </w:r>
      <w:r w:rsidRPr="000479E9">
        <w:rPr>
          <w:rFonts w:ascii="Times New Roman" w:eastAsia="Times New Roman" w:hAnsi="Times New Roman"/>
          <w:sz w:val="24"/>
          <w:szCs w:val="24"/>
          <w:lang w:eastAsia="hr-HR"/>
        </w:rPr>
        <w:t xml:space="preserve">ovoga Zakona </w:t>
      </w:r>
    </w:p>
    <w:p w14:paraId="3322BB3A" w14:textId="34AB0838"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D3455E"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kao investicijsko društvo, kreditna institucija, društvo za upravljanje ili tržišni posrednik zapošljava ili na drugi način angažira fizičku osobu koja u ime i/ili za račun investicijskog društva izvrši ili prenese na izvršenje nalog klijenta, a ta fizička osoba </w:t>
      </w:r>
      <w:r w:rsidRPr="000479E9">
        <w:rPr>
          <w:rFonts w:ascii="Times New Roman" w:eastAsia="Times New Roman" w:hAnsi="Times New Roman"/>
          <w:sz w:val="24"/>
          <w:szCs w:val="24"/>
          <w:lang w:eastAsia="hr-HR"/>
        </w:rPr>
        <w:lastRenderedPageBreak/>
        <w:t xml:space="preserve">ne ispunjava uvjete iz </w:t>
      </w:r>
      <w:r w:rsidR="003808FD" w:rsidRPr="000479E9">
        <w:rPr>
          <w:rFonts w:ascii="Times New Roman" w:eastAsia="Times New Roman" w:hAnsi="Times New Roman"/>
          <w:sz w:val="24"/>
          <w:szCs w:val="24"/>
          <w:lang w:eastAsia="hr-HR"/>
        </w:rPr>
        <w:t xml:space="preserve">pravilnika iz članka 99. stavka 6. ovoga Zakona, protivno članku 96. stavku 2. točki 2. </w:t>
      </w:r>
      <w:r w:rsidRPr="000479E9">
        <w:rPr>
          <w:rFonts w:ascii="Times New Roman" w:eastAsia="Times New Roman" w:hAnsi="Times New Roman"/>
          <w:sz w:val="24"/>
          <w:szCs w:val="24"/>
          <w:lang w:eastAsia="hr-HR"/>
        </w:rPr>
        <w:t xml:space="preserve">ovoga Zakona </w:t>
      </w:r>
    </w:p>
    <w:p w14:paraId="56757F87" w14:textId="2B42B884"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17</w:t>
      </w:r>
      <w:r w:rsidR="00C10AC0" w:rsidRPr="000479E9">
        <w:rPr>
          <w:rFonts w:ascii="Times New Roman" w:eastAsia="Times New Roman" w:hAnsi="Times New Roman"/>
          <w:sz w:val="24"/>
          <w:szCs w:val="24"/>
          <w:lang w:eastAsia="hr-HR"/>
        </w:rPr>
        <w:t xml:space="preserve">. kao investicijsko društvo, kreditna institucija, društvo za upravljanje ili tržišni posrednik zapošljava ili na drugi način angažira fizičku osobu koja u ime i/ili za račun investicijskog društva klijentu pruži investicijski savjet ili donese investicijsku odluku u sklopu usluge upravljanja portfeljem, a ta fizička osoba ne ispunjava uvjete </w:t>
      </w:r>
      <w:r w:rsidR="004C2BE5" w:rsidRPr="000479E9">
        <w:rPr>
          <w:rFonts w:ascii="Times New Roman" w:eastAsia="Times New Roman" w:hAnsi="Times New Roman" w:cs="Times New Roman"/>
          <w:sz w:val="24"/>
          <w:szCs w:val="24"/>
          <w:lang w:eastAsia="hr-HR"/>
        </w:rPr>
        <w:t>iz pravilnika iz članka 99. stavka 6. ovoga Zakona, protivno članku 96. stavku 2. točki 3.</w:t>
      </w:r>
      <w:r w:rsidR="00C10AC0" w:rsidRPr="000479E9">
        <w:rPr>
          <w:rFonts w:ascii="Times New Roman" w:eastAsia="Times New Roman" w:hAnsi="Times New Roman"/>
          <w:sz w:val="24"/>
          <w:szCs w:val="24"/>
          <w:lang w:eastAsia="hr-HR"/>
        </w:rPr>
        <w:t xml:space="preserve"> ovoga Zakona </w:t>
      </w:r>
    </w:p>
    <w:p w14:paraId="74AA479D" w14:textId="39AD7B5E"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18</w:t>
      </w:r>
      <w:r w:rsidR="00C10AC0" w:rsidRPr="000479E9">
        <w:rPr>
          <w:rFonts w:ascii="Times New Roman" w:eastAsia="Times New Roman" w:hAnsi="Times New Roman"/>
          <w:sz w:val="24"/>
          <w:szCs w:val="24"/>
          <w:lang w:eastAsia="hr-HR"/>
        </w:rPr>
        <w:t xml:space="preserve">. kao investicijsko društvo, kreditna institucija, društvo za upravljanje ili tržišni posrednik učestalo ne izvještava ili učestalo manjkavo izvještava klijente o pruženim uslugama na način propisan člancima 59. do 63. Delegirane uredbe (EU) br. 2017/565, u skladu s člankom 111. stavkom 1. ovoga Zakona </w:t>
      </w:r>
    </w:p>
    <w:p w14:paraId="438A4F9D" w14:textId="4F628FB4"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19</w:t>
      </w:r>
      <w:r w:rsidR="00C10AC0" w:rsidRPr="000479E9">
        <w:rPr>
          <w:rFonts w:ascii="Times New Roman" w:eastAsia="Times New Roman" w:hAnsi="Times New Roman"/>
          <w:sz w:val="24"/>
          <w:szCs w:val="24"/>
          <w:lang w:eastAsia="hr-HR"/>
        </w:rPr>
        <w:t xml:space="preserve">. kao investicijsko društvo ili kreditna institucija koja prenosi upute u smislu članka 118. stavka 2. ovoga Zakona na bilo koji način prenese odgovornost za cjelovitost i točnost podataka ili za primjerenost preporuka ili savjeta na drugu osobu, u skladu s člankom 118. stavkom 2. ovoga Zakona </w:t>
      </w:r>
    </w:p>
    <w:p w14:paraId="2C1D245C" w14:textId="132FBBF8"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D3455E"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xml:space="preserve">. kao investicijsko društvo ili kreditna institucija koja primi upute ili nalog klijenta od drugog društva koje prenosi upute u smislu članka 118. stavka 2. ovoga Zakona na bilo koji način prenese odgovornost za zaključenje usluge ili transakcije, u skladu s člankom 118. stavkom 3. ovoga Zakona </w:t>
      </w:r>
    </w:p>
    <w:p w14:paraId="217A8BA9" w14:textId="2E89FF98"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D3455E"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kao investicijsko društvo ili kreditna institucija ne procjenjuje redovito osiguravaju li mjesta izvršenja uključena u politiku izvršavanja naloga postizanje najpovoljnijeg ishoda za klijenta ili je potrebno izmijeniti mjere izvršavanja naloga, u skladu s člankom 125. stavkom 2. ovoga Zakona </w:t>
      </w:r>
    </w:p>
    <w:p w14:paraId="754C9D9F" w14:textId="7F1F3E96"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D3455E"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xml:space="preserve">. kao investicijsko društvo ili kreditna institucija koja izvršava naloge klijenata učestalo nije u mogućnosti predočiti klijentima podatke koji dokazuju da je pojedini nalog u skladu s politikom izvršavanja naloga, u skladu s člankom 125. stavkom 4. ovoga Zakona </w:t>
      </w:r>
    </w:p>
    <w:p w14:paraId="1747C4B1" w14:textId="6CB0EE8F"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D3455E"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xml:space="preserve">. kao investicijsko društvo, kreditna institucija ili društvo za upravljanje koje je imenovalo vezanog zastupnika na bilo koji način pokuša prenijeti odgovornost za radnje i/ili propuste vezanog zastupnika kada on djeluje za račun investicijskog društva na vezanog zastupnika, suprotno zabrani iz članka 128. stavka 1. ovoga Zakona </w:t>
      </w:r>
    </w:p>
    <w:p w14:paraId="37516B61" w14:textId="5ABCDDB5"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D3455E"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xml:space="preserve">. kao investicijsko društvo, kreditna institucija ili društvo za upravljanje koje je imenovalo vezanog zastupnika nije poduzela odgovarajuće mjere kako bi se izbjeglo da se poslovi vezanog zastupnika izvan područja primjene ovoga Zakona negativno odražavaju na poslove koje vezani zastupnik poduzima za račun investicijskog društva, u skladu s člankom 128. stavkom 2. točkom 3. ovoga Zakona </w:t>
      </w:r>
    </w:p>
    <w:p w14:paraId="4991411A" w14:textId="1A92490A"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25</w:t>
      </w:r>
      <w:r w:rsidR="00C10AC0" w:rsidRPr="000479E9">
        <w:rPr>
          <w:rFonts w:ascii="Times New Roman" w:eastAsia="Times New Roman" w:hAnsi="Times New Roman"/>
          <w:sz w:val="24"/>
          <w:szCs w:val="24"/>
          <w:lang w:eastAsia="hr-HR"/>
        </w:rPr>
        <w:t xml:space="preserve">. kao investicijsko društvo ili kreditna institucija ne poduzima razumne korake kako bi provjerila potpunost, točnost i pravodobnost izvješća o transakcijama koja su podnesena Agenciji u njezino ime, sukladno članku 26. stavku 7. četvrtom podstavku Uredbe (EU) br. 600/2014 </w:t>
      </w:r>
    </w:p>
    <w:p w14:paraId="647B6C9E" w14:textId="7908C7C4"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26</w:t>
      </w:r>
      <w:r w:rsidR="00C10AC0" w:rsidRPr="000479E9">
        <w:rPr>
          <w:rFonts w:ascii="Times New Roman" w:eastAsia="Times New Roman" w:hAnsi="Times New Roman"/>
          <w:sz w:val="24"/>
          <w:szCs w:val="24"/>
          <w:lang w:eastAsia="hr-HR"/>
        </w:rPr>
        <w:t xml:space="preserve">. kao burza ne obavijesti Agenciju o svim značajnim promjenama uvjeta pod kojim je odobrenje za rad izdano, u skladu s člankom 295. stavkom 1. ovoga Zakona </w:t>
      </w:r>
    </w:p>
    <w:p w14:paraId="6E02D1FF" w14:textId="60E4A0D0"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27</w:t>
      </w:r>
      <w:r w:rsidR="00C10AC0" w:rsidRPr="000479E9">
        <w:rPr>
          <w:rFonts w:ascii="Times New Roman" w:eastAsia="Times New Roman" w:hAnsi="Times New Roman"/>
          <w:sz w:val="24"/>
          <w:szCs w:val="24"/>
          <w:lang w:eastAsia="hr-HR"/>
        </w:rPr>
        <w:t xml:space="preserve">. kao burza nije osigurala da članovi uprave burze </w:t>
      </w:r>
      <w:r w:rsidR="003540CB" w:rsidRPr="000479E9">
        <w:rPr>
          <w:rFonts w:ascii="Times New Roman" w:eastAsia="Times New Roman" w:hAnsi="Times New Roman"/>
          <w:sz w:val="24"/>
          <w:szCs w:val="24"/>
          <w:lang w:eastAsia="hr-HR"/>
        </w:rPr>
        <w:t>i</w:t>
      </w:r>
      <w:r w:rsidR="00C10AC0" w:rsidRPr="000479E9">
        <w:rPr>
          <w:rFonts w:ascii="Times New Roman" w:eastAsia="Times New Roman" w:hAnsi="Times New Roman"/>
          <w:sz w:val="24"/>
          <w:szCs w:val="24"/>
          <w:lang w:eastAsia="hr-HR"/>
        </w:rPr>
        <w:t xml:space="preserve">maju stručna znanja i/ili sposobnosti i/ili iskustvo u skladu s člankom 288. stavkom 3. ovoga Zakona </w:t>
      </w:r>
    </w:p>
    <w:p w14:paraId="7D3F135A" w14:textId="3DFA3A15"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28</w:t>
      </w:r>
      <w:r w:rsidR="00C10AC0" w:rsidRPr="000479E9">
        <w:rPr>
          <w:rFonts w:ascii="Times New Roman" w:eastAsia="Times New Roman" w:hAnsi="Times New Roman"/>
          <w:sz w:val="24"/>
          <w:szCs w:val="24"/>
          <w:lang w:eastAsia="hr-HR"/>
        </w:rPr>
        <w:t xml:space="preserve">. kao burza nije osigurala da članovi nadzornog odbora burze zajednički imaju stručna znanja, sposobnosti i iskustvo potrebno za neovisno i samostalno nadziranje poslova burze kako je propisano člankom 289. stavkom 2. ovoga Zakona </w:t>
      </w:r>
    </w:p>
    <w:p w14:paraId="77D65D4D" w14:textId="43930E65"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29</w:t>
      </w:r>
      <w:r w:rsidR="00C10AC0" w:rsidRPr="000479E9">
        <w:rPr>
          <w:rFonts w:ascii="Times New Roman" w:eastAsia="Times New Roman" w:hAnsi="Times New Roman"/>
          <w:sz w:val="24"/>
          <w:szCs w:val="24"/>
          <w:lang w:eastAsia="hr-HR"/>
        </w:rPr>
        <w:t xml:space="preserve">. je član uprave burze ujedno i član uprave, nadzornog odbora odnosno izvršni ili neizvršni direktor u drugom pravnom subjektu, a to mu ne omogućuju pojedinačne okolnosti i priroda, opseg i složenost aktivnosti koje izvršava kao član uprave burze sukladno članku 288. stavku 10. ovoga Zakona </w:t>
      </w:r>
    </w:p>
    <w:p w14:paraId="75C64BAE" w14:textId="7B9C1F91"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D3455E"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xml:space="preserve">. kao burza nije uložila odgovarajuće ljudske i financijske resurse u obuku i osposobljavanje članova uprave sukladno članku 288. stavku 14. ovoga Zakona </w:t>
      </w:r>
    </w:p>
    <w:p w14:paraId="53524407" w14:textId="0C617AA2"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D3455E"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kao burza nije osigurala da zahtjev za izdavanje suglasnosti iz članka 291. stavka 1. ovoga Zakona bude podnesen najmanje tri mjeseca prije isteka mandata pojedinom članu uprave u skladu s člankom 291. stavkom </w:t>
      </w:r>
      <w:r w:rsidR="003540CB"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xml:space="preserve">. ovoga Zakona </w:t>
      </w:r>
    </w:p>
    <w:p w14:paraId="16089717" w14:textId="12AA5B8A"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D3455E"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xml:space="preserve">. kao burza nije uspostavila, provodila, održavala te redovito ažurirala, procjenjivala i nadzirala postupke odlučivanja i organizacijsku strukturu u kojima se jasno i na dokumentirani način utvrđuju linije izvještavanja i dodjeljuju funkcije i nadležnosti burze sukladno odredbi članka 296. stavka 1. ovoga Zakona </w:t>
      </w:r>
    </w:p>
    <w:p w14:paraId="6298F8F6" w14:textId="2C8689F0"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D3455E"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xml:space="preserve">. kao burza nije uspostavila ili primjenjivala mjere pomoću kojih se jasno uočavaju i prevladavaju potencijalne negativne posljedice sukoba interesa na poslovanje uređenog tržišta ili njegove članove ili sudionike, sukladno odredbama članka 296. stavka 1. točaka 9. i 10. ovoga Zakona </w:t>
      </w:r>
    </w:p>
    <w:p w14:paraId="2193EAA2" w14:textId="406676A2"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D3455E"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xml:space="preserve">. kao burza nije uspostavila ili primjenjivala sveobuhvatan i učinkovit sustav upravljanja rizicima u skladu s člankom 297. stavkom 2. ovoga Zakona </w:t>
      </w:r>
    </w:p>
    <w:p w14:paraId="429D0698" w14:textId="35E1F267"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35</w:t>
      </w:r>
      <w:r w:rsidR="00C10AC0" w:rsidRPr="000479E9">
        <w:rPr>
          <w:rFonts w:ascii="Times New Roman" w:eastAsia="Times New Roman" w:hAnsi="Times New Roman"/>
          <w:sz w:val="24"/>
          <w:szCs w:val="24"/>
          <w:lang w:eastAsia="hr-HR"/>
        </w:rPr>
        <w:t xml:space="preserve">. kao burza ili operater MTP-a ili operater OTP-a nije postupila u slučaju značajnog kretanja cijena financijskog instrumenta sukladno članku 299. stavku 2. ovoga Zakona </w:t>
      </w:r>
    </w:p>
    <w:p w14:paraId="1D12C279" w14:textId="381D332F"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36</w:t>
      </w:r>
      <w:r w:rsidR="00C10AC0" w:rsidRPr="000479E9">
        <w:rPr>
          <w:rFonts w:ascii="Times New Roman" w:eastAsia="Times New Roman" w:hAnsi="Times New Roman"/>
          <w:sz w:val="24"/>
          <w:szCs w:val="24"/>
          <w:lang w:eastAsia="hr-HR"/>
        </w:rPr>
        <w:t xml:space="preserve">. kao burza ili operater MTP-a ili operater OTP-a nije obavijestila Agenciju o parametrima za zaustavljanje trgovanja, na način i u roku sukladno članku 299. stavku 4. ovoga Zakona </w:t>
      </w:r>
    </w:p>
    <w:p w14:paraId="73BB59D8" w14:textId="53415CC7"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37</w:t>
      </w:r>
      <w:r w:rsidR="00C10AC0" w:rsidRPr="000479E9">
        <w:rPr>
          <w:rFonts w:ascii="Times New Roman" w:eastAsia="Times New Roman" w:hAnsi="Times New Roman"/>
          <w:sz w:val="24"/>
          <w:szCs w:val="24"/>
          <w:lang w:eastAsia="hr-HR"/>
        </w:rPr>
        <w:t xml:space="preserve">. kao burza ili operater MTP-a ili operater OTP-a nije uspostavila pisane sporazume sa svim investicijskim društvima koja provode strategiju održavanja likvidnosti, sukladno članku 300. stavku 1. ovoga Zakona i odredbama Delegirane uredbe (EU) br. 2017/578 </w:t>
      </w:r>
    </w:p>
    <w:p w14:paraId="7572B504" w14:textId="0D911BCF"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38</w:t>
      </w:r>
      <w:r w:rsidR="00C10AC0" w:rsidRPr="000479E9">
        <w:rPr>
          <w:rFonts w:ascii="Times New Roman" w:eastAsia="Times New Roman" w:hAnsi="Times New Roman"/>
          <w:sz w:val="24"/>
          <w:szCs w:val="24"/>
          <w:lang w:eastAsia="hr-HR"/>
        </w:rPr>
        <w:t xml:space="preserve">. kao burza ili operater MTP-a ili operater OTP-a nije uspostavila planove koji osiguravaju da dovoljan broj investicijskih društava sudjeluje u sporazumima iz članka 300. stavka 1. ovoga Zakona, a sukladno članku 300. stavku 2. ovoga Zakona i Delegiranoj uredbi (EU) br. 2017/578 </w:t>
      </w:r>
    </w:p>
    <w:p w14:paraId="4C975CE7" w14:textId="12E47BB1"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39</w:t>
      </w:r>
      <w:r w:rsidR="00C10AC0" w:rsidRPr="000479E9">
        <w:rPr>
          <w:rFonts w:ascii="Times New Roman" w:eastAsia="Times New Roman" w:hAnsi="Times New Roman"/>
          <w:sz w:val="24"/>
          <w:szCs w:val="24"/>
          <w:lang w:eastAsia="hr-HR"/>
        </w:rPr>
        <w:t xml:space="preserve">. kao burza ili operater MTP-a ili operater OTP-a nije nadzirala provođenje ili sama nije provodila sporazume iz članka 300. stavka 1. ovoga Zakona, sukladno članku 300. stavku 4. ovoga Zakona </w:t>
      </w:r>
    </w:p>
    <w:p w14:paraId="65D3ECE5" w14:textId="6269DE36"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4</w:t>
      </w:r>
      <w:r w:rsidR="00D3455E"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xml:space="preserve">. kao burza ili operater MTP-a ili operater OTP-a nema mogućnost identificiranja naloga koje generira algoritamsko trgovanje ili različitih algoritama koji se koriste za stvaranje naloga ili relevantnih osoba koje pokreću te naloge, sukladno odredbama članka 301. stavka 4. ovoga Zakona i odredbi Delegirane uredbe (EU) br. 2017/566 </w:t>
      </w:r>
    </w:p>
    <w:p w14:paraId="0E340B60" w14:textId="127E9E34"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D3455E"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kao burza ili operater MTP-a ili operater OTP-a nije uspostavila standarde u pogledu kontrola rizika i pragova trgovanja i razvila mogućnosti kako razlikovanja tako i prekida naloga ili trgovanja osobe koje koristi izravan elektronički pristup, sukladno članku 302. stavku 2. ovoga Zakona </w:t>
      </w:r>
    </w:p>
    <w:p w14:paraId="7DA510DA" w14:textId="1E87E98A"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D3455E"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xml:space="preserve">. nema usklađene satove poslovanja u skladu s člankom 22.c Uredbe (EU) br. 600/2014 </w:t>
      </w:r>
    </w:p>
    <w:p w14:paraId="34DAF140" w14:textId="0E419DE7"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D3455E"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xml:space="preserve">. kao burza, nije osigurala Pravilima uređenog tržišta da se svim financijskim instrumentima uvrštenim za trgovanje na uređenom tržištu trguje korektno, uredno i djelotvorno, protivno članku 320. stavku 2. i stavku 4. ovoga Zakona i odredbama Delegirane uredbe Komisije (EU) br. 2017/568 </w:t>
      </w:r>
    </w:p>
    <w:p w14:paraId="36CC4CD1" w14:textId="4A128015"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44</w:t>
      </w:r>
      <w:r w:rsidR="00C10AC0" w:rsidRPr="000479E9">
        <w:rPr>
          <w:rFonts w:ascii="Times New Roman" w:eastAsia="Times New Roman" w:hAnsi="Times New Roman"/>
          <w:sz w:val="24"/>
          <w:szCs w:val="24"/>
          <w:lang w:eastAsia="hr-HR"/>
        </w:rPr>
        <w:t xml:space="preserve">. kao burza ili operater MTP-a ili operater OTP-a o svojoj odluci iz članka 340. stavka 2. ne obavijesti javnost ili Agenciju na način kako je propisano člankom 340. stavkom 3. ovoga Zakona </w:t>
      </w:r>
    </w:p>
    <w:p w14:paraId="56ABC358" w14:textId="42C886D0"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45</w:t>
      </w:r>
      <w:r w:rsidR="00C10AC0" w:rsidRPr="000479E9">
        <w:rPr>
          <w:rFonts w:ascii="Times New Roman" w:eastAsia="Times New Roman" w:hAnsi="Times New Roman"/>
          <w:sz w:val="24"/>
          <w:szCs w:val="24"/>
          <w:lang w:eastAsia="hr-HR"/>
        </w:rPr>
        <w:t xml:space="preserve">. kao burza nije o namjeri omogućavanja udaljenog pristupa uređenom tržištu kojim upravlja obavijestila Agenciju, sukladno članku 318. stavku 1. ovoga Zakona </w:t>
      </w:r>
    </w:p>
    <w:p w14:paraId="1671E382" w14:textId="21E8A398"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46</w:t>
      </w:r>
      <w:r w:rsidR="00C10AC0" w:rsidRPr="000479E9">
        <w:rPr>
          <w:rFonts w:ascii="Times New Roman" w:eastAsia="Times New Roman" w:hAnsi="Times New Roman"/>
          <w:sz w:val="24"/>
          <w:szCs w:val="24"/>
          <w:lang w:eastAsia="hr-HR"/>
        </w:rPr>
        <w:t xml:space="preserve">. kao burza nije Agenciji dostavila redovito obnavljan popis članova uređenog tržišta, sukladno članku 313. stavku 3. ovoga Zakona </w:t>
      </w:r>
    </w:p>
    <w:p w14:paraId="2A31B238" w14:textId="74D8C360"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47</w:t>
      </w:r>
      <w:r w:rsidR="00C10AC0" w:rsidRPr="000479E9">
        <w:rPr>
          <w:rFonts w:ascii="Times New Roman" w:eastAsia="Times New Roman" w:hAnsi="Times New Roman"/>
          <w:sz w:val="24"/>
          <w:szCs w:val="24"/>
          <w:lang w:eastAsia="hr-HR"/>
        </w:rPr>
        <w:t xml:space="preserve">. kao burza nije uspostavila ili održavala postupke i mjere za praćenje poštivanja pravila uređenog tržišta sukladno članku 316. stavku 1. ovog Zakona </w:t>
      </w:r>
    </w:p>
    <w:p w14:paraId="4F8EC677" w14:textId="3ACC2CD1"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48</w:t>
      </w:r>
      <w:r w:rsidR="00C10AC0" w:rsidRPr="000479E9">
        <w:rPr>
          <w:rFonts w:ascii="Times New Roman" w:eastAsia="Times New Roman" w:hAnsi="Times New Roman"/>
          <w:sz w:val="24"/>
          <w:szCs w:val="24"/>
          <w:lang w:eastAsia="hr-HR"/>
        </w:rPr>
        <w:t xml:space="preserve">. kao operater MTP-a ili OTP-a ne dostavi Agenciji bez odgode informacije o svim promjenama podataka iz članka 348. stavka 1. ovoga Zakona, sukladno članku 348. stavku 3. ovoga Zakona </w:t>
      </w:r>
    </w:p>
    <w:p w14:paraId="33609EF2" w14:textId="415173AC"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49</w:t>
      </w:r>
      <w:r w:rsidR="00C10AC0" w:rsidRPr="000479E9">
        <w:rPr>
          <w:rFonts w:ascii="Times New Roman" w:eastAsia="Times New Roman" w:hAnsi="Times New Roman"/>
          <w:sz w:val="24"/>
          <w:szCs w:val="24"/>
          <w:lang w:eastAsia="hr-HR"/>
        </w:rPr>
        <w:t xml:space="preserve">. kao operater MTP-a ili OTP-a nije uspostavila ili održavala djelotvorne mjere i postupke koji omogućuju praćenje usklađenosti članova s pravilima MTP-a ili OTP-a, sukladno članku 347. stavku 1. ovoga Zakona </w:t>
      </w:r>
    </w:p>
    <w:p w14:paraId="1CBE69FB" w14:textId="6CCF5DE1"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D3455E"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xml:space="preserve">. kao operater MTP-a ili OTP-a nije koristila potrebne resurse kako bi osigurala da je praćenje iz članka 347. stavka 2. ovoga Zakona učinkovito, sukladno članku 347. stavku 3. ovoga Zakona </w:t>
      </w:r>
    </w:p>
    <w:p w14:paraId="4FF48146" w14:textId="6A517D1E"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D3455E"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kao operater MTP-a s obzirom na pristup trgovini na MTP-u nije na odgovarajući način primjenjivala odredbe članaka 313., 314. ili 315. ovoga Zakona, sukladno članku 349. stavku 2. ovoga Zakona </w:t>
      </w:r>
    </w:p>
    <w:p w14:paraId="72103205" w14:textId="5339D5D1"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D3455E"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xml:space="preserve">. kao operater MTP-a nije s obzirom na rizike kojima je izložena na odgovarajući način primjenjivala odredbe članka 297. ovoga Zakona, sukladno članku 349. stavku 5. ovoga Zakona </w:t>
      </w:r>
    </w:p>
    <w:p w14:paraId="725BD09E" w14:textId="6CCC9EAC"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53</w:t>
      </w:r>
      <w:r w:rsidR="00C10AC0" w:rsidRPr="000479E9">
        <w:rPr>
          <w:rFonts w:ascii="Times New Roman" w:eastAsia="Times New Roman" w:hAnsi="Times New Roman"/>
          <w:sz w:val="24"/>
          <w:szCs w:val="24"/>
          <w:lang w:eastAsia="hr-HR"/>
        </w:rPr>
        <w:t xml:space="preserve">. je kao operater OTP-a trgovala za vlastiti račun bez uparivanja naloga državnim dužničkim vrijednosnim papirima za koje postoji likvidno tržište sukladno odredbama Delegirane uredbe (EU) br. 2017/583, sukladno članku 350. stavku 7. ovoga Zakona </w:t>
      </w:r>
    </w:p>
    <w:p w14:paraId="475F1F54" w14:textId="00F00DF8"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54</w:t>
      </w:r>
      <w:r w:rsidR="00C10AC0" w:rsidRPr="000479E9">
        <w:rPr>
          <w:rFonts w:ascii="Times New Roman" w:eastAsia="Times New Roman" w:hAnsi="Times New Roman"/>
          <w:sz w:val="24"/>
          <w:szCs w:val="24"/>
          <w:lang w:eastAsia="hr-HR"/>
        </w:rPr>
        <w:t xml:space="preserve">. je kao operater OTP-a angažirala investicijsko društvo za provođenje strategije održavanja tržišta na osnovi koja nije neovisna ili je to investicijsko društvo usko povezano s operaterom OTP-a, sukladno članku 350. stavku 6. ovoga Zakona </w:t>
      </w:r>
    </w:p>
    <w:p w14:paraId="2741C2F1" w14:textId="1454A2B6"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55</w:t>
      </w:r>
      <w:r w:rsidR="00C10AC0" w:rsidRPr="000479E9">
        <w:rPr>
          <w:rFonts w:ascii="Times New Roman" w:eastAsia="Times New Roman" w:hAnsi="Times New Roman"/>
          <w:sz w:val="24"/>
          <w:szCs w:val="24"/>
          <w:lang w:eastAsia="hr-HR"/>
        </w:rPr>
        <w:t xml:space="preserve">. kao operater OTP-a nije osigurala da se izvršavanje naloga na OTP-u provodi na diskrecijskoj osnovi, sukladno članku 350. stavku 9. ovoga Zakona </w:t>
      </w:r>
    </w:p>
    <w:p w14:paraId="20E060D5" w14:textId="0DF2DBC4" w:rsidR="00C10AC0" w:rsidRPr="000479E9" w:rsidRDefault="009722B5"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56</w:t>
      </w:r>
      <w:r w:rsidR="00C10AC0" w:rsidRPr="000479E9">
        <w:rPr>
          <w:rFonts w:ascii="Times New Roman" w:eastAsia="Times New Roman" w:hAnsi="Times New Roman"/>
          <w:sz w:val="24"/>
          <w:szCs w:val="24"/>
          <w:lang w:eastAsia="hr-HR"/>
        </w:rPr>
        <w:t xml:space="preserve">. kao operater OTP-a prilikom olakšavanja pregovora iz članka 350. stavka 11. ovoga Zakona nije postupala u skladu s člankom 350. stavcima 1. do 6. ili 8. ovoga Zakona, sukladno članku 350. stavku 12. ovoga Zakona </w:t>
      </w:r>
    </w:p>
    <w:p w14:paraId="5AEF9794" w14:textId="38E59D4C" w:rsidR="00C10AC0" w:rsidRPr="000479E9" w:rsidRDefault="009722B5"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57</w:t>
      </w:r>
      <w:r w:rsidR="00C10AC0" w:rsidRPr="000479E9">
        <w:rPr>
          <w:rFonts w:ascii="Times New Roman" w:eastAsia="Times New Roman" w:hAnsi="Times New Roman"/>
          <w:sz w:val="24"/>
          <w:szCs w:val="24"/>
          <w:lang w:eastAsia="hr-HR"/>
        </w:rPr>
        <w:t xml:space="preserve">. kao operater OTP-a nije Agenciju bez odgode obavijestila o svakoj značajnoj izmjeni podataka iz članka 350. stavka 13. ovoga Zakona, u skladu s člankom 350. stavkom 14. ovoga Zakona </w:t>
      </w:r>
    </w:p>
    <w:p w14:paraId="3496FE8E" w14:textId="5BD03972" w:rsidR="00C10AC0" w:rsidRPr="000479E9" w:rsidRDefault="009722B5"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58</w:t>
      </w:r>
      <w:r w:rsidR="00C10AC0" w:rsidRPr="000479E9">
        <w:rPr>
          <w:rFonts w:ascii="Times New Roman" w:eastAsia="Times New Roman" w:hAnsi="Times New Roman"/>
          <w:sz w:val="24"/>
          <w:szCs w:val="24"/>
          <w:lang w:eastAsia="hr-HR"/>
        </w:rPr>
        <w:t xml:space="preserve">. kao operater MTP-a koji je registrirao MTP kao rastuće tržište malih i srednjih poduzeća nije uspostavila ili primjenjivala jasna pravila, sustave ili postupke kojima se osigurava ispunjenje zahtjeva da najmanje 50 % izdavatelja čijim se financijskim instrumentima može trgovati na MTP-u moraju biti mala ili srednja poduzeća u vrijeme kada Agencija donese rješenje kojim se odobrava registracija MTP-a kao rastućeg tržišta malih i srednjih poduzeća te u svakoj kalendarskoj godini nakon toga, sukladno članku 352. stavku 3. točki 1. ovoga Zakona </w:t>
      </w:r>
    </w:p>
    <w:p w14:paraId="1FB055BF" w14:textId="5E38C1D9" w:rsidR="00C10AC0" w:rsidRPr="000479E9" w:rsidRDefault="009722B5"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59</w:t>
      </w:r>
      <w:r w:rsidR="00C10AC0" w:rsidRPr="000479E9">
        <w:rPr>
          <w:rFonts w:ascii="Times New Roman" w:eastAsia="Times New Roman" w:hAnsi="Times New Roman"/>
          <w:sz w:val="24"/>
          <w:szCs w:val="24"/>
          <w:lang w:eastAsia="hr-HR"/>
        </w:rPr>
        <w:t xml:space="preserve">. kao operater MTP-a koji je registrirao MTP kao rastuće tržište malih i srednjih poduzeća nije uspostavila ili primjenjivala jasna pravila, sustave ili postupke kojima se osigurava ispunjenje zahtjeva za prvobitno i za daljnje primanje financijskih instrumenata izdavatelja u trgovinu na tom MTP-u, sukladno članku 352. stavku 3. točki 2. ovoga Zakona </w:t>
      </w:r>
    </w:p>
    <w:p w14:paraId="4AD630CA" w14:textId="42719034" w:rsidR="00C10AC0" w:rsidRPr="000479E9" w:rsidRDefault="009722B5"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60</w:t>
      </w:r>
      <w:r w:rsidR="00C10AC0" w:rsidRPr="000479E9">
        <w:rPr>
          <w:rFonts w:ascii="Times New Roman" w:eastAsia="Times New Roman" w:hAnsi="Times New Roman"/>
          <w:sz w:val="24"/>
          <w:szCs w:val="24"/>
          <w:lang w:eastAsia="hr-HR"/>
        </w:rPr>
        <w:t xml:space="preserve">. kao operater MTP-a koji je registrirao MTP kao rastuće tržište malih i srednjih poduzeća nije uspostavila ili primjenjivala jasna pravila, sustave ili postupke kojima se osigurava ispunjenje zahtjeva da izdavatelji čiji su financijski instrumenti primljeni u trgovinu na MTP-u moraju, sami ili putem druge osobe koja djeluje za njihov račun, objavljivati godišnje financijske izvještaje u roku od šest mjeseci po završetku svake financijske godine te polugodišnje financijske izvještaje u roku od četiri mjeseca po završetku prvog polugodišta svake financijske godine, sukladno članku 352. stavku 3. točki 4. ovoga Zakona </w:t>
      </w:r>
    </w:p>
    <w:p w14:paraId="161A9C43" w14:textId="19B5E3B9"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9722B5"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kao pružatelj usluga dostave podataka, investicijsko društvo, kreditna institucija ili tržišni operater koje je APA koji je dobio odobrenje sukladno odredbama ovoga Zakona ne objavi podatke propisane člancima 20. i 21. Uredbe (EU) br. 600/2014 pod razumnim tržišnim uvjetima u skladu s člankom 27.g stavkom 1. Uredbe (EU) br. 600/2014 </w:t>
      </w:r>
    </w:p>
    <w:p w14:paraId="15E978E1" w14:textId="71EDF8F6"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9722B5"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xml:space="preserve">. kao pružatelj usluga dostave podataka, investicijsko društvo, kreditna institucija ili tržišni operater koje je APA koji je dobio odobrenje sukladno odredbama ovoga Zakona ne distribuira podatke propisane člancima 20. i 21. Uredbe (EU) br. 600/2014 na način koji osigurava brz pristup podacima na nediskriminirajućoj osnovi i u formatu koji olakšava konsolidiranje podataka sa sličnim podacima iz drugih izvora, u skladu s člankom 27.g stavkom 1. Uredbe (EU) br. 600/2014 </w:t>
      </w:r>
    </w:p>
    <w:p w14:paraId="38CF0E9B" w14:textId="5174DD84"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6</w:t>
      </w:r>
      <w:r w:rsidR="009722B5" w:rsidRPr="000479E9">
        <w:rPr>
          <w:rFonts w:ascii="Times New Roman" w:eastAsia="Times New Roman" w:hAnsi="Times New Roman"/>
          <w:sz w:val="24"/>
          <w:szCs w:val="24"/>
          <w:lang w:eastAsia="hr-HR"/>
        </w:rPr>
        <w:t>3</w:t>
      </w:r>
      <w:r w:rsidR="00C10AC0" w:rsidRPr="000479E9">
        <w:rPr>
          <w:rFonts w:ascii="Times New Roman" w:eastAsia="Times New Roman" w:hAnsi="Times New Roman"/>
          <w:sz w:val="24"/>
          <w:szCs w:val="24"/>
          <w:lang w:eastAsia="hr-HR"/>
        </w:rPr>
        <w:t xml:space="preserve">. kao pružatelj usluga dostave podataka, investicijsko društvo, kreditna institucija ili tržišni operater koje je APA koji je dobio odobrenje sukladno odredbama ovoga Zakona ne održava mehanizme koji osiguravaju da su usluge APA-e razdvojene od ostalih poslovnih funkcija u skladu s člankom 27.g stavkom 3. Uredbe (EU) br. 600/2014 </w:t>
      </w:r>
    </w:p>
    <w:p w14:paraId="7A7012FE" w14:textId="0B62FD61" w:rsidR="00C10AC0" w:rsidRPr="000479E9" w:rsidRDefault="00D3455E"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9722B5" w:rsidRPr="000479E9">
        <w:rPr>
          <w:rFonts w:ascii="Times New Roman" w:eastAsia="Times New Roman" w:hAnsi="Times New Roman"/>
          <w:sz w:val="24"/>
          <w:szCs w:val="24"/>
          <w:lang w:eastAsia="hr-HR"/>
        </w:rPr>
        <w:t>4</w:t>
      </w:r>
      <w:r w:rsidR="00C10AC0" w:rsidRPr="000479E9">
        <w:rPr>
          <w:rFonts w:ascii="Times New Roman" w:eastAsia="Times New Roman" w:hAnsi="Times New Roman"/>
          <w:sz w:val="24"/>
          <w:szCs w:val="24"/>
          <w:lang w:eastAsia="hr-HR"/>
        </w:rPr>
        <w:t xml:space="preserve">. kao pružatelj usluga dostave podataka, investicijsko društvo, kreditna institucija ili tržišni operater koje je ARM, koji je dobio odobrenje sukladno odredbama ovoga Zakona, ne održava mehanizme koji osiguravaju da su usluge ARM-a razdvojene od ostalih poslovnih funkcija u skladu s člankom 27.i stavkom 2. Uredbe (EU) br. 600/2014. </w:t>
      </w:r>
    </w:p>
    <w:p w14:paraId="38958D70" w14:textId="7418B506"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Iznimno od stavka 1. ovoga članka, ako je pravna osoba prekršajem iz stavka </w:t>
      </w:r>
      <w:r w:rsidR="00AC0CE7"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xml:space="preserve">. ovoga članka ostvarila korist ili spriječila gubitak, a iznos tako ostvarene koristi ili spriječenog gubitka moguće je utvrditi, kaznit će se za prekršaj novčanom kaznom u iznosu dvostruko utvrđenog iznosa tako ostvarene koristi odnosno tako spriječenog gubitka, ako je taj iznos veći od propisanog najvećeg iznosa novčane kazne iz stavka 1. ovoga članka. </w:t>
      </w:r>
    </w:p>
    <w:p w14:paraId="5C5FE292" w14:textId="279E6374"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F413F3" w:rsidRPr="000479E9">
        <w:rPr>
          <w:rFonts w:ascii="Times New Roman" w:eastAsia="Times New Roman" w:hAnsi="Times New Roman"/>
          <w:sz w:val="24"/>
          <w:szCs w:val="24"/>
          <w:lang w:eastAsia="hr-HR"/>
        </w:rPr>
        <w:t xml:space="preserve"> </w:t>
      </w:r>
      <w:r w:rsidRPr="000479E9">
        <w:rPr>
          <w:rFonts w:ascii="Times New Roman" w:eastAsia="Times New Roman" w:hAnsi="Times New Roman"/>
          <w:sz w:val="24"/>
          <w:szCs w:val="24"/>
          <w:lang w:eastAsia="hr-HR"/>
        </w:rPr>
        <w:t>Za prekršaje iz stavka 1. ovoga članka kaznit će se i odgovorna osoba pravne osobe novčanom kaznom u iznosu od 1.320,00 do 5.000,00 eura.“</w:t>
      </w:r>
      <w:r w:rsidR="0005762C" w:rsidRPr="000479E9">
        <w:rPr>
          <w:rFonts w:ascii="Times New Roman" w:eastAsia="Times New Roman" w:hAnsi="Times New Roman"/>
          <w:sz w:val="24"/>
          <w:szCs w:val="24"/>
          <w:lang w:eastAsia="hr-HR"/>
        </w:rPr>
        <w:t>.</w:t>
      </w:r>
    </w:p>
    <w:p w14:paraId="50183624" w14:textId="77DB0473" w:rsidR="00C10AC0" w:rsidRPr="000479E9" w:rsidRDefault="00C10AC0" w:rsidP="00483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 </w:t>
      </w:r>
    </w:p>
    <w:p w14:paraId="545C1BF6" w14:textId="77777777" w:rsidR="00C10AC0" w:rsidRPr="000479E9" w:rsidRDefault="00C10AC0" w:rsidP="00617A00">
      <w:pPr>
        <w:spacing w:after="0" w:line="240" w:lineRule="auto"/>
        <w:jc w:val="center"/>
        <w:rPr>
          <w:rFonts w:ascii="Times New Roman" w:eastAsia="Times New Roman" w:hAnsi="Times New Roman" w:cs="Times New Roman"/>
          <w:b/>
          <w:bCs/>
          <w:sz w:val="24"/>
          <w:szCs w:val="24"/>
          <w:lang w:eastAsia="hr-HR"/>
        </w:rPr>
      </w:pPr>
    </w:p>
    <w:p w14:paraId="19E32476" w14:textId="46825A25"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5B79E9" w:rsidRPr="000479E9">
        <w:rPr>
          <w:rFonts w:ascii="Times New Roman" w:eastAsia="Times New Roman" w:hAnsi="Times New Roman" w:cs="Times New Roman"/>
          <w:b/>
          <w:bCs/>
          <w:sz w:val="24"/>
          <w:szCs w:val="24"/>
          <w:lang w:eastAsia="hr-HR"/>
        </w:rPr>
        <w:t>95</w:t>
      </w:r>
      <w:r w:rsidRPr="000479E9">
        <w:rPr>
          <w:rFonts w:ascii="Times New Roman" w:eastAsia="Times New Roman" w:hAnsi="Times New Roman" w:cs="Times New Roman"/>
          <w:b/>
          <w:bCs/>
          <w:sz w:val="24"/>
          <w:szCs w:val="24"/>
          <w:lang w:eastAsia="hr-HR"/>
        </w:rPr>
        <w:t>.</w:t>
      </w:r>
    </w:p>
    <w:p w14:paraId="46F3F86C" w14:textId="188E342F" w:rsidR="006D7101" w:rsidRPr="000479E9" w:rsidRDefault="006D7101" w:rsidP="00617A00">
      <w:pPr>
        <w:spacing w:after="0" w:line="240" w:lineRule="auto"/>
        <w:jc w:val="center"/>
        <w:rPr>
          <w:rFonts w:ascii="Times New Roman" w:eastAsia="Times New Roman" w:hAnsi="Times New Roman" w:cs="Times New Roman"/>
          <w:b/>
          <w:bCs/>
          <w:sz w:val="24"/>
          <w:szCs w:val="24"/>
          <w:lang w:eastAsia="hr-HR"/>
        </w:rPr>
      </w:pPr>
    </w:p>
    <w:p w14:paraId="133618D6" w14:textId="5E86C687" w:rsidR="00C10AC0" w:rsidRPr="000479E9" w:rsidRDefault="00C10AC0" w:rsidP="006D710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702. i članak 702. mijenjaju se i glase:</w:t>
      </w:r>
    </w:p>
    <w:p w14:paraId="182C78EC" w14:textId="77777777" w:rsidR="00C10AC0" w:rsidRPr="000479E9" w:rsidRDefault="00C10AC0" w:rsidP="006D7101">
      <w:pPr>
        <w:spacing w:after="0" w:line="240" w:lineRule="auto"/>
        <w:jc w:val="both"/>
        <w:rPr>
          <w:rFonts w:ascii="Times New Roman" w:eastAsia="Times New Roman" w:hAnsi="Times New Roman" w:cs="Times New Roman"/>
          <w:sz w:val="24"/>
          <w:szCs w:val="24"/>
          <w:lang w:eastAsia="hr-HR"/>
        </w:rPr>
      </w:pPr>
    </w:p>
    <w:p w14:paraId="5F8474A5" w14:textId="77777777" w:rsidR="00C10AC0" w:rsidRPr="000479E9" w:rsidRDefault="00C10AC0" w:rsidP="00C10AC0">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„Teži prekršaji investicijskog društva</w:t>
      </w:r>
    </w:p>
    <w:p w14:paraId="777BC20B" w14:textId="77777777" w:rsidR="00C10AC0" w:rsidRPr="000479E9" w:rsidRDefault="00C10AC0" w:rsidP="00C10AC0">
      <w:pPr>
        <w:spacing w:beforeLines="30" w:before="72" w:afterLines="30" w:after="72" w:line="240" w:lineRule="auto"/>
        <w:jc w:val="center"/>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Članak 702.</w:t>
      </w:r>
    </w:p>
    <w:p w14:paraId="61D0139C" w14:textId="11C91BEE"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Pr="000479E9">
        <w:t xml:space="preserve"> </w:t>
      </w:r>
      <w:r w:rsidRPr="000479E9">
        <w:rPr>
          <w:rFonts w:ascii="Times New Roman" w:eastAsia="Times New Roman" w:hAnsi="Times New Roman"/>
          <w:sz w:val="24"/>
          <w:szCs w:val="24"/>
          <w:lang w:eastAsia="hr-HR"/>
        </w:rPr>
        <w:t>Za teži prekršaj iz stavka 3. ovoga članka kaznit će se investicijsko društvo kao pravna osobe novčanom kaznom u iznosu koji je višekratnik broja 1000, a koja ne može biti manja od 50.000,00 eura ni veća od 10 % ukupnog prihoda koji je ostvarila u godini kada je počinjen prekršaj, utvrđen službenim financijskim izvještajima za tu godinu, a ako izvješća za tu godinu nema, uzet će se posljednje dostupno službeno godišnje izvješće.</w:t>
      </w:r>
    </w:p>
    <w:p w14:paraId="4662DDA6" w14:textId="77777777" w:rsidR="004372DC" w:rsidRPr="000479E9" w:rsidRDefault="00C10AC0" w:rsidP="004372DC">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Prekršaj iz stavka 1. ovoga članka smatra se težim ako je ispunjen jedan ili više sljedećih </w:t>
      </w:r>
      <w:r w:rsidR="004372DC" w:rsidRPr="000479E9">
        <w:rPr>
          <w:rFonts w:ascii="Times New Roman" w:eastAsia="Times New Roman" w:hAnsi="Times New Roman"/>
          <w:sz w:val="24"/>
          <w:szCs w:val="24"/>
          <w:lang w:eastAsia="hr-HR"/>
        </w:rPr>
        <w:t xml:space="preserve">primjenjivih </w:t>
      </w:r>
      <w:r w:rsidRPr="000479E9">
        <w:rPr>
          <w:rFonts w:ascii="Times New Roman" w:eastAsia="Times New Roman" w:hAnsi="Times New Roman"/>
          <w:sz w:val="24"/>
          <w:szCs w:val="24"/>
          <w:lang w:eastAsia="hr-HR"/>
        </w:rPr>
        <w:t>uvjeta</w:t>
      </w:r>
      <w:r w:rsidR="004372DC" w:rsidRPr="000479E9">
        <w:rPr>
          <w:rFonts w:ascii="Times New Roman" w:eastAsia="Times New Roman" w:hAnsi="Times New Roman"/>
          <w:sz w:val="24"/>
          <w:szCs w:val="24"/>
          <w:lang w:eastAsia="hr-HR"/>
        </w:rPr>
        <w:t xml:space="preserve">, pri čemu se okolnost koja već predstavlja obilježje prekršaja iz stavka 3. ovoga članka ne uzima sama po sebi kao osnova za utvrđenje ispunjenja nekog od ovih uvjeta: </w:t>
      </w:r>
    </w:p>
    <w:p w14:paraId="068D2C01" w14:textId="6B412ECF"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p>
    <w:p w14:paraId="71DFA78E" w14:textId="77777777"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opetovano ili sustavno, pri čemu se sustavnim smatra postupanje koje proizlazi iz uspostavljenih poslovnih praksi, organizacijskih nedostataka ili svjesnog obrasca postupanja</w:t>
      </w:r>
    </w:p>
    <w:p w14:paraId="2C2BE9B9" w14:textId="77777777"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tijekom duljeg razdoblja, pri čemu se trajanje procjenjuje uzimajući u obzir prirodu, učestalost i okolnosti konkretnog kršenja</w:t>
      </w:r>
    </w:p>
    <w:p w14:paraId="2BB230DB" w14:textId="77777777"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doveo je do značajne štete za klijente ili ulagatelje ili je stvorio konkretnu i neposrednu opasnost od nastanka takve štete</w:t>
      </w:r>
    </w:p>
    <w:p w14:paraId="6E090272" w14:textId="77777777"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ugrožavanja urednog funkcioniranja tržišta ili narušavanja integriteta tržišta, ili je stvorio konkretnu i neposrednu opasnost od nastanka takvog događaja</w:t>
      </w:r>
    </w:p>
    <w:p w14:paraId="6AAFB4CA" w14:textId="77777777"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2C9300F1" w14:textId="6E695A9E"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onemogućio</w:t>
      </w:r>
      <w:r w:rsidR="00E869A1" w:rsidRPr="000479E9">
        <w:rPr>
          <w:rFonts w:ascii="Times New Roman" w:eastAsia="Times New Roman" w:hAnsi="Times New Roman"/>
          <w:sz w:val="24"/>
          <w:szCs w:val="24"/>
          <w:lang w:eastAsia="hr-HR"/>
        </w:rPr>
        <w:t xml:space="preserve"> je</w:t>
      </w:r>
      <w:r w:rsidRPr="000479E9">
        <w:rPr>
          <w:rFonts w:ascii="Times New Roman" w:eastAsia="Times New Roman" w:hAnsi="Times New Roman"/>
          <w:sz w:val="24"/>
          <w:szCs w:val="24"/>
          <w:lang w:eastAsia="hr-HR"/>
        </w:rPr>
        <w:t xml:space="preserve"> ili znatno otežao nadzor Agencije</w:t>
      </w:r>
    </w:p>
    <w:p w14:paraId="1E97FAFD" w14:textId="5F9693FF"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povezan </w:t>
      </w:r>
      <w:r w:rsidR="00E869A1"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s</w:t>
      </w:r>
      <w:r w:rsidR="00E869A1"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 xml:space="preserve"> zlouporabom povjerljivih informacija ili imovine klijenata</w:t>
      </w:r>
    </w:p>
    <w:p w14:paraId="478482CB" w14:textId="0569F4FA" w:rsidR="004372DC" w:rsidRPr="000479E9" w:rsidRDefault="004372DC" w:rsidP="004372DC">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w:t>
      </w:r>
      <w:r w:rsidR="00E869A1" w:rsidRPr="000479E9">
        <w:rPr>
          <w:rFonts w:ascii="Times New Roman" w:eastAsia="Times New Roman" w:hAnsi="Times New Roman"/>
          <w:sz w:val="24"/>
          <w:szCs w:val="24"/>
          <w:lang w:eastAsia="hr-HR"/>
        </w:rPr>
        <w:t xml:space="preserve"> je</w:t>
      </w:r>
      <w:r w:rsidRPr="000479E9">
        <w:rPr>
          <w:rFonts w:ascii="Times New Roman" w:eastAsia="Times New Roman" w:hAnsi="Times New Roman"/>
          <w:sz w:val="24"/>
          <w:szCs w:val="24"/>
          <w:lang w:eastAsia="hr-HR"/>
        </w:rPr>
        <w:t xml:space="preserve"> do neurednih uvjeta trgovanja ili poremećaja na tržištu ili je stvorio konkretnu i neposrednu opasnost od nastanka takvog događaja.</w:t>
      </w:r>
    </w:p>
    <w:p w14:paraId="02170C5B"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teži prekršaj iz stavka 2. ovoga članka kaznit će se pravna osoba:</w:t>
      </w:r>
    </w:p>
    <w:p w14:paraId="4941BC5A"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ako suprotno članku 159. stavku 3. i članku 166. stavcima 1. i 2. ovoga Zakona Agenciji ne dostavi propisane izvještaje u propisanom roku</w:t>
      </w:r>
    </w:p>
    <w:p w14:paraId="79E39280"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ako suprotno članku 166. stavcima 7., 8., 9. i 11. ovoga Zakona ne objavi propisane izvještaje u propisanom roku</w:t>
      </w:r>
    </w:p>
    <w:p w14:paraId="2A78261F"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ako kao investicijsko društvo u likvidaciji obavlja poslove suprotno rješenju Agencije iz članka 49. stavka 4. ovoga Zakona</w:t>
      </w:r>
    </w:p>
    <w:p w14:paraId="5E5B4335"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 ako osnuje podružnicu ili ovlasti vezanog zastupnika na području druge države članice, bez prethodnog obavještavanja Agencije, suprotno članku 139. stavku 1. ovoga Zakona</w:t>
      </w:r>
    </w:p>
    <w:p w14:paraId="6E2E4130"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 ako počne pružati investicijske usluge i obavljati investicijske aktivnosti preko podružnice u drugoj državi članici prije isteka roka iz članka 140. stavka 3. ovoga Zakona</w:t>
      </w:r>
    </w:p>
    <w:p w14:paraId="7F87AEB8"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 ako osnuje podružnicu na području treće zemlje, bez prethodnog odobrenja Agencije, suprotno članku 143. stavku 1. ovoga Zakona</w:t>
      </w:r>
    </w:p>
    <w:p w14:paraId="1346B26C"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 ako regulatorni kapital padne ispod iznosa propisanog člankom 9. Uredbe (EU) br. 2019/2033</w:t>
      </w:r>
    </w:p>
    <w:p w14:paraId="1A378A2A"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 ako ne ustroji učinkovite postupke za utvrđivanje, upravljanje i praćenje rizika i izvještavanje o rizicima kojima je investicijsko društvo izloženo ili bi im moglo biti izloženo ili rizika koji predstavlja ili bi moglo predstavljati za druge kako je propisano člankom 50. stavkom 2. točkom 2. ovoga Zakona</w:t>
      </w:r>
    </w:p>
    <w:p w14:paraId="5FBC382F"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 ako ne uspostavi primjerene mehanizme unutarnje kontrole, uključujući odgovarajuće administrativne i računovodstvene postupke čija je namjena osiguravanje usklađenosti s odlukama i postupcima na svim razinama investicijskog društva kako je propisano člankom 50. stavkom 2. točkom 4. ovoga Zakona</w:t>
      </w:r>
    </w:p>
    <w:p w14:paraId="52C4557D"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10. ako mehanizmi unutarnje kontrole ili računovodstveni postupci investicijskog društva nisu ustrojeni na način da Agenciji omogućuju da u svakom trenutku provjeri </w:t>
      </w:r>
      <w:r w:rsidRPr="000479E9">
        <w:rPr>
          <w:rFonts w:ascii="Times New Roman" w:eastAsia="Times New Roman" w:hAnsi="Times New Roman"/>
          <w:sz w:val="24"/>
          <w:szCs w:val="24"/>
          <w:lang w:eastAsia="hr-HR"/>
        </w:rPr>
        <w:lastRenderedPageBreak/>
        <w:t>usklađenost društava s odredbama ovoga Zakona i Uredbom (EU) br. 2019/2033, u skladu s člankom 50. stavkom 6. ovoga Zakona</w:t>
      </w:r>
    </w:p>
    <w:p w14:paraId="51108443"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11. ako Agenciji ne dostavi ili dostavi nepotpune ili netočne informacije o usklađenosti s obvezom ispunjavanja kapitalnih zahtjeva iz članka 11. Uredbe (EU) br. 2019/2033, protivno članku 54. stavku 1. točki (b) te Uredbe</w:t>
      </w:r>
    </w:p>
    <w:p w14:paraId="01AECEBE"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12. ako Agenciji dostavi nepotpune ili netočne informacije o koncentracijskom riziku iz članka 11. Uredbe (EU) br. 2019/2033, protivno članku 54. stavku 1. točki (e) te Uredbe</w:t>
      </w:r>
    </w:p>
    <w:p w14:paraId="2A3DFEAE"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13. ako se izlaže koncentracijskom riziku većem od ograničenja utvrđenih u članku 37. Uredbe (EU) br. 2019/2033, ne dovodeći u pitanje članke 38. i 39. te Uredbe</w:t>
      </w:r>
    </w:p>
    <w:p w14:paraId="276020C6"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14. ako primjenjuje interni model bez odobrenja ili suprotno odobrenju Agencije iz članka 172. stavka 1. ovoga Zakona</w:t>
      </w:r>
    </w:p>
    <w:p w14:paraId="2DD601F4"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15. ako ponovljeno ili kontinuirano nema na raspolaganju dovoljno likvidne imovine, što je u suprotnosti s člankom 43. Uredbe (EU) br. 2019/2033</w:t>
      </w:r>
    </w:p>
    <w:p w14:paraId="0615C60F"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16. ako učestalo ne objavljuje informacije o ciljevima i politici upravljanja rizicima iz članka 47. Uredbe (EU) br. 2019/2033, suprotno obvezi iz toga članka Uredbe</w:t>
      </w:r>
    </w:p>
    <w:p w14:paraId="0C5BEDD1"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17. ako učestalo objavljuje nepotpune ili netočne informacije o ciljevima i politici upravljanja iz članka 47. Uredbe (EU) br. 2019/2033, suprotno obvezi iz toga članka Uredbe</w:t>
      </w:r>
    </w:p>
    <w:p w14:paraId="3DBF1F87"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18. ako učestalo ne objavljuje informacije o regulatornom kapitalu iz članka 49. stavka 1. Uredbe (EU) br. 2019/2033, suprotno obvezi iz toga članka Uredbe</w:t>
      </w:r>
    </w:p>
    <w:p w14:paraId="68294526"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19. ako učestalo objavljuje nepotpune ili netočne informacije o regulatornom kapitalu iz članka 49. stavka 1. Uredbe (EU) br. 2019/2033, suprotno obvezi iz toga članka Uredbe</w:t>
      </w:r>
    </w:p>
    <w:p w14:paraId="124EAB1C"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20. ako učestalo ne objavljuje informacije o svojoj usklađenosti sa zahtjevima utvrđenima u članku 11. stavku 1. Uredbe (EU) br. 2019/2033 i u članku 170. ovoga Zakona, suprotno obvezi iz članka 50. Uredbe (EU) br. 2019/2033</w:t>
      </w:r>
    </w:p>
    <w:p w14:paraId="6F06FEA7"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21. ako učestalo objavljuje nepotpune ili netočne informacije o svojoj usklađenosti sa zahtjevima utvrđenima u članku 11. stavku 1. Uredbe (EU) br. 2019/2033 i u članku 170. ovoga Zakona, suprotno obvezi iz članka 50. Uredbe (EU) br. 2019/2033</w:t>
      </w:r>
    </w:p>
    <w:p w14:paraId="7A643052"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22. ako vrši isplate imateljima instrumenata uključenih u regulatorni kapital investicijskog društva u slučajevima kada članci 28., 52. ili 63. Uredbe (EU) br. 575/2013 zabranjuju takvu isplatu imateljima instrumenata uključenih u regulatorni kapital</w:t>
      </w:r>
    </w:p>
    <w:p w14:paraId="709EAA1B"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23. ako suprotno zabrani iz članka 45. stavka 8. ovoga Zakona, nakon ukidanja odobrenja za rad, započne obavljati ili obavi novi posao vezan za obavljanje investicijskih usluga ili investicijskih aktivnosti</w:t>
      </w:r>
    </w:p>
    <w:p w14:paraId="11F0B271"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24. ako ne izradi ili Agenciji ne dostavi plan oporavka ili usvojeni plan oporavka, ne primjenjuje ili ne ažurira plan oporavka sukladno člancima 178. do 181. ovoga Zakona i pravilnika donesenog na temelju članka 178. stavka 10. ovoga Zakona</w:t>
      </w:r>
    </w:p>
    <w:p w14:paraId="59FA4A6D"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25. ako sklopi sporazum o potpori suprotno članku 182. stavku 3. ovoga Zakona ili ne obavijesti Agenciju o sklapanju sporazuma o potpori sukladno članku 186. stavcima 1., 2. i 3. ovoga Zakona</w:t>
      </w:r>
    </w:p>
    <w:p w14:paraId="72062C55" w14:textId="063548EC"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26. ako suprotno članku 18</w:t>
      </w:r>
      <w:r w:rsidR="001D2C05" w:rsidRPr="000479E9">
        <w:rPr>
          <w:rFonts w:ascii="Times New Roman" w:eastAsia="Times New Roman" w:hAnsi="Times New Roman"/>
          <w:sz w:val="24"/>
          <w:szCs w:val="24"/>
          <w:lang w:eastAsia="hr-HR"/>
        </w:rPr>
        <w:t>9</w:t>
      </w:r>
      <w:r w:rsidRPr="000479E9">
        <w:rPr>
          <w:rFonts w:ascii="Times New Roman" w:eastAsia="Times New Roman" w:hAnsi="Times New Roman"/>
          <w:sz w:val="24"/>
          <w:szCs w:val="24"/>
          <w:lang w:eastAsia="hr-HR"/>
        </w:rPr>
        <w:t>. stavku 1. ovoga Zakona da potporu bez prethodne suglasnosti Agencije ili ako ne obavijesti o namjeri davanja potpore sukladno članku 189. stavcima 1. i 2. ovoga Zakona</w:t>
      </w:r>
    </w:p>
    <w:p w14:paraId="71DFB8EE"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27. ako ne dostavi odluku o davanju financijske potpore sukladno članku 190. stavku 1. ovoga Zakona ili ako javno ne objavi ili najmanje jednom godišnje ne ažurira informacije iz članka 190. stavka 3. ovoga Zakona protivno članku 190. stavku 3. ovoga Zakona</w:t>
      </w:r>
    </w:p>
    <w:p w14:paraId="2EC66CA3"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28. ako obavlja druge djelatnosti, osim onih za koje je dobila odobrenje za rad, suprotno zabrani iz članka 37. stavka 2. ovoga Zakona</w:t>
      </w:r>
    </w:p>
    <w:p w14:paraId="0D426B88"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29. ako za člana uprave imenuje osobu koja ne ispunjava uvjete iz članka 28. stavka 1. ovoga Zakona</w:t>
      </w:r>
    </w:p>
    <w:p w14:paraId="4823EA5E"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30. ako ne smijeni člana uprave koji prestane ispunjavati uvjete iz članka 28. stavka 1. ovoga Zakona</w:t>
      </w:r>
    </w:p>
    <w:p w14:paraId="24E2E733" w14:textId="77777777" w:rsidR="00C10AC0" w:rsidRPr="000479E9" w:rsidRDefault="00C10AC0" w:rsidP="00C10AC0">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31. ako ne osigura da članovi uprave u svakom trenutku ispunjavaju uvjete iz članka 28. stavka 1. ovoga Zakona i ne provede procjenu njihove primjerenosti prije preuzimanja dužnosti i periodično tijekom obavljanja funkcije, u skladu s člankom 28. stavkom 3. ovoga Zakona</w:t>
      </w:r>
    </w:p>
    <w:p w14:paraId="4DD3C543" w14:textId="77777777" w:rsidR="00C10AC0" w:rsidRPr="000479E9" w:rsidRDefault="00C10AC0" w:rsidP="00C10AC0">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32. ako ne sastavlja, održava i/ili ažurira pojedinačne izjave kojima se utvrđuju uloge i dužnosti članova uprave, višeg rukovodstva i nositelja ključnih funkcija te mapiranje dužnosti, suprotno članku 31. stavku 2. ovoga Zakona</w:t>
      </w:r>
    </w:p>
    <w:p w14:paraId="489F841D"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33. ako na zahtjev Agencije ne dostavi bez odgode dokumentaciju iz članka 31. stavka 2. ovoga Zakona, suprotno članku 31. stavku 3. ovoga Zakona</w:t>
      </w:r>
    </w:p>
    <w:p w14:paraId="2A9C25B4" w14:textId="77777777" w:rsidR="00C10AC0" w:rsidRPr="000479E9" w:rsidRDefault="00C10AC0" w:rsidP="00C10AC0">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34. ako za člana nadzornog odbora imenuje osobu koja ne ispunjava uvjete iz članka 34. stavka 5. ovoga Zakona</w:t>
      </w:r>
    </w:p>
    <w:p w14:paraId="435F23B6" w14:textId="77777777"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35. ako ne smijeni člana nadzornog odbora koji prestane ispunjavati uvjete iz članka 34. stavka 5. ovoga Zakona</w:t>
      </w:r>
    </w:p>
    <w:p w14:paraId="33E9D53C" w14:textId="77777777" w:rsidR="00C10AC0" w:rsidRPr="000479E9" w:rsidRDefault="00C10AC0" w:rsidP="00C10AC0">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36. ako ne donese i ne primjeni primjerene politike za izbor i procjenu primjerenosti nositelja ključnih funkcija, u skladu s člankom 35. stavkom 2. ovoga Zakona</w:t>
      </w:r>
    </w:p>
    <w:p w14:paraId="2CA629A7" w14:textId="77777777" w:rsidR="00C10AC0" w:rsidRPr="000479E9" w:rsidRDefault="00C10AC0" w:rsidP="00C10AC0">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37. ako ne osigura da nositelji ključnih funkcija u svakom trenutku ispunjavaju uvjete iz članka 35. stavka 2. ovoga Zakona i ne provede procjenu njihove primjerenosti prije preuzimanja dužnosti i periodično tijekom obavljanja funkcije, u skladu s člankom 35. stavkom 3. ovoga Zakona</w:t>
      </w:r>
    </w:p>
    <w:p w14:paraId="7D98B0C0" w14:textId="05A13A30"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38. ako ne dostavi na zahtjev Agenciji izvješće o radu funkcije usklađenosti, protivno članku 54. stavku 6. ovoga Zakona</w:t>
      </w:r>
      <w:r w:rsidR="00AC0CE7" w:rsidRPr="000479E9">
        <w:rPr>
          <w:rFonts w:ascii="Times New Roman" w:eastAsia="Times New Roman" w:hAnsi="Times New Roman"/>
          <w:sz w:val="24"/>
          <w:szCs w:val="24"/>
          <w:lang w:eastAsia="hr-HR"/>
        </w:rPr>
        <w:t>.</w:t>
      </w:r>
    </w:p>
    <w:p w14:paraId="5066064E" w14:textId="188BC1DA" w:rsidR="00C10AC0" w:rsidRPr="000479E9" w:rsidRDefault="00AC0CE7"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C10AC0" w:rsidRPr="000479E9">
        <w:rPr>
          <w:rFonts w:ascii="Times New Roman" w:eastAsia="Times New Roman" w:hAnsi="Times New Roman"/>
          <w:sz w:val="24"/>
          <w:szCs w:val="24"/>
          <w:lang w:eastAsia="hr-HR"/>
        </w:rPr>
        <w:t>) Iznimno od stavka 1. ovoga članka, ako je investicijsko društvo prekršajem iz stavka 3. ovoga članka ostvarilo korist ili spriječilo gubitak, a iznos tako ostvarene koristi ili spriječenog gubitka moguće je utvrditi, kaznit će se za prekršaj novčanom kaznom u iznosu dvostruko utvrđenog iznosa tako ostvarene koristi odnosno tako spriječenog gubitka, ako je taj iznos veći od propisanog najvećeg iznosa novčane kazne iz stavka 1. ovoga članka.</w:t>
      </w:r>
    </w:p>
    <w:p w14:paraId="750CBED7" w14:textId="44059E1C"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Za prekršaje iz stavka 1. ovoga članka kaznit će se i odgovorna osoba pravne osobe novčanom kaznom u iznosu od 20.000,00 do 100.000,00 eura.</w:t>
      </w:r>
    </w:p>
    <w:p w14:paraId="05023C83" w14:textId="5953FD5C" w:rsidR="00C10AC0" w:rsidRPr="000479E9" w:rsidRDefault="00C10AC0" w:rsidP="00C10AC0">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Ako je prekršaj iz stavka 1. ovoga članka počinilo podređeno društvo, ukupni prihod jednak je prihodu u poslovnoj godini koji proizlazi iz konsolidiranog financijskog izvještaja krajnjeg nadređenog društva u prethodnoj poslovnoj godini.“</w:t>
      </w:r>
      <w:r w:rsidR="0005762C" w:rsidRPr="000479E9">
        <w:rPr>
          <w:rFonts w:ascii="Times New Roman" w:eastAsia="Times New Roman" w:hAnsi="Times New Roman"/>
          <w:sz w:val="24"/>
          <w:szCs w:val="24"/>
          <w:lang w:eastAsia="hr-HR"/>
        </w:rPr>
        <w:t>.</w:t>
      </w:r>
    </w:p>
    <w:p w14:paraId="7D658351" w14:textId="77777777" w:rsidR="008442F3" w:rsidRPr="000479E9" w:rsidRDefault="008442F3" w:rsidP="00A0376A">
      <w:pPr>
        <w:spacing w:after="0" w:line="240" w:lineRule="auto"/>
        <w:jc w:val="both"/>
        <w:rPr>
          <w:rFonts w:ascii="Times New Roman" w:eastAsia="Times New Roman" w:hAnsi="Times New Roman" w:cs="Times New Roman"/>
          <w:sz w:val="24"/>
          <w:szCs w:val="24"/>
          <w:lang w:eastAsia="hr-HR"/>
        </w:rPr>
      </w:pPr>
    </w:p>
    <w:p w14:paraId="2BBC7FC3" w14:textId="453B2F8B" w:rsidR="0064335D" w:rsidRPr="000479E9" w:rsidRDefault="0064335D" w:rsidP="008442F3">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4372DC" w:rsidRPr="000479E9">
        <w:rPr>
          <w:rFonts w:ascii="Times New Roman" w:eastAsia="Times New Roman" w:hAnsi="Times New Roman" w:cs="Times New Roman"/>
          <w:b/>
          <w:sz w:val="24"/>
          <w:szCs w:val="24"/>
          <w:lang w:eastAsia="hr-HR"/>
        </w:rPr>
        <w:t>96</w:t>
      </w:r>
      <w:r w:rsidRPr="000479E9">
        <w:rPr>
          <w:rFonts w:ascii="Times New Roman" w:eastAsia="Times New Roman" w:hAnsi="Times New Roman" w:cs="Times New Roman"/>
          <w:b/>
          <w:sz w:val="24"/>
          <w:szCs w:val="24"/>
          <w:lang w:eastAsia="hr-HR"/>
        </w:rPr>
        <w:t xml:space="preserve">. </w:t>
      </w:r>
    </w:p>
    <w:p w14:paraId="03F9F759" w14:textId="77777777" w:rsidR="0064335D" w:rsidRPr="000479E9" w:rsidRDefault="0064335D" w:rsidP="0064335D">
      <w:pPr>
        <w:spacing w:after="0" w:line="240" w:lineRule="auto"/>
        <w:rPr>
          <w:rFonts w:ascii="Times New Roman" w:eastAsia="Times New Roman" w:hAnsi="Times New Roman" w:cs="Times New Roman"/>
          <w:b/>
          <w:sz w:val="24"/>
          <w:szCs w:val="24"/>
          <w:lang w:eastAsia="hr-HR"/>
        </w:rPr>
      </w:pPr>
    </w:p>
    <w:p w14:paraId="72FEF4D7" w14:textId="0A9BCEFA" w:rsidR="0064335D" w:rsidRPr="000479E9" w:rsidRDefault="0064335D" w:rsidP="0064335D">
      <w:pPr>
        <w:spacing w:after="0" w:line="240" w:lineRule="auto"/>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Iza članka 702. dodaju se naslov iznad članka i članak 702.a koji glase:</w:t>
      </w:r>
    </w:p>
    <w:p w14:paraId="67CCEE28" w14:textId="77777777" w:rsidR="0064335D" w:rsidRPr="000479E9" w:rsidRDefault="0064335D" w:rsidP="0064335D">
      <w:pPr>
        <w:spacing w:after="0" w:line="240" w:lineRule="auto"/>
        <w:rPr>
          <w:rFonts w:ascii="Times New Roman" w:eastAsia="Times New Roman" w:hAnsi="Times New Roman" w:cs="Times New Roman"/>
          <w:bCs/>
          <w:sz w:val="24"/>
          <w:szCs w:val="24"/>
          <w:lang w:eastAsia="hr-HR"/>
        </w:rPr>
      </w:pPr>
    </w:p>
    <w:p w14:paraId="0CB55B67" w14:textId="2B200C42" w:rsidR="0064335D" w:rsidRPr="000479E9" w:rsidRDefault="0064335D" w:rsidP="0064335D">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„Lakši prekršaji investicijskih društava  </w:t>
      </w:r>
    </w:p>
    <w:p w14:paraId="248028FB" w14:textId="799079D7" w:rsidR="0064335D" w:rsidRPr="000479E9" w:rsidRDefault="0064335D" w:rsidP="0064335D">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Članak 702</w:t>
      </w:r>
      <w:r w:rsidR="00F443D2" w:rsidRPr="000479E9">
        <w:rPr>
          <w:rFonts w:ascii="Times New Roman" w:eastAsia="Times New Roman" w:hAnsi="Times New Roman"/>
          <w:iCs/>
          <w:sz w:val="24"/>
          <w:szCs w:val="24"/>
          <w:lang w:eastAsia="hr-HR"/>
        </w:rPr>
        <w:t>.</w:t>
      </w:r>
      <w:r w:rsidRPr="000479E9">
        <w:rPr>
          <w:rFonts w:ascii="Times New Roman" w:eastAsia="Times New Roman" w:hAnsi="Times New Roman"/>
          <w:iCs/>
          <w:sz w:val="24"/>
          <w:szCs w:val="24"/>
          <w:lang w:eastAsia="hr-HR"/>
        </w:rPr>
        <w:t xml:space="preserve">a </w:t>
      </w:r>
    </w:p>
    <w:p w14:paraId="63B0DF40" w14:textId="369F2BCF"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(1)Za prekršaj kod kojeg nije ispunjen jedan ili više uvjeta iz članka 702. </w:t>
      </w:r>
      <w:r w:rsidR="00685A4A">
        <w:rPr>
          <w:rFonts w:ascii="Times New Roman" w:eastAsia="Times New Roman" w:hAnsi="Times New Roman"/>
          <w:iCs/>
          <w:sz w:val="24"/>
          <w:szCs w:val="24"/>
          <w:lang w:eastAsia="hr-HR"/>
        </w:rPr>
        <w:t>s</w:t>
      </w:r>
      <w:r w:rsidRPr="000479E9">
        <w:rPr>
          <w:rFonts w:ascii="Times New Roman" w:eastAsia="Times New Roman" w:hAnsi="Times New Roman"/>
          <w:iCs/>
          <w:sz w:val="24"/>
          <w:szCs w:val="24"/>
          <w:lang w:eastAsia="hr-HR"/>
        </w:rPr>
        <w:t>tavka 2. ovoga Zakona, kaznit će se pravna osoba novčanom kaznom u iznosu od 3.000</w:t>
      </w:r>
      <w:r w:rsidR="00685A4A">
        <w:rPr>
          <w:rFonts w:ascii="Times New Roman" w:eastAsia="Times New Roman" w:hAnsi="Times New Roman"/>
          <w:iCs/>
          <w:sz w:val="24"/>
          <w:szCs w:val="24"/>
          <w:lang w:eastAsia="hr-HR"/>
        </w:rPr>
        <w:t>,00</w:t>
      </w:r>
      <w:r w:rsidRPr="000479E9">
        <w:rPr>
          <w:rFonts w:ascii="Times New Roman" w:eastAsia="Times New Roman" w:hAnsi="Times New Roman"/>
          <w:iCs/>
          <w:sz w:val="24"/>
          <w:szCs w:val="24"/>
          <w:lang w:eastAsia="hr-HR"/>
        </w:rPr>
        <w:t xml:space="preserve"> do 70.000</w:t>
      </w:r>
      <w:r w:rsidR="00685A4A">
        <w:rPr>
          <w:rFonts w:ascii="Times New Roman" w:eastAsia="Times New Roman" w:hAnsi="Times New Roman"/>
          <w:iCs/>
          <w:sz w:val="24"/>
          <w:szCs w:val="24"/>
          <w:lang w:eastAsia="hr-HR"/>
        </w:rPr>
        <w:t>,00</w:t>
      </w:r>
      <w:r w:rsidRPr="000479E9">
        <w:rPr>
          <w:rFonts w:ascii="Times New Roman" w:eastAsia="Times New Roman" w:hAnsi="Times New Roman"/>
          <w:iCs/>
          <w:sz w:val="24"/>
          <w:szCs w:val="24"/>
          <w:lang w:eastAsia="hr-HR"/>
        </w:rPr>
        <w:t xml:space="preserve"> eura, ako: </w:t>
      </w:r>
    </w:p>
    <w:p w14:paraId="137191B0"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 ako suprotno članku 159. stavku 3. i članku 166. stavcima 1. i 2. ovoga Zakona Agenciji ne dostavi propisane izvještaje u propisanom roku </w:t>
      </w:r>
    </w:p>
    <w:p w14:paraId="06EED4F3"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 ako suprotno članku 166. stavcima 7., 8., 9. i 11. ovoga Zakona ne objavi propisane izvještaje u propisanom roku </w:t>
      </w:r>
    </w:p>
    <w:p w14:paraId="136C10BF"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3. ako kao investicijsko društvo u likvidaciji obavlja poslove suprotno rješenju Agencije iz članka 49. stavka 4. ovoga Zakona </w:t>
      </w:r>
    </w:p>
    <w:p w14:paraId="33CB3825"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4. ako osnuje podružnicu ili ovlasti vezanog zastupnika na području druge države članice, bez prethodnog obavještavanja Agencije, suprotno članku 139. stavku 1. ovoga Zakona </w:t>
      </w:r>
    </w:p>
    <w:p w14:paraId="1635A53B"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5. ako počne pružati investicijske usluge i obavljati investicijske aktivnosti preko podružnice u drugoj državi članici prije isteka roka iz članka 140. stavka 3. ovoga Zakona </w:t>
      </w:r>
    </w:p>
    <w:p w14:paraId="23108E58"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6. ako osnuje podružnicu na području treće zemlje, bez prethodnog odobrenja Agencije, suprotno članku 143. stavku 1. ovoga Zakona </w:t>
      </w:r>
    </w:p>
    <w:p w14:paraId="4D318B80"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7. ako regulatorni kapital padne ispod iznosa propisanog člankom 9. Uredbe (EU) br. 2019/2033 </w:t>
      </w:r>
    </w:p>
    <w:p w14:paraId="00C19CEC"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8. ako ne ustroji učinkovite postupke za utvrđivanje, upravljanje i praćenje rizika i izvještavanje o rizicima kojima je investicijsko društvo izloženo ili bi im moglo biti izloženo ili rizika koji predstavlja ili bi moglo predstavljati za druge kako je propisano člankom 50. stavkom 2. točkom 2. ovoga Zakona </w:t>
      </w:r>
    </w:p>
    <w:p w14:paraId="1EADC109"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9. ako ne uspostavi primjerene mehanizme unutarnje kontrole, uključujući odgovarajuće administrativne i računovodstvene postupke čija je namjena osiguravanje usklađenosti s odlukama i postupcima na svim razinama investicijskog društva kako je propisano člankom 50. stavkom 2. točkom 4. ovoga Zakona </w:t>
      </w:r>
    </w:p>
    <w:p w14:paraId="0AD32BB3"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10. ako mehanizmi unutarnje kontrole ili računovodstveni postupci investicijskog društva nisu ustrojeni na način da Agenciji omogućuju da u svakom trenutku provjeri usklađenost društava s odredbama ovoga Zakona i Uredbom (EU) br. 2019/2033, u skladu s člankom 50. stavkom 6. ovoga Zakona </w:t>
      </w:r>
    </w:p>
    <w:p w14:paraId="62401E32"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lastRenderedPageBreak/>
        <w:t xml:space="preserve">11. ako Agenciji ne dostavi ili dostavi nepotpune ili netočne informacije o usklađenosti s obvezom ispunjavanja kapitalnih zahtjeva iz članka 11. Uredbe (EU) br. 2019/2033, protivno članku 54. stavku 1. točki (b) te Uredbe </w:t>
      </w:r>
    </w:p>
    <w:p w14:paraId="50D35425"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12. ako Agenciji dostavi nepotpune ili netočne informacije o koncentracijskom riziku iz članka 11. Uredbe (EU) br. 2019/2033, protivno članku 54. stavku 1. točki (e) te Uredbe </w:t>
      </w:r>
    </w:p>
    <w:p w14:paraId="564FE7DB"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13. ako se izlaže koncentracijskom riziku većem od ograničenja utvrđenih u članku 37. Uredbe (EU) br. 2019/2033, ne dovodeći u pitanje članke 38. i 39. te Uredbe </w:t>
      </w:r>
    </w:p>
    <w:p w14:paraId="527EA349"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14. ako primjenjuje interni model bez odobrenja ili suprotno odobrenju Agencije iz članka 172. stavka 1. ovoga Zakona </w:t>
      </w:r>
    </w:p>
    <w:p w14:paraId="5F4B027B"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15. ako ponovljeno ili kontinuirano nema na raspolaganju dovoljno likvidne imovine, što je u suprotnosti s člankom 43. Uredbe (EU) br. 2019/2033 </w:t>
      </w:r>
    </w:p>
    <w:p w14:paraId="5BAB1627"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16. ako učestalo ne objavljuje informacije o ciljevima i politici upravljanja rizicima iz članka 47. Uredbe (EU) br. 2019/2033, suprotno obvezi iz toga članka Uredbe </w:t>
      </w:r>
    </w:p>
    <w:p w14:paraId="4D7DBE78"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17. ako učestalo objavljuje nepotpune ili netočne informacije o ciljevima i politici upravljanja iz članka 47. Uredbe (EU) br. 2019/2033, suprotno obvezi iz toga članka Uredbe </w:t>
      </w:r>
    </w:p>
    <w:p w14:paraId="6C00D570"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18. ako učestalo ne objavljuje informacije o regulatornom kapitalu iz članka 49. stavka 1. Uredbe (EU) br. 2019/2033, suprotno obvezi iz toga članka Uredbe </w:t>
      </w:r>
    </w:p>
    <w:p w14:paraId="77090D57"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19. ako učestalo objavljuje nepotpune ili netočne informacije o regulatornom kapitalu iz članka 49. stavka 1. Uredbe (EU) br. 2019/2033, suprotno obvezi iz toga članka Uredbe </w:t>
      </w:r>
    </w:p>
    <w:p w14:paraId="3151B2ED"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20. ako učestalo ne objavljuje informacije o svojoj usklađenosti sa zahtjevima utvrđenima u članku 11. stavku 1. Uredbe (EU) br. 2019/2033 i u članku 170. ovoga Zakona, suprotno obvezi iz članka 50. Uredbe (EU) br. 2019/2033 </w:t>
      </w:r>
    </w:p>
    <w:p w14:paraId="2649EC5D"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21. ako učestalo objavljuje nepotpune ili netočne informacije o svojoj usklađenosti sa zahtjevima utvrđenima u članku 11. stavku 1. Uredbe (EU) br. 2019/2033 i u članku 170. ovoga Zakona, suprotno obvezi iz članka 50. Uredbe (EU) br. 2019/2033 </w:t>
      </w:r>
    </w:p>
    <w:p w14:paraId="7CFD8373"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22. ako vrši isplate imateljima instrumenata uključenih u regulatorni kapital investicijskog društva u slučajevima kada članci 28., 52. ili 63. Uredbe (EU) br. 575/2013 zabranjuju takvu isplatu imateljima instrumenata uključenih u regulatorni kapital </w:t>
      </w:r>
    </w:p>
    <w:p w14:paraId="24A8C08D"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23. ako suprotno zabrani iz članka 45. stavka 8. ovoga Zakona, nakon ukidanja odobrenja za rad, započne obavljati ili obavi novi posao vezan za obavljanje investicijskih usluga ili investicijskih aktivnosti </w:t>
      </w:r>
    </w:p>
    <w:p w14:paraId="78EF98BE"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24. ako ne izradi ili Agenciji ne dostavi plan oporavka ili usvojeni plan oporavka, ne primjenjuje ili ne ažurira plan oporavka sukladno člancima 178. do 181. ovoga Zakona i pravilnika donesenog na temelju članka 178. stavka 10. ovoga Zakona </w:t>
      </w:r>
    </w:p>
    <w:p w14:paraId="1AC3A1B8"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25. ako sklopi sporazum o potpori suprotno članku 182. stavku 3. ovoga Zakona ili ne obavijesti Agenciju o sklapanju sporazuma o potpori sukladno članku 186. stavcima 1., 2. i 3. ovoga Zakona </w:t>
      </w:r>
    </w:p>
    <w:p w14:paraId="5E1FCA83" w14:textId="165FFA61"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lastRenderedPageBreak/>
        <w:t>26. ako suprotno članku 18</w:t>
      </w:r>
      <w:r w:rsidR="00721185" w:rsidRPr="000479E9">
        <w:rPr>
          <w:rFonts w:ascii="Times New Roman" w:eastAsia="Times New Roman" w:hAnsi="Times New Roman"/>
          <w:iCs/>
          <w:sz w:val="24"/>
          <w:szCs w:val="24"/>
          <w:lang w:eastAsia="hr-HR"/>
        </w:rPr>
        <w:t>9</w:t>
      </w:r>
      <w:r w:rsidRPr="000479E9">
        <w:rPr>
          <w:rFonts w:ascii="Times New Roman" w:eastAsia="Times New Roman" w:hAnsi="Times New Roman"/>
          <w:iCs/>
          <w:sz w:val="24"/>
          <w:szCs w:val="24"/>
          <w:lang w:eastAsia="hr-HR"/>
        </w:rPr>
        <w:t xml:space="preserve">. stavku 1. ovoga Zakona da potporu bez prethodne suglasnosti Agencije ili ako ne obavijesti o namjeri davanja potpore sukladno članku 189. stavcima 1. i 2. ovoga Zakona </w:t>
      </w:r>
    </w:p>
    <w:p w14:paraId="04A8E60D"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27. ako ne dostavi odluku o davanju financijske potpore sukladno članku 190. stavku 1. ovoga Zakona ili ako javno ne objavi ili najmanje jednom godišnje ne ažurira informacije iz članka 190. stavka 3. ovoga Zakona protivno članku 190. stavku 3. ovoga Zakona </w:t>
      </w:r>
    </w:p>
    <w:p w14:paraId="5E8E27C2"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28. ako obavlja druge djelatnosti, osim onih za koje je dobila odobrenje za rad, suprotno zabrani iz članka 37. stavka 2. ovoga Zakona </w:t>
      </w:r>
    </w:p>
    <w:p w14:paraId="0E982FAC"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29. ako za člana uprave imenuje osobu koja ne ispunjava uvjete iz članka 28. stavka 1. ovoga Zakona </w:t>
      </w:r>
    </w:p>
    <w:p w14:paraId="7F698610"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30. ako ne smijeni člana uprave koji prestane ispunjavati uvjete iz članka 28. stavka 1. ovoga Zakona </w:t>
      </w:r>
    </w:p>
    <w:p w14:paraId="0E4916F1" w14:textId="77777777" w:rsidR="0064335D" w:rsidRPr="000479E9" w:rsidRDefault="0064335D" w:rsidP="0064335D">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31. ako ne osigura da članovi uprave u svakom trenutku ispunjavaju uvjete iz članka 28. stavka 1. ovoga Zakona i ne provede procjenu njihove primjerenosti prije preuzimanja dužnosti i periodično tijekom obavljanja funkcije, u skladu s člankom 28. stavkom 3. ovoga Zakona</w:t>
      </w:r>
    </w:p>
    <w:p w14:paraId="2501CA3C" w14:textId="77777777" w:rsidR="0064335D" w:rsidRPr="000479E9" w:rsidRDefault="0064335D" w:rsidP="0064335D">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32. ako ne sastavlja, održava i/ili ažurira pojedinačne izjave kojima se utvrđuju uloge i dužnosti članova uprave, višeg rukovodstva i nositelja ključnih funkcija te mapiranje dužnosti, suprotno članku 31. stavku 2. ovoga Zakona</w:t>
      </w:r>
    </w:p>
    <w:p w14:paraId="50B8197E" w14:textId="77777777" w:rsidR="0064335D" w:rsidRPr="000479E9" w:rsidRDefault="0064335D" w:rsidP="0064335D">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33. ako na zahtjev Agencije ne dostavi bez odgode dokumentaciju iz članka 31. stavka 2. ovoga Zakona, suprotno članku 31. stavku 3. ovoga Zakona</w:t>
      </w:r>
    </w:p>
    <w:p w14:paraId="41B6CB5E" w14:textId="77777777"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34. ako za člana nadzornog odbora imenuje osobu koja ne ispunjava uvjete iz članka 34. stavka 5. ovoga Zakona </w:t>
      </w:r>
    </w:p>
    <w:p w14:paraId="1CA4B1C3" w14:textId="1627C064"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35. ako ne smijeni člana nadzornog odbora koji prestane ispunjavati uvjete iz članka 34. stavka 5. ovoga Zakona</w:t>
      </w:r>
    </w:p>
    <w:p w14:paraId="75444CCB" w14:textId="77777777" w:rsidR="0064335D" w:rsidRPr="000479E9" w:rsidRDefault="0064335D" w:rsidP="0064335D">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36. ako ne donese i ne primjeni primjerene politike za izbor i procjenu primjerenosti nositelja ključnih funkcija, u skladu s člankom 35. stavkom 2. ovoga Zakona</w:t>
      </w:r>
    </w:p>
    <w:p w14:paraId="58430879" w14:textId="77777777" w:rsidR="0064335D" w:rsidRPr="000479E9" w:rsidRDefault="0064335D" w:rsidP="0064335D">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37. ako ne osigura da nositelji ključnih funkcija u svakom trenutku ispunjavaju uvjete iz članka 35. stavka 2. ovoga Zakona i ne provede procjenu njihove primjerenosti prije preuzimanja dužnosti i periodično tijekom obavljanja funkcije, u skladu s člankom 35. stavkom 3. ovoga Zakona</w:t>
      </w:r>
    </w:p>
    <w:p w14:paraId="1EA8E632" w14:textId="0E0C7760" w:rsidR="0064335D" w:rsidRPr="000479E9" w:rsidRDefault="0064335D" w:rsidP="0064335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23738D"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ako ne dostavi na zahtjev Agenciji izvješće o radu funkcije usklađenosti, protivno članku 54. stavku 6. ovoga Zakona.</w:t>
      </w:r>
    </w:p>
    <w:p w14:paraId="5093D6A4" w14:textId="7B151F7F"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(2) Iznimno od stavka 1. ovoga članka, u slučaju da je pravna osoba prekršajem iz stavka 1. ovoga članka ostvarila korist ili spriječila gubitak, a iznos tako ostvarene koristi ili spriječenog gubitka može se utvrditi, kaznit će se za prekršaj novčanom kaznom u iznosu dvostruko utvrđenog iznosa tako ostvarene koristi odnosno tako spriječenog gubitka, ako je taj iznos veći od propisanog najvećeg iznosa novčane kazne iz stavka 1. ovoga članka. </w:t>
      </w:r>
    </w:p>
    <w:p w14:paraId="529E408C" w14:textId="0F4C5673" w:rsidR="0064335D" w:rsidRPr="000479E9" w:rsidRDefault="0064335D" w:rsidP="0064335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(3) Za prekršaj iz stavka 1. ovoga članka kaznit će se i odgovorna osoba pravne osobe novčanom kaznom u iznosu od 1.320,00 do 10.000,00 eura.“</w:t>
      </w:r>
      <w:r w:rsidR="0005762C" w:rsidRPr="000479E9">
        <w:rPr>
          <w:rFonts w:ascii="Times New Roman" w:eastAsia="Times New Roman" w:hAnsi="Times New Roman"/>
          <w:iCs/>
          <w:sz w:val="24"/>
          <w:szCs w:val="24"/>
          <w:lang w:eastAsia="hr-HR"/>
        </w:rPr>
        <w:t>.</w:t>
      </w:r>
    </w:p>
    <w:p w14:paraId="58F7596B" w14:textId="77777777" w:rsidR="0064335D" w:rsidRPr="000479E9" w:rsidRDefault="0064335D" w:rsidP="008442F3">
      <w:pPr>
        <w:spacing w:after="0" w:line="240" w:lineRule="auto"/>
        <w:jc w:val="center"/>
        <w:rPr>
          <w:rFonts w:ascii="Times New Roman" w:eastAsia="Times New Roman" w:hAnsi="Times New Roman" w:cs="Times New Roman"/>
          <w:b/>
          <w:sz w:val="24"/>
          <w:szCs w:val="24"/>
          <w:lang w:eastAsia="hr-HR"/>
        </w:rPr>
      </w:pPr>
    </w:p>
    <w:p w14:paraId="59A9F22C" w14:textId="77777777" w:rsidR="0064335D" w:rsidRPr="000479E9" w:rsidRDefault="0064335D" w:rsidP="008442F3">
      <w:pPr>
        <w:spacing w:after="0" w:line="240" w:lineRule="auto"/>
        <w:jc w:val="center"/>
        <w:rPr>
          <w:rFonts w:ascii="Times New Roman" w:eastAsia="Times New Roman" w:hAnsi="Times New Roman" w:cs="Times New Roman"/>
          <w:b/>
          <w:sz w:val="24"/>
          <w:szCs w:val="24"/>
          <w:lang w:eastAsia="hr-HR"/>
        </w:rPr>
      </w:pPr>
    </w:p>
    <w:p w14:paraId="0841241C" w14:textId="7466372E" w:rsidR="00DF264A" w:rsidRPr="000479E9" w:rsidRDefault="008442F3" w:rsidP="008442F3">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071C5C" w:rsidRPr="000479E9">
        <w:rPr>
          <w:rFonts w:ascii="Times New Roman" w:eastAsia="Times New Roman" w:hAnsi="Times New Roman" w:cs="Times New Roman"/>
          <w:b/>
          <w:sz w:val="24"/>
          <w:szCs w:val="24"/>
          <w:lang w:eastAsia="hr-HR"/>
        </w:rPr>
        <w:t>9</w:t>
      </w:r>
      <w:r w:rsidR="00143B5A" w:rsidRPr="000479E9">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w:t>
      </w:r>
    </w:p>
    <w:p w14:paraId="1DCE271D" w14:textId="77777777" w:rsidR="00C52658" w:rsidRPr="000479E9" w:rsidRDefault="00C52658" w:rsidP="008442F3">
      <w:pPr>
        <w:spacing w:after="0" w:line="240" w:lineRule="auto"/>
        <w:jc w:val="center"/>
        <w:rPr>
          <w:rFonts w:ascii="Times New Roman" w:eastAsia="Times New Roman" w:hAnsi="Times New Roman" w:cs="Times New Roman"/>
          <w:sz w:val="24"/>
          <w:szCs w:val="24"/>
          <w:lang w:eastAsia="hr-HR"/>
        </w:rPr>
      </w:pPr>
    </w:p>
    <w:p w14:paraId="49CF6D94" w14:textId="0AC9B9D3" w:rsidR="008442F3" w:rsidRPr="000479E9" w:rsidRDefault="008442F3" w:rsidP="008442F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703. stavku 1. </w:t>
      </w:r>
      <w:r w:rsidR="00CB5D92" w:rsidRPr="000479E9">
        <w:rPr>
          <w:rFonts w:ascii="Times New Roman" w:eastAsia="Times New Roman" w:hAnsi="Times New Roman" w:cs="Times New Roman"/>
          <w:sz w:val="24"/>
          <w:szCs w:val="24"/>
          <w:lang w:eastAsia="hr-HR"/>
        </w:rPr>
        <w:t>iza točke 10. dodaje se točka 10.a koja glasi:</w:t>
      </w:r>
    </w:p>
    <w:p w14:paraId="77EA85C7" w14:textId="77777777" w:rsidR="00C52658" w:rsidRPr="000479E9" w:rsidRDefault="00C52658" w:rsidP="008442F3">
      <w:pPr>
        <w:spacing w:after="0" w:line="240" w:lineRule="auto"/>
        <w:jc w:val="both"/>
        <w:rPr>
          <w:rFonts w:ascii="Times New Roman" w:eastAsia="Times New Roman" w:hAnsi="Times New Roman" w:cs="Times New Roman"/>
          <w:sz w:val="24"/>
          <w:szCs w:val="24"/>
          <w:lang w:eastAsia="hr-HR"/>
        </w:rPr>
      </w:pPr>
    </w:p>
    <w:p w14:paraId="56CC189A" w14:textId="6FA9FF1A" w:rsidR="00CB5D92" w:rsidRPr="000479E9" w:rsidRDefault="00CB5D92" w:rsidP="008442F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„10.a </w:t>
      </w:r>
      <w:r w:rsidR="00693891" w:rsidRPr="000479E9">
        <w:rPr>
          <w:rFonts w:ascii="Times New Roman" w:eastAsia="Times New Roman" w:hAnsi="Times New Roman" w:cs="Times New Roman"/>
          <w:sz w:val="24"/>
          <w:szCs w:val="24"/>
          <w:lang w:eastAsia="hr-HR"/>
        </w:rPr>
        <w:t>kao član</w:t>
      </w:r>
      <w:r w:rsidR="0064335D" w:rsidRPr="000479E9">
        <w:rPr>
          <w:rFonts w:ascii="Times New Roman" w:eastAsia="Times New Roman" w:hAnsi="Times New Roman" w:cs="Times New Roman"/>
          <w:sz w:val="24"/>
          <w:szCs w:val="24"/>
          <w:lang w:eastAsia="hr-HR"/>
        </w:rPr>
        <w:t xml:space="preserve"> uprave Člana</w:t>
      </w:r>
      <w:r w:rsidR="00693891" w:rsidRPr="000479E9">
        <w:rPr>
          <w:rFonts w:ascii="Times New Roman" w:eastAsia="Times New Roman" w:hAnsi="Times New Roman" w:cs="Times New Roman"/>
          <w:sz w:val="24"/>
          <w:szCs w:val="24"/>
          <w:lang w:eastAsia="hr-HR"/>
        </w:rPr>
        <w:t xml:space="preserve"> Fonda sa sjedištem u Republici Hrvatskoj</w:t>
      </w:r>
      <w:r w:rsidR="00AF5899" w:rsidRPr="000479E9">
        <w:rPr>
          <w:rFonts w:ascii="Times New Roman" w:eastAsia="Times New Roman" w:hAnsi="Times New Roman" w:cs="Times New Roman"/>
          <w:sz w:val="24"/>
          <w:szCs w:val="24"/>
          <w:lang w:eastAsia="hr-HR"/>
        </w:rPr>
        <w:t xml:space="preserve"> nije</w:t>
      </w:r>
      <w:r w:rsidR="00693891" w:rsidRPr="000479E9">
        <w:rPr>
          <w:rFonts w:ascii="Times New Roman" w:eastAsia="Times New Roman" w:hAnsi="Times New Roman" w:cs="Times New Roman"/>
          <w:sz w:val="24"/>
          <w:szCs w:val="24"/>
          <w:lang w:eastAsia="hr-HR"/>
        </w:rPr>
        <w:t xml:space="preserve"> u roku od osam dana od dana zaprimanja rješenja o upisu osnivanja u sudski registar, uplati</w:t>
      </w:r>
      <w:r w:rsidR="00AF5899" w:rsidRPr="000479E9">
        <w:rPr>
          <w:rFonts w:ascii="Times New Roman" w:eastAsia="Times New Roman" w:hAnsi="Times New Roman" w:cs="Times New Roman"/>
          <w:sz w:val="24"/>
          <w:szCs w:val="24"/>
          <w:lang w:eastAsia="hr-HR"/>
        </w:rPr>
        <w:t>o</w:t>
      </w:r>
      <w:r w:rsidR="00693891" w:rsidRPr="000479E9">
        <w:rPr>
          <w:rFonts w:ascii="Times New Roman" w:eastAsia="Times New Roman" w:hAnsi="Times New Roman" w:cs="Times New Roman"/>
          <w:sz w:val="24"/>
          <w:szCs w:val="24"/>
          <w:lang w:eastAsia="hr-HR"/>
        </w:rPr>
        <w:t xml:space="preserve"> u Fond inicijalni doprinos u iznosu propisanom pravilnikom iz </w:t>
      </w:r>
      <w:r w:rsidR="00AF5899" w:rsidRPr="000479E9">
        <w:rPr>
          <w:rFonts w:ascii="Times New Roman" w:eastAsia="Times New Roman" w:hAnsi="Times New Roman" w:cs="Times New Roman"/>
          <w:sz w:val="24"/>
          <w:szCs w:val="24"/>
          <w:lang w:eastAsia="hr-HR"/>
        </w:rPr>
        <w:t xml:space="preserve">članka 273. </w:t>
      </w:r>
      <w:r w:rsidR="00693891" w:rsidRPr="000479E9">
        <w:rPr>
          <w:rFonts w:ascii="Times New Roman" w:eastAsia="Times New Roman" w:hAnsi="Times New Roman" w:cs="Times New Roman"/>
          <w:sz w:val="24"/>
          <w:szCs w:val="24"/>
          <w:lang w:eastAsia="hr-HR"/>
        </w:rPr>
        <w:t xml:space="preserve">stavka </w:t>
      </w:r>
      <w:r w:rsidR="000A20B1" w:rsidRPr="000479E9">
        <w:rPr>
          <w:rFonts w:ascii="Times New Roman" w:eastAsia="Times New Roman" w:hAnsi="Times New Roman" w:cs="Times New Roman"/>
          <w:sz w:val="24"/>
          <w:szCs w:val="24"/>
          <w:lang w:eastAsia="hr-HR"/>
        </w:rPr>
        <w:t>12</w:t>
      </w:r>
      <w:r w:rsidR="00693891" w:rsidRPr="000479E9">
        <w:rPr>
          <w:rFonts w:ascii="Times New Roman" w:eastAsia="Times New Roman" w:hAnsi="Times New Roman" w:cs="Times New Roman"/>
          <w:sz w:val="24"/>
          <w:szCs w:val="24"/>
          <w:lang w:eastAsia="hr-HR"/>
        </w:rPr>
        <w:t xml:space="preserve">. ovoga </w:t>
      </w:r>
      <w:r w:rsidR="00AF5899" w:rsidRPr="000479E9">
        <w:rPr>
          <w:rFonts w:ascii="Times New Roman" w:eastAsia="Times New Roman" w:hAnsi="Times New Roman" w:cs="Times New Roman"/>
          <w:sz w:val="24"/>
          <w:szCs w:val="24"/>
          <w:lang w:eastAsia="hr-HR"/>
        </w:rPr>
        <w:t>Zakona, protivno članku 273. stavku 3. ovoga Zakona“.</w:t>
      </w:r>
    </w:p>
    <w:p w14:paraId="6D464201" w14:textId="77777777" w:rsidR="00C52658" w:rsidRPr="000479E9" w:rsidRDefault="00C52658" w:rsidP="008442F3">
      <w:pPr>
        <w:spacing w:after="0" w:line="240" w:lineRule="auto"/>
        <w:jc w:val="both"/>
        <w:rPr>
          <w:rFonts w:ascii="Times New Roman" w:eastAsia="Times New Roman" w:hAnsi="Times New Roman" w:cs="Times New Roman"/>
          <w:sz w:val="24"/>
          <w:szCs w:val="24"/>
          <w:lang w:eastAsia="hr-HR"/>
        </w:rPr>
      </w:pPr>
    </w:p>
    <w:p w14:paraId="2D9224B2" w14:textId="210E320B" w:rsidR="00ED124A" w:rsidRPr="000479E9" w:rsidRDefault="00ED124A" w:rsidP="008442F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točki 19. riječi:</w:t>
      </w:r>
      <w:r w:rsidR="00C32AC1" w:rsidRPr="000479E9">
        <w:rPr>
          <w:rFonts w:ascii="Times New Roman" w:eastAsia="Times New Roman" w:hAnsi="Times New Roman" w:cs="Times New Roman"/>
          <w:sz w:val="24"/>
          <w:szCs w:val="24"/>
          <w:lang w:eastAsia="hr-HR"/>
        </w:rPr>
        <w:t xml:space="preserve"> „stavkom 4.“ </w:t>
      </w:r>
      <w:r w:rsidR="0099054E" w:rsidRPr="000479E9">
        <w:rPr>
          <w:rFonts w:ascii="Times New Roman" w:eastAsia="Times New Roman" w:hAnsi="Times New Roman" w:cs="Times New Roman"/>
          <w:sz w:val="24"/>
          <w:szCs w:val="24"/>
          <w:lang w:eastAsia="hr-HR"/>
        </w:rPr>
        <w:t>zamjenjuju se riječima: „stavkom 5</w:t>
      </w:r>
      <w:r w:rsidR="00C32AC1" w:rsidRPr="000479E9">
        <w:rPr>
          <w:rFonts w:ascii="Times New Roman" w:eastAsia="Times New Roman" w:hAnsi="Times New Roman" w:cs="Times New Roman"/>
          <w:sz w:val="24"/>
          <w:szCs w:val="24"/>
          <w:lang w:eastAsia="hr-HR"/>
        </w:rPr>
        <w:t>.</w:t>
      </w:r>
      <w:r w:rsidR="0099054E" w:rsidRPr="000479E9">
        <w:rPr>
          <w:rFonts w:ascii="Times New Roman" w:eastAsia="Times New Roman" w:hAnsi="Times New Roman" w:cs="Times New Roman"/>
          <w:sz w:val="24"/>
          <w:szCs w:val="24"/>
          <w:lang w:eastAsia="hr-HR"/>
        </w:rPr>
        <w:t>“.</w:t>
      </w:r>
    </w:p>
    <w:p w14:paraId="6D43A7D8" w14:textId="01AC353A" w:rsidR="00A0376A" w:rsidRPr="000479E9" w:rsidRDefault="00A0376A" w:rsidP="00A0376A">
      <w:pPr>
        <w:spacing w:after="0" w:line="240" w:lineRule="auto"/>
        <w:jc w:val="both"/>
        <w:rPr>
          <w:rFonts w:ascii="Times New Roman" w:eastAsia="Times New Roman" w:hAnsi="Times New Roman" w:cs="Times New Roman"/>
          <w:b/>
          <w:bCs/>
          <w:sz w:val="24"/>
          <w:szCs w:val="24"/>
          <w:lang w:eastAsia="hr-HR"/>
        </w:rPr>
      </w:pPr>
    </w:p>
    <w:p w14:paraId="1BEFE37D" w14:textId="105FDD38" w:rsidR="0064335D" w:rsidRPr="000479E9" w:rsidRDefault="0064335D" w:rsidP="00377468">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9</w:t>
      </w:r>
      <w:r w:rsidR="00143B5A" w:rsidRPr="000479E9">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 xml:space="preserve">. </w:t>
      </w:r>
    </w:p>
    <w:p w14:paraId="5C46C697" w14:textId="77777777" w:rsidR="0064335D" w:rsidRPr="000479E9" w:rsidRDefault="0064335D" w:rsidP="0064335D">
      <w:pPr>
        <w:spacing w:after="0" w:line="240" w:lineRule="auto"/>
        <w:rPr>
          <w:rFonts w:ascii="Times New Roman" w:eastAsia="Times New Roman" w:hAnsi="Times New Roman" w:cs="Times New Roman"/>
          <w:b/>
          <w:bCs/>
          <w:sz w:val="24"/>
          <w:szCs w:val="24"/>
          <w:lang w:eastAsia="hr-HR"/>
        </w:rPr>
      </w:pPr>
    </w:p>
    <w:p w14:paraId="046ADAA9" w14:textId="2C696ECD" w:rsidR="0064335D" w:rsidRPr="000479E9" w:rsidRDefault="0064335D" w:rsidP="0064335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704. stavku 1. riječi „6630,00 do 19.900,00“ zamjenjuju se riječima: „20.000,00 do 100.000,00“.</w:t>
      </w:r>
    </w:p>
    <w:p w14:paraId="0A54D3DE" w14:textId="77777777" w:rsidR="0064335D" w:rsidRPr="000479E9" w:rsidRDefault="0064335D" w:rsidP="0064335D">
      <w:pPr>
        <w:spacing w:after="0" w:line="240" w:lineRule="auto"/>
        <w:rPr>
          <w:rFonts w:ascii="Times New Roman" w:eastAsia="Times New Roman" w:hAnsi="Times New Roman" w:cs="Times New Roman"/>
          <w:sz w:val="24"/>
          <w:szCs w:val="24"/>
          <w:lang w:eastAsia="hr-HR"/>
        </w:rPr>
      </w:pPr>
    </w:p>
    <w:p w14:paraId="60D0D32E" w14:textId="5884D832" w:rsidR="0064335D" w:rsidRPr="000479E9" w:rsidRDefault="0064335D" w:rsidP="0064335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stavku 3. riječi</w:t>
      </w:r>
      <w:r w:rsidR="00C126A3"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„13</w:t>
      </w:r>
      <w:r w:rsidR="00D205CD"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0,00 do 46</w:t>
      </w:r>
      <w:r w:rsidR="00D205CD" w:rsidRPr="000479E9">
        <w:rPr>
          <w:rFonts w:ascii="Times New Roman" w:eastAsia="Times New Roman" w:hAnsi="Times New Roman" w:cs="Times New Roman"/>
          <w:sz w:val="24"/>
          <w:szCs w:val="24"/>
          <w:lang w:eastAsia="hr-HR"/>
        </w:rPr>
        <w:t>4</w:t>
      </w:r>
      <w:r w:rsidRPr="000479E9">
        <w:rPr>
          <w:rFonts w:ascii="Times New Roman" w:eastAsia="Times New Roman" w:hAnsi="Times New Roman" w:cs="Times New Roman"/>
          <w:sz w:val="24"/>
          <w:szCs w:val="24"/>
          <w:lang w:eastAsia="hr-HR"/>
        </w:rPr>
        <w:t>0,00“ zamjenjuju se riječima: „10.000</w:t>
      </w:r>
      <w:r w:rsidR="000B6001" w:rsidRPr="000479E9">
        <w:rPr>
          <w:rFonts w:ascii="Times New Roman" w:eastAsia="Times New Roman" w:hAnsi="Times New Roman" w:cs="Times New Roman"/>
          <w:sz w:val="24"/>
          <w:szCs w:val="24"/>
          <w:lang w:eastAsia="hr-HR"/>
        </w:rPr>
        <w:t>,00</w:t>
      </w:r>
      <w:r w:rsidRPr="000479E9">
        <w:rPr>
          <w:rFonts w:ascii="Times New Roman" w:eastAsia="Times New Roman" w:hAnsi="Times New Roman" w:cs="Times New Roman"/>
          <w:sz w:val="24"/>
          <w:szCs w:val="24"/>
          <w:lang w:eastAsia="hr-HR"/>
        </w:rPr>
        <w:t xml:space="preserve"> do 50.000,00“</w:t>
      </w:r>
      <w:r w:rsidR="00685A4A">
        <w:rPr>
          <w:rFonts w:ascii="Times New Roman" w:eastAsia="Times New Roman" w:hAnsi="Times New Roman" w:cs="Times New Roman"/>
          <w:sz w:val="24"/>
          <w:szCs w:val="24"/>
          <w:lang w:eastAsia="hr-HR"/>
        </w:rPr>
        <w:t>.</w:t>
      </w:r>
    </w:p>
    <w:p w14:paraId="7FEA2CD1" w14:textId="77777777" w:rsidR="0064335D" w:rsidRPr="000479E9" w:rsidRDefault="0064335D" w:rsidP="0064335D">
      <w:pPr>
        <w:spacing w:after="0" w:line="240" w:lineRule="auto"/>
        <w:rPr>
          <w:rFonts w:ascii="Times New Roman" w:eastAsia="Times New Roman" w:hAnsi="Times New Roman" w:cs="Times New Roman"/>
          <w:sz w:val="24"/>
          <w:szCs w:val="24"/>
          <w:lang w:eastAsia="hr-HR"/>
        </w:rPr>
      </w:pPr>
    </w:p>
    <w:p w14:paraId="445DEF8F" w14:textId="5234C188" w:rsidR="0064335D" w:rsidRPr="000479E9" w:rsidRDefault="0064335D" w:rsidP="0064335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stavku 4. riječi</w:t>
      </w:r>
      <w:r w:rsidR="00C126A3"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„1990,00 do 6630,00“ zamjenjuju se riječima: </w:t>
      </w:r>
      <w:r w:rsidR="000B6001" w:rsidRPr="000479E9">
        <w:rPr>
          <w:rFonts w:ascii="Times New Roman" w:eastAsia="Times New Roman" w:hAnsi="Times New Roman" w:cs="Times New Roman"/>
          <w:sz w:val="24"/>
          <w:szCs w:val="24"/>
          <w:lang w:eastAsia="hr-HR"/>
        </w:rPr>
        <w:t>„20.000,00 do 100.000,00“</w:t>
      </w:r>
      <w:r w:rsidR="00685A4A">
        <w:rPr>
          <w:rFonts w:ascii="Times New Roman" w:eastAsia="Times New Roman" w:hAnsi="Times New Roman" w:cs="Times New Roman"/>
          <w:sz w:val="24"/>
          <w:szCs w:val="24"/>
          <w:lang w:eastAsia="hr-HR"/>
        </w:rPr>
        <w:t>.</w:t>
      </w:r>
    </w:p>
    <w:p w14:paraId="57EFC3DF" w14:textId="77777777" w:rsidR="000B6001" w:rsidRPr="000479E9" w:rsidRDefault="000B6001" w:rsidP="0064335D">
      <w:pPr>
        <w:spacing w:after="0" w:line="240" w:lineRule="auto"/>
        <w:rPr>
          <w:rFonts w:ascii="Times New Roman" w:eastAsia="Times New Roman" w:hAnsi="Times New Roman" w:cs="Times New Roman"/>
          <w:sz w:val="24"/>
          <w:szCs w:val="24"/>
          <w:lang w:eastAsia="hr-HR"/>
        </w:rPr>
      </w:pPr>
    </w:p>
    <w:p w14:paraId="1CC0BC71" w14:textId="2768FCE7" w:rsidR="000B6001" w:rsidRPr="000479E9" w:rsidRDefault="000B6001" w:rsidP="0064335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stavku 5. riječi: „6630,00 do 19.900,00 zamjenjuju se riječima: „20.000,00 do 100.000,00“</w:t>
      </w:r>
      <w:r w:rsidR="00685A4A">
        <w:rPr>
          <w:rFonts w:ascii="Times New Roman" w:eastAsia="Times New Roman" w:hAnsi="Times New Roman" w:cs="Times New Roman"/>
          <w:sz w:val="24"/>
          <w:szCs w:val="24"/>
          <w:lang w:eastAsia="hr-HR"/>
        </w:rPr>
        <w:t>.</w:t>
      </w:r>
    </w:p>
    <w:p w14:paraId="2B8F9A6A" w14:textId="77777777" w:rsidR="000B6001" w:rsidRPr="000479E9" w:rsidRDefault="000B6001" w:rsidP="0064335D">
      <w:pPr>
        <w:spacing w:after="0" w:line="240" w:lineRule="auto"/>
        <w:rPr>
          <w:rFonts w:ascii="Times New Roman" w:eastAsia="Times New Roman" w:hAnsi="Times New Roman" w:cs="Times New Roman"/>
          <w:sz w:val="24"/>
          <w:szCs w:val="24"/>
          <w:lang w:eastAsia="hr-HR"/>
        </w:rPr>
      </w:pPr>
    </w:p>
    <w:p w14:paraId="2DCB1B14" w14:textId="6FE56D22" w:rsidR="000B6001" w:rsidRPr="000479E9" w:rsidRDefault="000B6001" w:rsidP="000B6001">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stavku 6. riječi</w:t>
      </w:r>
      <w:r w:rsidR="00C126A3"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„13</w:t>
      </w:r>
      <w:r w:rsidR="003C4598"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0,00 do 46</w:t>
      </w:r>
      <w:r w:rsidR="003C4598" w:rsidRPr="000479E9">
        <w:rPr>
          <w:rFonts w:ascii="Times New Roman" w:eastAsia="Times New Roman" w:hAnsi="Times New Roman" w:cs="Times New Roman"/>
          <w:sz w:val="24"/>
          <w:szCs w:val="24"/>
          <w:lang w:eastAsia="hr-HR"/>
        </w:rPr>
        <w:t>4</w:t>
      </w:r>
      <w:r w:rsidRPr="000479E9">
        <w:rPr>
          <w:rFonts w:ascii="Times New Roman" w:eastAsia="Times New Roman" w:hAnsi="Times New Roman" w:cs="Times New Roman"/>
          <w:sz w:val="24"/>
          <w:szCs w:val="24"/>
          <w:lang w:eastAsia="hr-HR"/>
        </w:rPr>
        <w:t>0,00“ zamjenjuju se riječima: „10.000,00 do 50.000,00“</w:t>
      </w:r>
      <w:r w:rsidR="00685A4A">
        <w:rPr>
          <w:rFonts w:ascii="Times New Roman" w:eastAsia="Times New Roman" w:hAnsi="Times New Roman" w:cs="Times New Roman"/>
          <w:sz w:val="24"/>
          <w:szCs w:val="24"/>
          <w:lang w:eastAsia="hr-HR"/>
        </w:rPr>
        <w:t>.</w:t>
      </w:r>
    </w:p>
    <w:p w14:paraId="17F0C8AD" w14:textId="77777777" w:rsidR="000B6001" w:rsidRPr="000479E9" w:rsidRDefault="000B6001" w:rsidP="00483C20">
      <w:pPr>
        <w:spacing w:after="0" w:line="240" w:lineRule="auto"/>
        <w:rPr>
          <w:rFonts w:ascii="Times New Roman" w:eastAsia="Times New Roman" w:hAnsi="Times New Roman" w:cs="Times New Roman"/>
          <w:sz w:val="24"/>
          <w:szCs w:val="24"/>
          <w:lang w:eastAsia="hr-HR"/>
        </w:rPr>
      </w:pPr>
    </w:p>
    <w:p w14:paraId="20C3B4CD" w14:textId="77777777" w:rsidR="0064335D" w:rsidRPr="000479E9" w:rsidRDefault="0064335D" w:rsidP="00377468">
      <w:pPr>
        <w:spacing w:after="0" w:line="240" w:lineRule="auto"/>
        <w:jc w:val="center"/>
        <w:rPr>
          <w:rFonts w:ascii="Times New Roman" w:eastAsia="Times New Roman" w:hAnsi="Times New Roman" w:cs="Times New Roman"/>
          <w:b/>
          <w:bCs/>
          <w:sz w:val="24"/>
          <w:szCs w:val="24"/>
          <w:lang w:eastAsia="hr-HR"/>
        </w:rPr>
      </w:pPr>
    </w:p>
    <w:p w14:paraId="4682ADF0" w14:textId="61D9875F" w:rsidR="00377468" w:rsidRPr="000479E9" w:rsidRDefault="00377468" w:rsidP="00377468">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B6001" w:rsidRPr="000479E9">
        <w:rPr>
          <w:rFonts w:ascii="Times New Roman" w:eastAsia="Times New Roman" w:hAnsi="Times New Roman" w:cs="Times New Roman"/>
          <w:b/>
          <w:bCs/>
          <w:sz w:val="24"/>
          <w:szCs w:val="24"/>
          <w:lang w:eastAsia="hr-HR"/>
        </w:rPr>
        <w:t>9</w:t>
      </w:r>
      <w:r w:rsidR="00143B5A" w:rsidRPr="000479E9">
        <w:rPr>
          <w:rFonts w:ascii="Times New Roman" w:eastAsia="Times New Roman" w:hAnsi="Times New Roman" w:cs="Times New Roman"/>
          <w:b/>
          <w:bCs/>
          <w:sz w:val="24"/>
          <w:szCs w:val="24"/>
          <w:lang w:eastAsia="hr-HR"/>
        </w:rPr>
        <w:t>9</w:t>
      </w:r>
      <w:r w:rsidRPr="000479E9">
        <w:rPr>
          <w:rFonts w:ascii="Times New Roman" w:eastAsia="Times New Roman" w:hAnsi="Times New Roman" w:cs="Times New Roman"/>
          <w:b/>
          <w:bCs/>
          <w:sz w:val="24"/>
          <w:szCs w:val="24"/>
          <w:lang w:eastAsia="hr-HR"/>
        </w:rPr>
        <w:t>.</w:t>
      </w:r>
    </w:p>
    <w:p w14:paraId="7C1C88D5" w14:textId="77777777" w:rsidR="007F36E3" w:rsidRPr="000479E9" w:rsidRDefault="007F36E3" w:rsidP="00377468">
      <w:pPr>
        <w:spacing w:after="0" w:line="240" w:lineRule="auto"/>
        <w:jc w:val="center"/>
        <w:rPr>
          <w:rFonts w:ascii="Times New Roman" w:eastAsia="Times New Roman" w:hAnsi="Times New Roman" w:cs="Times New Roman"/>
          <w:b/>
          <w:bCs/>
          <w:sz w:val="24"/>
          <w:szCs w:val="24"/>
          <w:lang w:eastAsia="hr-HR"/>
        </w:rPr>
      </w:pPr>
    </w:p>
    <w:p w14:paraId="5E119C1E" w14:textId="04C84260" w:rsidR="001E615F" w:rsidRPr="000479E9" w:rsidRDefault="000B6001"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705. mijenja se i glasi:</w:t>
      </w:r>
    </w:p>
    <w:p w14:paraId="2806CADC" w14:textId="77777777" w:rsidR="000B6001" w:rsidRPr="000479E9" w:rsidRDefault="000B6001" w:rsidP="00617A00">
      <w:pPr>
        <w:spacing w:after="0" w:line="240" w:lineRule="auto"/>
        <w:jc w:val="both"/>
        <w:rPr>
          <w:rFonts w:ascii="Times New Roman" w:eastAsia="Times New Roman" w:hAnsi="Times New Roman" w:cs="Times New Roman"/>
          <w:sz w:val="24"/>
          <w:szCs w:val="24"/>
          <w:lang w:eastAsia="hr-HR"/>
        </w:rPr>
      </w:pPr>
    </w:p>
    <w:p w14:paraId="50A0CAF1" w14:textId="42A042AA"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Za</w:t>
      </w:r>
      <w:r w:rsidR="00143B5A" w:rsidRPr="000479E9">
        <w:rPr>
          <w:rFonts w:ascii="Times New Roman" w:eastAsia="Times New Roman" w:hAnsi="Times New Roman"/>
          <w:sz w:val="24"/>
          <w:szCs w:val="24"/>
          <w:lang w:eastAsia="hr-HR"/>
        </w:rPr>
        <w:t xml:space="preserve"> teži</w:t>
      </w:r>
      <w:r w:rsidRPr="000479E9">
        <w:rPr>
          <w:rFonts w:ascii="Times New Roman" w:eastAsia="Times New Roman" w:hAnsi="Times New Roman"/>
          <w:sz w:val="24"/>
          <w:szCs w:val="24"/>
          <w:lang w:eastAsia="hr-HR"/>
        </w:rPr>
        <w:t xml:space="preserve"> prekršaj iz stavka 3. ovoga članka kaznit će se pravna osoba novčanom kaznom u iznosu koji je višekratnik broja 1000, a koja ne može biti manja od 20.000,00 eura ni veća od 3% ukupnog prihoda koji je ostvarila u godini kada je počinjen prekršaj, utvrđenog službenim financijskim izvještajima za tu godinu, a ako izvješća za tu godinu nema, uzet će se posljednje dostupno službeno godišnje izvješće.</w:t>
      </w:r>
    </w:p>
    <w:p w14:paraId="43965C50" w14:textId="71370E99" w:rsidR="000B6001" w:rsidRPr="000479E9" w:rsidRDefault="000B6001" w:rsidP="00405736">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Pr="000479E9">
        <w:t xml:space="preserve"> </w:t>
      </w:r>
      <w:r w:rsidRPr="000479E9">
        <w:rPr>
          <w:rFonts w:ascii="Times New Roman" w:eastAsia="Times New Roman" w:hAnsi="Times New Roman"/>
          <w:sz w:val="24"/>
          <w:szCs w:val="24"/>
          <w:lang w:eastAsia="hr-HR"/>
        </w:rPr>
        <w:t xml:space="preserve">Prekršaj iz stavka 1. ovoga članka smatra se težim ako je ispunjen jedan ili više sljedećih </w:t>
      </w:r>
      <w:r w:rsidR="00143B5A" w:rsidRPr="000479E9">
        <w:rPr>
          <w:rFonts w:ascii="Times New Roman" w:eastAsia="Times New Roman" w:hAnsi="Times New Roman"/>
          <w:sz w:val="24"/>
          <w:szCs w:val="24"/>
          <w:lang w:eastAsia="hr-HR"/>
        </w:rPr>
        <w:t xml:space="preserve">primjenjivih </w:t>
      </w:r>
      <w:r w:rsidRPr="000479E9">
        <w:rPr>
          <w:rFonts w:ascii="Times New Roman" w:eastAsia="Times New Roman" w:hAnsi="Times New Roman"/>
          <w:sz w:val="24"/>
          <w:szCs w:val="24"/>
          <w:lang w:eastAsia="hr-HR"/>
        </w:rPr>
        <w:t>uvjeta</w:t>
      </w:r>
      <w:r w:rsidR="00143B5A" w:rsidRPr="000479E9">
        <w:rPr>
          <w:rFonts w:ascii="Times New Roman" w:eastAsia="Times New Roman" w:hAnsi="Times New Roman"/>
          <w:sz w:val="24"/>
          <w:szCs w:val="24"/>
          <w:lang w:eastAsia="hr-HR"/>
        </w:rPr>
        <w:t>, pri čemu se okolnost koja već predstavlja obilježje prekršaja iz stavka 3. ovoga članka ne uzima sama po sebi kao osnova za utvrđenje ispunjenja nekog od ovih uvjeta</w:t>
      </w:r>
      <w:r w:rsidRPr="000479E9">
        <w:rPr>
          <w:rFonts w:ascii="Times New Roman" w:eastAsia="Times New Roman" w:hAnsi="Times New Roman"/>
          <w:sz w:val="24"/>
          <w:szCs w:val="24"/>
          <w:lang w:eastAsia="hr-HR"/>
        </w:rPr>
        <w:t xml:space="preserve">: </w:t>
      </w:r>
    </w:p>
    <w:p w14:paraId="4C01D658" w14:textId="77777777" w:rsidR="00143B5A" w:rsidRPr="000479E9" w:rsidRDefault="00143B5A">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počinjen je opetovano ili sustavno, pri čemu se sustavnim smatra postupanje koje proizlazi iz uspostavljenih poslovnih praksi, organizacijskih nedostataka ili svjesnog obrasca postupanja</w:t>
      </w:r>
    </w:p>
    <w:p w14:paraId="7D88DD62" w14:textId="77777777" w:rsidR="00143B5A" w:rsidRPr="000479E9" w:rsidRDefault="00143B5A">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tijekom duljeg razdoblja, pri čemu se trajanje procjenjuje uzimajući u obzir prirodu, učestalost i okolnosti konkretnog kršenja</w:t>
      </w:r>
    </w:p>
    <w:p w14:paraId="06A1FCA1" w14:textId="77777777" w:rsidR="00143B5A" w:rsidRPr="000479E9" w:rsidRDefault="00143B5A">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značajne štete za klijente ili ulagatelje ili je stvorio konkretnu i neposrednu opasnost od nastanka takve štete</w:t>
      </w:r>
    </w:p>
    <w:p w14:paraId="0F656211" w14:textId="77777777" w:rsidR="00143B5A" w:rsidRPr="000479E9" w:rsidRDefault="00143B5A">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ugrožavanja urednog funkcioniranja tržišta ili narušavanja integriteta tržišta, ili je stvorio konkretnu i neposrednu opasnost od nastanka takvog događaja</w:t>
      </w:r>
    </w:p>
    <w:p w14:paraId="3F6FD4C8" w14:textId="77777777" w:rsidR="00143B5A" w:rsidRPr="000479E9" w:rsidRDefault="00143B5A">
      <w:pPr>
        <w:numPr>
          <w:ilvl w:val="0"/>
          <w:numId w:val="15"/>
        </w:num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0F6B9259" w14:textId="4560171A" w:rsidR="00143B5A" w:rsidRPr="000479E9" w:rsidRDefault="00143B5A" w:rsidP="000479E9">
      <w:pPr>
        <w:numPr>
          <w:ilvl w:val="0"/>
          <w:numId w:val="15"/>
        </w:numPr>
        <w:spacing w:after="0" w:line="259" w:lineRule="auto"/>
        <w:rPr>
          <w:rFonts w:ascii="Times New Roman" w:hAnsi="Times New Roman" w:cs="Times New Roman"/>
          <w:sz w:val="24"/>
          <w:szCs w:val="24"/>
        </w:rPr>
      </w:pPr>
      <w:r w:rsidRPr="000479E9">
        <w:rPr>
          <w:rFonts w:ascii="Times New Roman" w:hAnsi="Times New Roman" w:cs="Times New Roman"/>
          <w:sz w:val="24"/>
          <w:szCs w:val="24"/>
        </w:rPr>
        <w:t xml:space="preserve">onemogućio </w:t>
      </w:r>
      <w:r w:rsidR="000171AE" w:rsidRPr="000479E9">
        <w:rPr>
          <w:rFonts w:ascii="Times New Roman" w:hAnsi="Times New Roman" w:cs="Times New Roman"/>
          <w:sz w:val="24"/>
          <w:szCs w:val="24"/>
        </w:rPr>
        <w:t xml:space="preserve">je </w:t>
      </w:r>
      <w:r w:rsidRPr="000479E9">
        <w:rPr>
          <w:rFonts w:ascii="Times New Roman" w:hAnsi="Times New Roman" w:cs="Times New Roman"/>
          <w:sz w:val="24"/>
          <w:szCs w:val="24"/>
        </w:rPr>
        <w:t>ili znatno otežao nadzor Agencije</w:t>
      </w:r>
    </w:p>
    <w:p w14:paraId="2CDA2C9C" w14:textId="7EBB29C3" w:rsidR="00143B5A" w:rsidRPr="000479E9" w:rsidRDefault="00143B5A" w:rsidP="000479E9">
      <w:pPr>
        <w:numPr>
          <w:ilvl w:val="0"/>
          <w:numId w:val="15"/>
        </w:numPr>
        <w:spacing w:after="0" w:line="259" w:lineRule="auto"/>
        <w:rPr>
          <w:rFonts w:ascii="Times New Roman" w:hAnsi="Times New Roman" w:cs="Times New Roman"/>
          <w:sz w:val="24"/>
          <w:szCs w:val="24"/>
        </w:rPr>
      </w:pPr>
      <w:r w:rsidRPr="000479E9">
        <w:rPr>
          <w:rFonts w:ascii="Times New Roman" w:hAnsi="Times New Roman" w:cs="Times New Roman"/>
          <w:sz w:val="24"/>
          <w:szCs w:val="24"/>
        </w:rPr>
        <w:t xml:space="preserve">povezan </w:t>
      </w:r>
      <w:r w:rsidR="000171AE" w:rsidRPr="000479E9">
        <w:rPr>
          <w:rFonts w:ascii="Times New Roman" w:hAnsi="Times New Roman" w:cs="Times New Roman"/>
          <w:sz w:val="24"/>
          <w:szCs w:val="24"/>
        </w:rPr>
        <w:t xml:space="preserve">je </w:t>
      </w:r>
      <w:r w:rsidRPr="000479E9">
        <w:rPr>
          <w:rFonts w:ascii="Times New Roman" w:hAnsi="Times New Roman" w:cs="Times New Roman"/>
          <w:sz w:val="24"/>
          <w:szCs w:val="24"/>
        </w:rPr>
        <w:t>s</w:t>
      </w:r>
      <w:r w:rsidR="000171AE" w:rsidRPr="000479E9">
        <w:rPr>
          <w:rFonts w:ascii="Times New Roman" w:hAnsi="Times New Roman" w:cs="Times New Roman"/>
          <w:sz w:val="24"/>
          <w:szCs w:val="24"/>
        </w:rPr>
        <w:t>a</w:t>
      </w:r>
      <w:r w:rsidRPr="000479E9">
        <w:rPr>
          <w:rFonts w:ascii="Times New Roman" w:hAnsi="Times New Roman" w:cs="Times New Roman"/>
          <w:sz w:val="24"/>
          <w:szCs w:val="24"/>
        </w:rPr>
        <w:t xml:space="preserve"> zlouporabom povjerljivih informacija ili imovine klijenata</w:t>
      </w:r>
    </w:p>
    <w:p w14:paraId="48EE3310" w14:textId="7A232B4A" w:rsidR="00143B5A" w:rsidRPr="000479E9" w:rsidRDefault="00143B5A" w:rsidP="000479E9">
      <w:pPr>
        <w:numPr>
          <w:ilvl w:val="0"/>
          <w:numId w:val="15"/>
        </w:numPr>
        <w:spacing w:after="0" w:line="259"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doveo </w:t>
      </w:r>
      <w:r w:rsidR="000171AE" w:rsidRPr="000479E9">
        <w:rPr>
          <w:rFonts w:ascii="Times New Roman" w:hAnsi="Times New Roman" w:cs="Times New Roman"/>
          <w:sz w:val="24"/>
          <w:szCs w:val="24"/>
        </w:rPr>
        <w:t xml:space="preserve">je </w:t>
      </w:r>
      <w:r w:rsidRPr="000479E9">
        <w:rPr>
          <w:rFonts w:ascii="Times New Roman" w:hAnsi="Times New Roman" w:cs="Times New Roman"/>
          <w:sz w:val="24"/>
          <w:szCs w:val="24"/>
        </w:rPr>
        <w:t>do neurednih uvjeta trgovanja ili poremećaja na tržištu ili je stvorio konkretnu i neposrednu opasnost od nastanka takvog događaja.</w:t>
      </w:r>
    </w:p>
    <w:p w14:paraId="1DA52FC9"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teži prekršaj iz stavka 2. ovoga članka kaznit će se pravna osoba ako :</w:t>
      </w:r>
    </w:p>
    <w:p w14:paraId="6526F5E7"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ponudi javnosti vrijednosne papire, ako prije ponude nije u vezi s istom objavljen prospekt u skladu s člankom 3. stavkom 1. Uredbe (EU) br. 2017/1129, pri čemu nisu ispunjeni uvjeti za korištenje iznimke od obveze objave prospekta iz članka 1. stavka 4. Uredbe (EU) br. 2017/1129</w:t>
      </w:r>
    </w:p>
    <w:p w14:paraId="22B48E7D"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ponudi javnosti vrijednosne papire, ako prije ponude nije u vezi s istom objavljen prospekt, pri čemu nisu ispunjeni uvjeti za korištenje iznimke od obveze objave prospekta iz članka 409. stavka 1. ovoga Zakona</w:t>
      </w:r>
    </w:p>
    <w:p w14:paraId="03CB16A6"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uvrsti vrijednosne papire na uređeno tržište u Republici Hrvatskoj, a prije uvrštenja nije u vezi s istim objavljen prospekt, u skladu s člankom 3. stavkom 3. Uredbom (EU) br. 2017/1129, pri čemu nisu ispunjeni uvjeti za korištenje iznimke od obveze objave prospekta iz članka 1. stavka 5. Uredbe (EU) br. 2017/1129</w:t>
      </w:r>
    </w:p>
    <w:p w14:paraId="3B0C0E75" w14:textId="77777777" w:rsidR="00823840"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 koristi izuzetak od obveze objave prospekta iz članka 1. stavka 5. prvog podstavka točaka (a) i (b) Uredbe (EU) br. 2017/1129 na način protivan zabrani iz članka 1. stavka 6. Uredbe (EU) br. 2017/1129</w:t>
      </w:r>
    </w:p>
    <w:p w14:paraId="21308B7D" w14:textId="0F1126DC"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823840" w:rsidRPr="000479E9">
        <w:rPr>
          <w:rFonts w:ascii="Times New Roman" w:eastAsia="Times New Roman" w:hAnsi="Times New Roman"/>
          <w:sz w:val="24"/>
          <w:szCs w:val="24"/>
          <w:lang w:eastAsia="hr-HR"/>
        </w:rPr>
        <w:t xml:space="preserve">. </w:t>
      </w:r>
      <w:r w:rsidRPr="000479E9">
        <w:rPr>
          <w:rFonts w:ascii="Times New Roman" w:eastAsia="Times New Roman" w:hAnsi="Times New Roman"/>
          <w:sz w:val="24"/>
          <w:szCs w:val="24"/>
          <w:lang w:eastAsia="hr-HR"/>
        </w:rPr>
        <w:t>kao ponuditelj ili financijski posrednik, protivno članku 5. stavku 1. prvom podstavku Uredbe (EU) br. 2017/1129 vrši ponovnu prodaju ili konačni plasman vrijednosnih papira koji podliježu obvezi objave prospekta, a da prethodno nije objavljen prospekt u skladu s Uredbom (EU) br. 2017/1129</w:t>
      </w:r>
    </w:p>
    <w:p w14:paraId="5E640231" w14:textId="200C7E58"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0B6001" w:rsidRPr="000479E9">
        <w:rPr>
          <w:rFonts w:ascii="Times New Roman" w:eastAsia="Times New Roman" w:hAnsi="Times New Roman"/>
          <w:sz w:val="24"/>
          <w:szCs w:val="24"/>
          <w:lang w:eastAsia="hr-HR"/>
        </w:rPr>
        <w:t xml:space="preserve">. kao ponuditelj ili financijski posrednik protivno članku 5. stavku 1. drugom podstavku Uredbe (EU) br. 2017/1129 vrši ponovnu prodaju ili konačni plasman vrijednosnih papira putem prospekta koji ne ispunjava uvjete iz članka 12. Uredbe (EU) br. 2017/1129 i/ili za koji izdavatelj ili osoba odgovorna za sastavljanje prospekta nije </w:t>
      </w:r>
      <w:r w:rsidR="000B6001" w:rsidRPr="000479E9">
        <w:rPr>
          <w:rFonts w:ascii="Times New Roman" w:eastAsia="Times New Roman" w:hAnsi="Times New Roman"/>
          <w:sz w:val="24"/>
          <w:szCs w:val="24"/>
          <w:lang w:eastAsia="hr-HR"/>
        </w:rPr>
        <w:lastRenderedPageBreak/>
        <w:t>dala pisanu suglasnost za njegovu upotrebu za naknadnu ponovnu prodaju ili konačni plasman</w:t>
      </w:r>
    </w:p>
    <w:p w14:paraId="3DB4EC17" w14:textId="1A57C732"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w:t>
      </w:r>
      <w:r w:rsidR="000B6001" w:rsidRPr="000479E9">
        <w:rPr>
          <w:rFonts w:ascii="Times New Roman" w:eastAsia="Times New Roman" w:hAnsi="Times New Roman"/>
          <w:sz w:val="24"/>
          <w:szCs w:val="24"/>
          <w:lang w:eastAsia="hr-HR"/>
        </w:rPr>
        <w:t>. protivno zabrani iz članka 5. stavka 2. Uredbe (EU) br. 2017/1129 preprodaje vrijednosne papire nekvalificiranim ulagateljima temeljem prospekta za koji je utvrđeno da nije primjeren za nekvalificirane ulagatelje u skladu s Uredbom (EU) br. 2017/1129</w:t>
      </w:r>
    </w:p>
    <w:p w14:paraId="60D20379" w14:textId="348178BF"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w:t>
      </w:r>
      <w:r w:rsidR="000B6001" w:rsidRPr="000479E9">
        <w:rPr>
          <w:rFonts w:ascii="Times New Roman" w:eastAsia="Times New Roman" w:hAnsi="Times New Roman"/>
          <w:sz w:val="24"/>
          <w:szCs w:val="24"/>
          <w:lang w:eastAsia="hr-HR"/>
        </w:rPr>
        <w:t>. ishodi odobrenje prospekta, dopune prospekta i/ili drugog dokumenta za čije odobrenje je Agencija nadležna u skladu s člankom 405. stavkom 2. točkama 1. i 2. ovoga Zakona, temeljem lažnih ili nepotpunih izjava i/ili podataka ili izostavi informacije u prospektu ili drugom dokumentu za čije odobrenje je Agencija nadležna, a koje su prijeko potrebne ulagatelju kako bi donio utemeljenu procjenu imovine i obveza, dobiti i gubitaka, financijskog položaja te očekivanja izdavatelja i bilo kojeg jamca te, ako je primjenjivo, prava povezanih s vrijednosnim papirima i razlozima izdavanja vrijednosnih papira i njegova učinka na izdavatelja, pod uvjetima i u skladu sa zahtjevima iz članka 6. stavka 1. Uredbe (EU) br. 2017/1129.</w:t>
      </w:r>
    </w:p>
    <w:p w14:paraId="73DC1FFB" w14:textId="7492FB52" w:rsidR="000B6001" w:rsidRPr="000479E9" w:rsidRDefault="00823840" w:rsidP="000B6001">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w:t>
      </w:r>
      <w:r w:rsidR="000B6001" w:rsidRPr="000479E9">
        <w:rPr>
          <w:rFonts w:ascii="Times New Roman" w:eastAsia="Times New Roman" w:hAnsi="Times New Roman"/>
          <w:sz w:val="24"/>
          <w:szCs w:val="24"/>
          <w:lang w:eastAsia="hr-HR"/>
        </w:rPr>
        <w:t xml:space="preserve">. uz prospekt EU-a za </w:t>
      </w:r>
      <w:r w:rsidRPr="000479E9">
        <w:rPr>
          <w:rFonts w:ascii="Times New Roman" w:eastAsia="Times New Roman" w:hAnsi="Times New Roman"/>
          <w:sz w:val="24"/>
          <w:szCs w:val="24"/>
          <w:lang w:eastAsia="hr-HR"/>
        </w:rPr>
        <w:t>naknadna izdanja</w:t>
      </w:r>
      <w:r w:rsidRPr="000479E9" w:rsidDel="00823840">
        <w:rPr>
          <w:rFonts w:ascii="Times New Roman" w:eastAsia="Times New Roman" w:hAnsi="Times New Roman"/>
          <w:sz w:val="24"/>
          <w:szCs w:val="24"/>
          <w:lang w:eastAsia="hr-HR"/>
        </w:rPr>
        <w:t xml:space="preserve"> </w:t>
      </w:r>
      <w:r w:rsidR="000B6001" w:rsidRPr="000479E9">
        <w:rPr>
          <w:rFonts w:ascii="Times New Roman" w:eastAsia="Times New Roman" w:hAnsi="Times New Roman"/>
          <w:sz w:val="24"/>
          <w:szCs w:val="24"/>
          <w:lang w:eastAsia="hr-HR"/>
        </w:rPr>
        <w:t>koji sastavlja u skladu s člankom 14. a Uredbe (EU) 2017/1129 ne sastavi u skladu sa zahtjevima iz članka 7. stavka 12.a Uredbe (EU) 2017/1129</w:t>
      </w:r>
    </w:p>
    <w:p w14:paraId="5EC3D705" w14:textId="05054D68" w:rsidR="000B6001" w:rsidRPr="000479E9" w:rsidRDefault="00823840" w:rsidP="000B6001">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10</w:t>
      </w:r>
      <w:r w:rsidR="000B6001" w:rsidRPr="000479E9">
        <w:rPr>
          <w:rFonts w:ascii="Times New Roman" w:eastAsia="Times New Roman" w:hAnsi="Times New Roman"/>
          <w:sz w:val="24"/>
          <w:szCs w:val="24"/>
          <w:lang w:eastAsia="hr-HR"/>
        </w:rPr>
        <w:t xml:space="preserve">. sastavi prospekt EU-a za </w:t>
      </w:r>
      <w:r w:rsidRPr="000479E9">
        <w:rPr>
          <w:rFonts w:ascii="Times New Roman" w:eastAsia="Times New Roman" w:hAnsi="Times New Roman"/>
          <w:sz w:val="24"/>
          <w:szCs w:val="24"/>
          <w:lang w:eastAsia="hr-HR"/>
        </w:rPr>
        <w:t>naknadna izdanja</w:t>
      </w:r>
      <w:r w:rsidRPr="000479E9" w:rsidDel="00823840">
        <w:rPr>
          <w:rFonts w:ascii="Times New Roman" w:eastAsia="Times New Roman" w:hAnsi="Times New Roman"/>
          <w:sz w:val="24"/>
          <w:szCs w:val="24"/>
          <w:lang w:eastAsia="hr-HR"/>
        </w:rPr>
        <w:t xml:space="preserve"> </w:t>
      </w:r>
      <w:r w:rsidR="000B6001" w:rsidRPr="000479E9">
        <w:rPr>
          <w:rFonts w:ascii="Times New Roman" w:eastAsia="Times New Roman" w:hAnsi="Times New Roman"/>
          <w:sz w:val="24"/>
          <w:szCs w:val="24"/>
          <w:lang w:eastAsia="hr-HR"/>
        </w:rPr>
        <w:t>protivno uvjetima iz članka 14.a stavka 1. Uredbe (EU) 2017/1129</w:t>
      </w:r>
    </w:p>
    <w:p w14:paraId="1A1CB7F4" w14:textId="377731B3" w:rsidR="000B6001" w:rsidRPr="000479E9" w:rsidRDefault="000B6001" w:rsidP="000B6001">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sastavi prospekt EU o izdanjima za rast protivno uvjetima iz članka 15.a stavka 1. Uredbe (EU) 2017/1129</w:t>
      </w:r>
    </w:p>
    <w:p w14:paraId="5AC9DD03" w14:textId="74D6E2DB"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u dopunu osnovnog prospekta uvede nove vrste vrijednosnih papira protivno članku 23. stavku 4.a Uredbe (EU) 2017/1129.</w:t>
      </w:r>
    </w:p>
    <w:p w14:paraId="0D309FF9" w14:textId="72C9DA13"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prilikom objave prospekta ne poštuje postupke objave iz članka 21. stavka 2. Uredbe (EU) br. 2017/1129</w:t>
      </w:r>
    </w:p>
    <w:p w14:paraId="1D75CBCE" w14:textId="44C0081C"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nakon što ih Agencija odobri ili se podnesu Agenciji bez prethodnog odobrenja, ne učini dostupnim javnosti u skladu s postupcima iz članka 21. Uredbe (EU) br. 2017/1129 bez nepotrebne odgode, univerzalni registracijski dokument i/ili njegove izmjene u slučajevima iz članka 9. stavaka 7. i 9. Uredbe (EU) br. 2017/1129, sve u skladu sa zahtjevima iz članka 9. stavka 4. Uredbe (EU) br. 2017/1129</w:t>
      </w:r>
    </w:p>
    <w:p w14:paraId="4B186817" w14:textId="1603E1BB"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nakon što je odobren, ne učini registracijski dokument dostupnim javnosti bez nepotrebne odgode i u skladu s postupcima iz članka 21. Uredbe (EU) br. 2017/1129, sve u skladu sa zahtjevima iz članka 10. stavka 2. Uredbe (EU) br. 2017/1129</w:t>
      </w:r>
    </w:p>
    <w:p w14:paraId="025E146C" w14:textId="2DF78852"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ne objavi prospekt na posebnom dijelu internetske stranice na način da je lako dostupan nakon što se pristupi internetskoj stranici tako da ga se može lako preuzeti, ispisati i pretraživati u elektroničkom obliku koji se ne može mijenjati, sve u skladu sa zahtjevima iz članka 21. stavka 3. prvog podstavka Uredbe (EU) br. 2017/1129</w:t>
      </w:r>
    </w:p>
    <w:p w14:paraId="6E423372" w14:textId="0C356CE9"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xml:space="preserve">. ne omogući pristup dokumentima u kojima su sadržane informacije koje se u prospekt uključuju upućivanjem, dopunama i/ili konačnim uvjetima povezanima s prospektom te zasebnom primjerku sažetka na način da im je moguće pristupiti u istom dijelu internetske stranice uz prospekt, među ostalim i ako je potrebno, putem </w:t>
      </w:r>
      <w:r w:rsidRPr="000479E9">
        <w:rPr>
          <w:rFonts w:ascii="Times New Roman" w:eastAsia="Times New Roman" w:hAnsi="Times New Roman"/>
          <w:sz w:val="24"/>
          <w:szCs w:val="24"/>
          <w:lang w:eastAsia="hr-HR"/>
        </w:rPr>
        <w:lastRenderedPageBreak/>
        <w:t>hiperpoveznica, sve u skladu sa zahtjevima iz članka 21. stavka 3. drugog podstavka Uredbe (EU) br. 2017/1129</w:t>
      </w:r>
    </w:p>
    <w:p w14:paraId="7CBC8FCD" w14:textId="789FE62E"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u zasebnom primjerku sažetka nije jasno naznačeno na koji se prospekt odnosi u skladu s člankom 21. stavkom 3. trećim podstavkom Uredbe (EU) br. 2017/1129</w:t>
      </w:r>
    </w:p>
    <w:p w14:paraId="68E5B843" w14:textId="294E741D"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823840" w:rsidRPr="000479E9">
        <w:rPr>
          <w:rFonts w:ascii="Times New Roman" w:eastAsia="Times New Roman" w:hAnsi="Times New Roman"/>
          <w:sz w:val="24"/>
          <w:szCs w:val="24"/>
          <w:lang w:eastAsia="hr-HR"/>
        </w:rPr>
        <w:t>9</w:t>
      </w:r>
      <w:r w:rsidRPr="000479E9">
        <w:rPr>
          <w:rFonts w:ascii="Times New Roman" w:eastAsia="Times New Roman" w:hAnsi="Times New Roman"/>
          <w:sz w:val="24"/>
          <w:szCs w:val="24"/>
          <w:lang w:eastAsia="hr-HR"/>
        </w:rPr>
        <w:t>. ograničava pristup objavljenom prospektu na način da se zahtijeva registracija, davanje izjave o prihvaćanju ograničenja pravne odgovornosti ili plaćanje naknade protivno zabrani iz članka 21. stavka 4. Uredbe (EU) br. 2017/1129</w:t>
      </w:r>
    </w:p>
    <w:p w14:paraId="4FDAC7DE" w14:textId="41C94AB0"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20</w:t>
      </w:r>
      <w:r w:rsidR="000B6001" w:rsidRPr="000479E9">
        <w:rPr>
          <w:rFonts w:ascii="Times New Roman" w:eastAsia="Times New Roman" w:hAnsi="Times New Roman"/>
          <w:sz w:val="24"/>
          <w:szCs w:val="24"/>
          <w:lang w:eastAsia="hr-HR"/>
        </w:rPr>
        <w:t>. kao izdavatelj, ponuditelj ili osoba koja traži uvrštenje za trgovanje na uređenom tržištu, kada su hiperpoveznice upotrijebljene za potrebe objave prospekta, ne osigura funkcionalnost hiperpoveznica na prospekt i/ili na informacije uključene u prospekt upućivanjem te na dopune i/ili konačne uvjete povezane s prospektom tijekom razdoblja od najmanje 10 godina nakon njihove objave na internetskim stranicama iz članka 21. stavaka 2. i 6. Uredbe (EU) br. 2017/1129, a kako je propisano člankom 21. stavkom 7. Uredbe (EU) br. 2017/1129</w:t>
      </w:r>
    </w:p>
    <w:p w14:paraId="17326E36" w14:textId="624306B8"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objavi i distribuira zasebno dokumente koji čine sastavni dio prospekta koji se sastoji od zasebnih dokumenata i/ili objavi i distribuira zasebno informacije koje su uključene u prospekt upućivanjem, a da ti dokumenti i/ili informacije nisu prethodno objavljeni u elektroničkom obliku na kojoj od internetskih stranica u skladu s člankom 21. stavkom 2. Uredbe (EU) br. 2017/1129, sve u skladu sa zahtjevima iz članka 21. stavka 9. Uredbe (EU) br. 2017/1129</w:t>
      </w:r>
    </w:p>
    <w:p w14:paraId="7E266EB7" w14:textId="4065B74E" w:rsidR="00823840"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kao izdavatelj, ponuditelj, osoba koja traži uvrštenje za trgovanje na uređenom tržištu ili financijski posrednik koji obavlja poslove plasmana ili prodaje vrijednosnih papira ne dostavi potencijalnom ulagatelju na njegov zahtjev i bez naknade primjerak prospekta u elektroničkom obliku, sve u skladu s člankom 21. stavkom 11. Uredbe (EU) br. 2017/1129</w:t>
      </w:r>
    </w:p>
    <w:p w14:paraId="04BAC9F0" w14:textId="19360BD9"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objavi ili distribuira oglas na području Republike Hrvatske koji ne sadrži informacije iz članka 22. stavka 2. Uredbe (EU) br. 2017/1129</w:t>
      </w:r>
    </w:p>
    <w:p w14:paraId="0CE1B822" w14:textId="49713582"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objavi ili distribuira oglas na području Republike Hrvatske koji nije jasno prepoznatljiv kao takav u skladu s člankom 22. stavkom 3. Uredbe (EU) br. 2017/1129</w:t>
      </w:r>
    </w:p>
    <w:p w14:paraId="4A61AFD1" w14:textId="171EA67A"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objavi ili distribuira oglas na području Republike Hrvatske koji sadrži informacije koje su netočne ili dovode u zabludu ili nisu u skladu s informacijama sadržanima u prospektu, kada je prospekt već objavljen, ili s informacijama za koje se zahtijeva da budu u prospektu, kada prospekt tek treba biti objavljen, protivno zabrani iz članka 22. stavka 3. Uredbe (EU) br. 2017/1129</w:t>
      </w:r>
    </w:p>
    <w:p w14:paraId="20A2B8FF" w14:textId="0DE55F8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priopći ili objavi informacije koje se odnose na javnu ponudu vrijednosnih papira ili uvrštenje za trgovanje na uređenom tržištu, u usmenom ili pisanom obliku, čak i kada nisu bile objavljene u svrhe oglašavanja, sadržaj kojih nije u skladu s informacijama sadržanim u prospektu, sve u skladu sa zahtjevima iz članka 22. stavka 4. Uredbe (EU) br. 2017/1129</w:t>
      </w:r>
    </w:p>
    <w:p w14:paraId="1D9FE0D6" w14:textId="338E834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xml:space="preserve">. kao izdavatelj ili ponuditelj koji je u usmenom ili pisanom obliku objavio bitne informacije jednom ili više odabranih ulagatelja takve informacije ne objavi i svim drugim ulagateljima kojima je ponuda upućena, pri čemu se radi o slučaju kada se objava prospekta ne zahtijeva u skladu s člankom 1. stavkom 4. ili 5. Uredbe (EU) </w:t>
      </w:r>
      <w:r w:rsidRPr="000479E9">
        <w:rPr>
          <w:rFonts w:ascii="Times New Roman" w:eastAsia="Times New Roman" w:hAnsi="Times New Roman"/>
          <w:sz w:val="24"/>
          <w:szCs w:val="24"/>
          <w:lang w:eastAsia="hr-HR"/>
        </w:rPr>
        <w:lastRenderedPageBreak/>
        <w:t>br. 2017/1129, sve u skladu sa zahtjevima iz članka 22. stavka 5. točke (a) Uredbe (EU) br. 2017/1129</w:t>
      </w:r>
    </w:p>
    <w:p w14:paraId="19812F30" w14:textId="7D4F0E56"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kao izdavatelj ili ponuditelj koji je u usmenom ili pisanom obliku objavio bitne informacije jednom ili više odabranih ulagatelja takve informacije ne uključi i u prospekt ili u dopunu prospekta u skladu s člankom 23. stavkom 1. Uredbe (EU) br. 2017/1129, pri čemu se radi o slučaju kada se objava prospekta zahtijeva, sve u skladu sa zahtjevima iz članka 22. stavka 5. točke (b) Uredbe (EU) br. 2017/1129</w:t>
      </w:r>
    </w:p>
    <w:p w14:paraId="0BFBF5D2" w14:textId="5CE5E763"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823840" w:rsidRPr="000479E9">
        <w:rPr>
          <w:rFonts w:ascii="Times New Roman" w:eastAsia="Times New Roman" w:hAnsi="Times New Roman"/>
          <w:sz w:val="24"/>
          <w:szCs w:val="24"/>
          <w:lang w:eastAsia="hr-HR"/>
        </w:rPr>
        <w:t>9</w:t>
      </w:r>
      <w:r w:rsidRPr="000479E9">
        <w:rPr>
          <w:rFonts w:ascii="Times New Roman" w:eastAsia="Times New Roman" w:hAnsi="Times New Roman"/>
          <w:sz w:val="24"/>
          <w:szCs w:val="24"/>
          <w:lang w:eastAsia="hr-HR"/>
        </w:rPr>
        <w:t>. objavi dopunu prospekta na način koji nije u skladu barem s istim postupcima primijenjenim prilikom objave inicijalnog prospekta u skladu s člankom 21. Uredbe (EU) br. 2017/1129, sve u skladu s člankom 23. stavkom 1. drugim podstavkom Uredbe (EU) br. 2017/1129</w:t>
      </w:r>
    </w:p>
    <w:p w14:paraId="5C12214D" w14:textId="7AEA9B66"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30</w:t>
      </w:r>
      <w:r w:rsidR="000B6001" w:rsidRPr="000479E9">
        <w:rPr>
          <w:rFonts w:ascii="Times New Roman" w:eastAsia="Times New Roman" w:hAnsi="Times New Roman"/>
          <w:sz w:val="24"/>
          <w:szCs w:val="24"/>
          <w:lang w:eastAsia="hr-HR"/>
        </w:rPr>
        <w:t>. nakon odobrenja registracijskog dokumenta ponudi vrijednosne papire ili podnese zahtjev za uvrštenje za trgovanje na uređeno tržište, a da prethodno ne podnese Agenciji zahtjev za zasebnim odobrenjem obavijesti o vrijednosnim papirima i sažetka, sve u skladu sa zahtjevima iz članka 10. stavka 1. prvog podstavka Uredbe (EU) br. 2017/1129</w:t>
      </w:r>
    </w:p>
    <w:p w14:paraId="3E9460AA" w14:textId="1558A17A"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823840"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nakon odobrenja univerzalnog registracijskog dokumenta ponudi vrijednosne papire ili podnese zahtjev za uvrštenje za trgovanje na uređeno tržište, a da prethodno ne podnese Agenciji zahtjev za zasebnim odobrenjem obavijesti o vrijednosnim papirima i sažetka, sve u skladu sa zahtjevima iz članka 10. stavka 3. drugog podstavka Uredbe (EU) br. 2017/1129</w:t>
      </w:r>
    </w:p>
    <w:p w14:paraId="5D4D1D7E" w14:textId="04377DE5"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823840"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nakon što je univerzalni registracijski dokument podnesen Agenciji bez prethodnog odobrenja ponudi vrijednosne papire ili podnese zahtjev za uvrštenje za trgovanje na uređeno tržište, a da prethodno ne podnese Agenciji zahtjev za odobrenjem cjelokupne dokumentacije, uključujući izmjene univerzalnog registracijskog dokumenta, koje bi trebale činiti prospekt za potrebe ponude vrijednosnih papira ili uvrštenja za trgovanje na uređeno tržište, sve u skladu s člankom 10. stavkom 3. trećim i četvrtim podstavkom Uredbe (EU) br. 2017/1129</w:t>
      </w:r>
    </w:p>
    <w:p w14:paraId="72714C67" w14:textId="5FE572FC"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823840"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ne objavi prospekt najkasnije s početkom javne ponude ili prije uvrštenja za trgovanje vrijednosnih papira na uređeno tržište kako je propisano člankom 21. stavkom 1. prvim podstavkom Uredbe (EU) br. 2017/1129</w:t>
      </w:r>
    </w:p>
    <w:p w14:paraId="7F8CFF41" w14:textId="0079219D"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823840"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ne objavi prospekt najmanje tri radna dana prije završetka ponude, a koji prospekt se odnosi na inicijalnu javnu ponudu roda dionica koji se po prvi puta uvrštava za trgovanje na uređenom tržištu kako je propisano člankom 21. stavkom 1. drugim podstavkom Uredbe (EU) br. 2017/1129</w:t>
      </w:r>
    </w:p>
    <w:p w14:paraId="5F2959EC" w14:textId="420B455F"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823840"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protivno članku 17. stavku 2. Uredbe (EU) br. 2017/1129 ne podnese Agenciji podatke o konačnoj ponudbenoj cijeni i količini vrijednosnih papira i/ili se ne učine dostupnim javnosti u skladu s postupcima iz članka 21. stavka 2. Uredbe (EU) br. 2017/1129</w:t>
      </w:r>
    </w:p>
    <w:p w14:paraId="506B8F92" w14:textId="45713656"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823840"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objavi prospekt ili njegove sastavne dijelove u slučaju iz članka 10. Uredbe (EU) br. 2017/1129, a koje prethodno nije odobrilo nadležno tijelo u skladu s člankom 20. stavkom 1. Uredbe (EU) br. 2017/1129</w:t>
      </w:r>
    </w:p>
    <w:p w14:paraId="344AC54F" w14:textId="233E6AF8" w:rsidR="00823840"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3</w:t>
      </w:r>
      <w:r w:rsidR="00823840"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objavi univerzalni registracijski dokument koji prethodno nije podnesen Agenciji ili nije odobren iako je isti prethodno podnesen Agenciji radi odobrenja, sve u skladu s člankom 9. stavkom 2. Uredbe (EU) br. 2017/1129</w:t>
      </w:r>
    </w:p>
    <w:p w14:paraId="407DEBA5" w14:textId="3B03422F" w:rsidR="00823840"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38</w:t>
      </w:r>
      <w:r w:rsidR="000B6001" w:rsidRPr="000479E9">
        <w:rPr>
          <w:rFonts w:ascii="Times New Roman" w:eastAsia="Times New Roman" w:hAnsi="Times New Roman"/>
          <w:sz w:val="24"/>
          <w:szCs w:val="24"/>
          <w:lang w:eastAsia="hr-HR"/>
        </w:rPr>
        <w:t>. objavi dopunu prospekta koju prethodno nije odobrilo nadležno tijelo u skladu s člankom 23. stavkom 1. Uredbe (EU) br. 2017/1129</w:t>
      </w:r>
    </w:p>
    <w:p w14:paraId="496FAFE7" w14:textId="070ED600"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39</w:t>
      </w:r>
      <w:r w:rsidR="000B6001" w:rsidRPr="000479E9">
        <w:rPr>
          <w:rFonts w:ascii="Times New Roman" w:eastAsia="Times New Roman" w:hAnsi="Times New Roman"/>
          <w:sz w:val="24"/>
          <w:szCs w:val="24"/>
          <w:lang w:eastAsia="hr-HR"/>
        </w:rPr>
        <w:t>. kao izdavatelj, ponuditelj ili osoba koja traži uvrštenje za trgovanje na uređenom tržištu, učini dostupnim javnosti prospekt i/ili dopunu prospekta čiji tekst i oblik nisu istovjetni izvornoj verziji koju je odobrila Agencija ili nadležno tijelo matične države članice u skladu s člankom 21. stavkom 10. Uredbe (EU) br. 2017/1129</w:t>
      </w:r>
    </w:p>
    <w:p w14:paraId="4AD5E17A" w14:textId="5F347811" w:rsidR="00823840"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40</w:t>
      </w:r>
      <w:r w:rsidR="000B6001" w:rsidRPr="000479E9">
        <w:rPr>
          <w:rFonts w:ascii="Times New Roman" w:eastAsia="Times New Roman" w:hAnsi="Times New Roman"/>
          <w:sz w:val="24"/>
          <w:szCs w:val="24"/>
          <w:lang w:eastAsia="hr-HR"/>
        </w:rPr>
        <w:t>. kao izdavatelj, ponuditelj ili podnositelj zahtjeva za uvrštenje na uređeno tržište ne podnese zahtjev Agenciji za odobrenjem dopune prospekta bez nepotrebne odgode kada za to postoje uvjeti u skladu s člankom 23. stavkom 1. prvim podstavkom Uredbe (EU) br. 2017/</w:t>
      </w:r>
      <w:r w:rsidRPr="000479E9">
        <w:rPr>
          <w:rFonts w:ascii="Times New Roman" w:eastAsia="Times New Roman" w:hAnsi="Times New Roman"/>
          <w:sz w:val="24"/>
          <w:szCs w:val="24"/>
          <w:lang w:eastAsia="hr-HR"/>
        </w:rPr>
        <w:t>1</w:t>
      </w:r>
      <w:r w:rsidR="000B6001" w:rsidRPr="000479E9">
        <w:rPr>
          <w:rFonts w:ascii="Times New Roman" w:eastAsia="Times New Roman" w:hAnsi="Times New Roman"/>
          <w:sz w:val="24"/>
          <w:szCs w:val="24"/>
          <w:lang w:eastAsia="hr-HR"/>
        </w:rPr>
        <w:t>129</w:t>
      </w:r>
    </w:p>
    <w:p w14:paraId="5CBBFEEB" w14:textId="42031E0B"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41</w:t>
      </w:r>
      <w:r w:rsidR="000B6001" w:rsidRPr="000479E9">
        <w:rPr>
          <w:rFonts w:ascii="Times New Roman" w:eastAsia="Times New Roman" w:hAnsi="Times New Roman"/>
          <w:sz w:val="24"/>
          <w:szCs w:val="24"/>
          <w:lang w:eastAsia="hr-HR"/>
        </w:rPr>
        <w:t>. kao izdavatelj, ponuditelj ili podnositelj zahtjeva za uvrštenje na uređeno tržište ne podnese zahtjev Agenciji za odobrenjem dopune registracijskog dokumenta ili univerzalnog registracijskog dokumenta bez nepotrebne odgode kada za to postoje uvjeti u skladu s člankom 26. stavkom 5. prvim podstavkom Uredbe (EU) br. 2017/1129</w:t>
      </w:r>
    </w:p>
    <w:p w14:paraId="332F5A95" w14:textId="0CA454E8" w:rsidR="000B6001"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42</w:t>
      </w:r>
      <w:r w:rsidR="000B6001" w:rsidRPr="000479E9">
        <w:rPr>
          <w:rFonts w:ascii="Times New Roman" w:eastAsia="Times New Roman" w:hAnsi="Times New Roman"/>
          <w:sz w:val="24"/>
          <w:szCs w:val="24"/>
          <w:lang w:eastAsia="hr-HR"/>
        </w:rPr>
        <w:t>. kao izdavatelj, ponuditelj ili podnositelj zahtjeva za uvrštenje na uređeno tržište propusti dostaviti obavijest o dopuni registracijskog dokumenta ili univerzalnog registracijskog dokumenta koji se istodobno koriste kao sastavni dio nekoliko prospekata u skladu s člankom 23. stavkom 5. Uredbe (EU) br. 2017/1129, svim nadležnim tijelima koja su odobrila te prospekte, sve u skladu sa zahtjevima iz članka 26. stavka 5. drugog podstavka Uredbe (EU) br. 2017/1129</w:t>
      </w:r>
    </w:p>
    <w:p w14:paraId="05FC9D9E" w14:textId="1759F1A5" w:rsidR="00AB011A" w:rsidRPr="000479E9" w:rsidRDefault="00823840"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43</w:t>
      </w:r>
      <w:r w:rsidR="000B6001" w:rsidRPr="000479E9">
        <w:rPr>
          <w:rFonts w:ascii="Times New Roman" w:eastAsia="Times New Roman" w:hAnsi="Times New Roman"/>
          <w:sz w:val="24"/>
          <w:szCs w:val="24"/>
          <w:lang w:eastAsia="hr-HR"/>
        </w:rPr>
        <w:t>. kao izdavatelj, ponuditelj ili podnositelj zahtjeva za uvrštenje na uređeno tržište na poziv Agencije u skladu s člankom 24. stavkom 2. Uredbe (EU) br. 2017/1129 ne podnese zahtjev Agenciji za odobrenjem dopune prospekta u skladu s člankom 23. stavkom 1. prvim podstavkom Uredbe (EU) br. 2017/1129</w:t>
      </w:r>
    </w:p>
    <w:p w14:paraId="3AB2DE78" w14:textId="12F59AF5"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44</w:t>
      </w:r>
      <w:r w:rsidR="000B6001" w:rsidRPr="000479E9">
        <w:rPr>
          <w:rFonts w:ascii="Times New Roman" w:eastAsia="Times New Roman" w:hAnsi="Times New Roman"/>
          <w:sz w:val="24"/>
          <w:szCs w:val="24"/>
          <w:lang w:eastAsia="hr-HR"/>
        </w:rPr>
        <w:t>. kao izdavatelj, ponuditelj ili podnositelj zahtjeva za uvrštenje na uređeno tržište ne objavi dopunu prospekta koju je odobrilo nadležno tijelo u skladu s člankom 23. stavkom 1. Uredbe (EU) br. 2017/1129</w:t>
      </w:r>
    </w:p>
    <w:p w14:paraId="7B0D8159" w14:textId="73466B2A"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AB011A"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kao izdavatelj, ponuditelj ili podnositelj zahtjeva za uvrštenje na uređeno tržište ne omogući ulagateljima povlačenje prihvata pod uvjetima i u skladu s člankom 23. stavkom 2. prvim podstavkom Uredbe (EU) br. 2017/1129</w:t>
      </w:r>
    </w:p>
    <w:p w14:paraId="502838C7" w14:textId="6F8A1301"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AB011A"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kao financijski posrednik putem kojeg su vrijednosni papiri kupljeni ili upisani ne obavijesti ulagatelje ili ne stupi u kontakt s ulagateljima na dan objave dopune, u skladu s člankom 23. stavkom 3. prvim i drugim podstavkom Uredbe (EU) br. 2017/1129</w:t>
      </w:r>
    </w:p>
    <w:p w14:paraId="32171777" w14:textId="1F080B2C"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AB011A"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kao financijski posrednik putem kojeg su vrijednosni papiri kupljeni ili upisani ne upozori ulagatelje, u skladu s člankom 23. stavkom 3. podstavkom 1. točkom d) Uredbe (EU) br. 2017/1129</w:t>
      </w:r>
    </w:p>
    <w:p w14:paraId="3AEBFCA8" w14:textId="12A14990"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4</w:t>
      </w:r>
      <w:r w:rsidR="00AB011A"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kao izdavatelj ili ponuditelj kod kojeg su vrijednosni papiri izravno kupljeni ili upisani ne obavijesti ulagatelje u skladu s člankom 23. stavkom 3. trećim podstavkom Uredbe (EU) br. 2017/1129.</w:t>
      </w:r>
    </w:p>
    <w:p w14:paraId="1EC9B495" w14:textId="508FE41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Iznimno od stavka 1.</w:t>
      </w:r>
      <w:r w:rsidR="00C706CB" w:rsidRPr="000479E9">
        <w:rPr>
          <w:rFonts w:ascii="Times New Roman" w:eastAsia="Times New Roman" w:hAnsi="Times New Roman"/>
          <w:sz w:val="24"/>
          <w:szCs w:val="24"/>
          <w:lang w:eastAsia="hr-HR"/>
        </w:rPr>
        <w:t xml:space="preserve"> </w:t>
      </w:r>
      <w:r w:rsidRPr="000479E9">
        <w:rPr>
          <w:rFonts w:ascii="Times New Roman" w:eastAsia="Times New Roman" w:hAnsi="Times New Roman"/>
          <w:sz w:val="24"/>
          <w:szCs w:val="24"/>
          <w:lang w:eastAsia="hr-HR"/>
        </w:rPr>
        <w:t>ovoga članka, ako je pravna osoba iz stavka 1. ovoga članka prekršajem iz stavka 3. ovoga članka ostvarila korist ili spriječila gubitak, a iznos tako ostvarene koristi ili spriječenog gubitka može se utvrditi, pravna osoba iz stavka 1. ovoga članka kaznit će se za prekršaj iz stavka 3. ovoga članka novčanom kaznom u iznosu dvostruko utvrđenog iznosa tako ostvarene koristi odnosno tako spriječenog gubitka, ako je taj iznos veći od propisanog najvećeg iznosa novčane kazne iz stavka 1. ovoga članka.</w:t>
      </w:r>
    </w:p>
    <w:p w14:paraId="3B2169A8" w14:textId="3F65DC84"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xml:space="preserve">) Za prekršaj iz stavka 3. ovoga članka kaznit će se i odgovorna osoba u pravnoj osobi iz stavaka 1. i 2. ovoga članka novčanom kaznom u iznosu od </w:t>
      </w:r>
      <w:r w:rsidR="00C706CB" w:rsidRPr="000479E9">
        <w:rPr>
          <w:rFonts w:ascii="Times New Roman" w:eastAsia="Times New Roman" w:hAnsi="Times New Roman"/>
          <w:sz w:val="24"/>
          <w:szCs w:val="24"/>
          <w:lang w:eastAsia="hr-HR"/>
        </w:rPr>
        <w:t>20</w:t>
      </w: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00</w:t>
      </w:r>
      <w:r w:rsidRPr="000479E9">
        <w:rPr>
          <w:rFonts w:ascii="Times New Roman" w:eastAsia="Times New Roman" w:hAnsi="Times New Roman"/>
          <w:sz w:val="24"/>
          <w:szCs w:val="24"/>
          <w:lang w:eastAsia="hr-HR"/>
        </w:rPr>
        <w:t xml:space="preserve">0,00 do </w:t>
      </w:r>
      <w:r w:rsidR="00C706CB"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00.000,00 eura.</w:t>
      </w:r>
    </w:p>
    <w:p w14:paraId="0BDF2E59" w14:textId="5AE032C1"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Kada fizička osoba počini prekršaj iz stavaka 1. i 2., kaznit će se novčanom kaznom u iznosu u iznosu od 66.360,00 do 700.000,00 eura.</w:t>
      </w:r>
    </w:p>
    <w:p w14:paraId="0C01B76B" w14:textId="6F87F829"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xml:space="preserve">) Iznimno od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ako je fizička osoba iz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prekršajem ostvarila korist ili spriječila gubitak, a iznos tako ostvarene koristi ili spriječenog gubitka može se utvrditi, fizička osoba iz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kaznit će se za prekršaj iz stavka 3. ovoga članka novčanom kaznom u iznosu dvostruko utvrđenog iznosa tako ostvarene koristi odnosno tako spriječenog gubitka, ako je taj iznos veći od propisanog najvećeg iznosa novčane kazne iz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ovoga članka.“</w:t>
      </w:r>
      <w:r w:rsidR="0005762C" w:rsidRPr="000479E9">
        <w:rPr>
          <w:rFonts w:ascii="Times New Roman" w:eastAsia="Times New Roman" w:hAnsi="Times New Roman"/>
          <w:sz w:val="24"/>
          <w:szCs w:val="24"/>
          <w:lang w:eastAsia="hr-HR"/>
        </w:rPr>
        <w:t>.</w:t>
      </w:r>
    </w:p>
    <w:p w14:paraId="58981175" w14:textId="77777777" w:rsidR="000B6001" w:rsidRPr="000479E9" w:rsidRDefault="000B6001" w:rsidP="00617A00">
      <w:pPr>
        <w:spacing w:after="0" w:line="240" w:lineRule="auto"/>
        <w:jc w:val="both"/>
        <w:rPr>
          <w:rFonts w:ascii="Times New Roman" w:eastAsia="Times New Roman" w:hAnsi="Times New Roman" w:cs="Times New Roman"/>
          <w:sz w:val="24"/>
          <w:szCs w:val="24"/>
          <w:lang w:eastAsia="hr-HR"/>
        </w:rPr>
      </w:pPr>
    </w:p>
    <w:p w14:paraId="1B28D2ED" w14:textId="77777777" w:rsidR="000B6001" w:rsidRPr="000479E9" w:rsidRDefault="000B6001" w:rsidP="00617A00">
      <w:pPr>
        <w:spacing w:after="0" w:line="240" w:lineRule="auto"/>
        <w:jc w:val="both"/>
        <w:rPr>
          <w:rFonts w:ascii="Times New Roman" w:eastAsia="Times New Roman" w:hAnsi="Times New Roman" w:cs="Times New Roman"/>
          <w:sz w:val="24"/>
          <w:szCs w:val="24"/>
          <w:lang w:eastAsia="hr-HR"/>
        </w:rPr>
      </w:pPr>
    </w:p>
    <w:p w14:paraId="47B5C818" w14:textId="752E1D78"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1D1E70" w:rsidRPr="000479E9">
        <w:rPr>
          <w:rFonts w:ascii="Times New Roman" w:eastAsia="Times New Roman" w:hAnsi="Times New Roman" w:cs="Times New Roman"/>
          <w:b/>
          <w:bCs/>
          <w:sz w:val="24"/>
          <w:szCs w:val="24"/>
          <w:lang w:eastAsia="hr-HR"/>
        </w:rPr>
        <w:t>100</w:t>
      </w:r>
      <w:r w:rsidRPr="000479E9">
        <w:rPr>
          <w:rFonts w:ascii="Times New Roman" w:eastAsia="Times New Roman" w:hAnsi="Times New Roman" w:cs="Times New Roman"/>
          <w:b/>
          <w:bCs/>
          <w:sz w:val="24"/>
          <w:szCs w:val="24"/>
          <w:lang w:eastAsia="hr-HR"/>
        </w:rPr>
        <w:t>.</w:t>
      </w:r>
    </w:p>
    <w:p w14:paraId="23CA177D"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1AF3D6ED" w14:textId="4BA71A81" w:rsidR="001E615F" w:rsidRPr="000479E9" w:rsidRDefault="000B6001"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w:t>
      </w:r>
      <w:r w:rsidR="001E615F" w:rsidRPr="000479E9">
        <w:rPr>
          <w:rFonts w:ascii="Times New Roman" w:eastAsia="Times New Roman" w:hAnsi="Times New Roman" w:cs="Times New Roman"/>
          <w:sz w:val="24"/>
          <w:szCs w:val="24"/>
          <w:lang w:eastAsia="hr-HR"/>
        </w:rPr>
        <w:t xml:space="preserve"> 705.a </w:t>
      </w:r>
      <w:r w:rsidRPr="000479E9">
        <w:rPr>
          <w:rFonts w:ascii="Times New Roman" w:eastAsia="Times New Roman" w:hAnsi="Times New Roman" w:cs="Times New Roman"/>
          <w:sz w:val="24"/>
          <w:szCs w:val="24"/>
          <w:lang w:eastAsia="hr-HR"/>
        </w:rPr>
        <w:t xml:space="preserve">stavak 1. </w:t>
      </w:r>
      <w:r w:rsidR="001E615F" w:rsidRPr="000479E9">
        <w:rPr>
          <w:rFonts w:ascii="Times New Roman" w:eastAsia="Times New Roman" w:hAnsi="Times New Roman" w:cs="Times New Roman"/>
          <w:sz w:val="24"/>
          <w:szCs w:val="24"/>
          <w:lang w:eastAsia="hr-HR"/>
        </w:rPr>
        <w:t xml:space="preserve">mijenja se i glasi: </w:t>
      </w:r>
    </w:p>
    <w:p w14:paraId="178904A3"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58B724FA" w14:textId="5DCAC659" w:rsidR="000B6001" w:rsidRPr="000479E9" w:rsidRDefault="00614F63"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Pr>
          <w:rFonts w:ascii="Times New Roman" w:eastAsia="Times New Roman" w:hAnsi="Times New Roman"/>
          <w:sz w:val="24"/>
          <w:szCs w:val="24"/>
          <w:lang w:eastAsia="hr-HR"/>
        </w:rPr>
        <w:t>„</w:t>
      </w:r>
      <w:r w:rsidR="000B6001" w:rsidRPr="000479E9">
        <w:rPr>
          <w:rFonts w:ascii="Times New Roman" w:eastAsia="Times New Roman" w:hAnsi="Times New Roman"/>
          <w:sz w:val="24"/>
          <w:szCs w:val="24"/>
          <w:lang w:eastAsia="hr-HR"/>
        </w:rPr>
        <w:t xml:space="preserve">(1) Za prekršaj kod kojeg nije ispunjen jedan ili više uvjeta iz članka 705. stavka 2. ovoga Zakona, kaznit će se pravna osoba novčanom kaznom u iznosu od </w:t>
      </w:r>
      <w:r w:rsidR="000B6001" w:rsidRPr="000479E9">
        <w:rPr>
          <w:rFonts w:ascii="Times New Roman" w:eastAsia="Times New Roman" w:hAnsi="Times New Roman"/>
          <w:bCs/>
          <w:sz w:val="24"/>
          <w:szCs w:val="24"/>
          <w:lang w:eastAsia="hr-HR"/>
        </w:rPr>
        <w:t>3.000</w:t>
      </w:r>
      <w:r w:rsidR="00C706CB" w:rsidRPr="000479E9">
        <w:rPr>
          <w:rFonts w:ascii="Times New Roman" w:eastAsia="Times New Roman" w:hAnsi="Times New Roman"/>
          <w:bCs/>
          <w:sz w:val="24"/>
          <w:szCs w:val="24"/>
          <w:lang w:eastAsia="hr-HR"/>
        </w:rPr>
        <w:t>,00</w:t>
      </w:r>
      <w:r w:rsidR="000B6001" w:rsidRPr="000479E9">
        <w:rPr>
          <w:rFonts w:ascii="Times New Roman" w:eastAsia="Times New Roman" w:hAnsi="Times New Roman"/>
          <w:bCs/>
          <w:sz w:val="24"/>
          <w:szCs w:val="24"/>
          <w:lang w:eastAsia="hr-HR"/>
        </w:rPr>
        <w:t xml:space="preserve"> do 50.000 eura</w:t>
      </w:r>
      <w:r w:rsidR="000B6001" w:rsidRPr="000479E9">
        <w:rPr>
          <w:rFonts w:ascii="Times New Roman" w:eastAsia="Times New Roman" w:hAnsi="Times New Roman"/>
          <w:i/>
          <w:iCs/>
          <w:sz w:val="24"/>
          <w:szCs w:val="24"/>
          <w:lang w:eastAsia="hr-HR"/>
        </w:rPr>
        <w:t>,</w:t>
      </w:r>
      <w:r w:rsidR="000B6001" w:rsidRPr="000479E9">
        <w:rPr>
          <w:rFonts w:ascii="Times New Roman" w:eastAsia="Times New Roman" w:hAnsi="Times New Roman"/>
          <w:sz w:val="24"/>
          <w:szCs w:val="24"/>
          <w:lang w:eastAsia="hr-HR"/>
        </w:rPr>
        <w:t> ako:</w:t>
      </w:r>
    </w:p>
    <w:p w14:paraId="05126590"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ponudi javnosti vrijednosne papire, ako prije ponude nije u vezi s istom objavljen prospekt u skladu s člankom 3. stavkom 1. Uredbe (EU) br. 2017/1129, pri čemu nisu ispunjeni uvjeti za korištenje iznimke od obveze objave prospekta iz članka 1. stavka 4. Uredbe (EU) br. 2017/1129</w:t>
      </w:r>
    </w:p>
    <w:p w14:paraId="2DCEF784"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ponudi javnosti vrijednosne papire, ako prije ponude nije u vezi s istom objavljen prospekt, pri čemu nisu ispunjeni uvjeti za korištenje iznimke od obveze objave prospekta iz članka 409. stavka 1. ovoga Zakona</w:t>
      </w:r>
    </w:p>
    <w:p w14:paraId="77FA5140"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uvrsti vrijednosne papire na uređeno tržište u Republici Hrvatskoj, a prije uvrštenja nije u vezi s istim objavljen prospekt, u skladu s člankom 3. stavkom 3. Uredbom (EU) br. 2017/1129, pri čemu nisu ispunjeni uvjeti za korištenje iznimke od obveze objave prospekta iz članka 1. stavka 5. Uredbe (EU) br. 2017/1129</w:t>
      </w:r>
    </w:p>
    <w:p w14:paraId="69923F48" w14:textId="77777777" w:rsidR="00AB011A"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4. koristi izuzetak od obveze objave prospekta iz članka 1. stavka 5. prvog podstavka točaka (a) i (b) Uredbe (EU) br. 2017/1129 na način protivan zabrani iz članka 1. stavka 6. Uredbe (EU) br. 2017/1129</w:t>
      </w:r>
    </w:p>
    <w:p w14:paraId="590BFD55" w14:textId="2F839643"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w:t>
      </w:r>
      <w:r w:rsidR="00AB011A" w:rsidRPr="000479E9">
        <w:rPr>
          <w:rFonts w:ascii="Times New Roman" w:eastAsia="Times New Roman" w:hAnsi="Times New Roman"/>
          <w:sz w:val="24"/>
          <w:szCs w:val="24"/>
          <w:lang w:eastAsia="hr-HR"/>
        </w:rPr>
        <w:t>.</w:t>
      </w:r>
      <w:r w:rsidRPr="000479E9">
        <w:rPr>
          <w:rFonts w:ascii="Times New Roman" w:eastAsia="Times New Roman" w:hAnsi="Times New Roman"/>
          <w:sz w:val="24"/>
          <w:szCs w:val="24"/>
          <w:lang w:eastAsia="hr-HR"/>
        </w:rPr>
        <w:t xml:space="preserve"> kao ponuditelj ili financijski posrednik, protivno članku 5. stavku 1. prvom podstavku Uredbe (EU) br. 2017/1129 vrši ponovnu prodaju ili konačni plasman vrijednosnih papira koji podliježu obvezi objave prospekta, a da prethodno nije objavljen prospekt u skladu s Uredbom (EU) br. 2017/1129</w:t>
      </w:r>
    </w:p>
    <w:p w14:paraId="3C029419" w14:textId="3CC56972"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w:t>
      </w:r>
      <w:r w:rsidR="000B6001" w:rsidRPr="000479E9">
        <w:rPr>
          <w:rFonts w:ascii="Times New Roman" w:eastAsia="Times New Roman" w:hAnsi="Times New Roman"/>
          <w:sz w:val="24"/>
          <w:szCs w:val="24"/>
          <w:lang w:eastAsia="hr-HR"/>
        </w:rPr>
        <w:t>. kao ponuditelj ili financijski posrednik protivno članku 5. stavku 1. drugom podstavku Uredbe (EU) br. 2017/1129 vrši ponovnu prodaju ili konačni plasman vrijednosnih papira putem prospekta koji ne ispunjava uvjete iz članka 12. Uredbe (EU) br. 2017/1129 i/ili za koji izdavatelj ili osoba odgovorna za sastavljanje prospekta nije dala pisanu suglasnost za njegovu upotrebu za naknadnu ponovnu prodaju ili konačni plasman</w:t>
      </w:r>
    </w:p>
    <w:p w14:paraId="49F86457" w14:textId="7C6B0BC8"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w:t>
      </w:r>
      <w:r w:rsidR="000B6001" w:rsidRPr="000479E9">
        <w:rPr>
          <w:rFonts w:ascii="Times New Roman" w:eastAsia="Times New Roman" w:hAnsi="Times New Roman"/>
          <w:sz w:val="24"/>
          <w:szCs w:val="24"/>
          <w:lang w:eastAsia="hr-HR"/>
        </w:rPr>
        <w:t>. protivno zabrani iz članka 5. stavka 2. Uredbe (EU) br. 2017/1129 preprodaje vrijednosne papire nekvalificiranim ulagateljima temeljem prospekta za koji je utvrđeno da nije primjeren za nekvalificirane ulagatelje u skladu s Uredbom (EU) br. 2017/1129</w:t>
      </w:r>
    </w:p>
    <w:p w14:paraId="592E2E9A" w14:textId="13608409"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w:t>
      </w:r>
      <w:r w:rsidR="000B6001" w:rsidRPr="000479E9">
        <w:rPr>
          <w:rFonts w:ascii="Times New Roman" w:eastAsia="Times New Roman" w:hAnsi="Times New Roman"/>
          <w:sz w:val="24"/>
          <w:szCs w:val="24"/>
          <w:lang w:eastAsia="hr-HR"/>
        </w:rPr>
        <w:t>. ishodi odobrenje prospekta, dopune prospekta i/ili drugog dokumenta za čije odobrenje je Agencija nadležna u skladu s člankom 405. stavkom 2. točkama 1. i 2. ovoga Zakona, temeljem lažnih ili nepotpunih izjava i/ili podataka ili izostavi informacije u prospektu ili drugom dokumentu za čije odobrenje je Agencija nadležna, a koje su prijeko potrebne ulagatelju kako bi donio utemeljenu procjenu imovine i obveza, dobiti i gubitaka, financijskog položaja te očekivanja izdavatelja i bilo kojeg jamca te, ako je primjenjivo, prava povezanih s vrijednosnim papirima i razlozima izdavanja vrijednosnih papira i njegova učinka na izdavatelja, pod uvjetima i u skladu sa zahtjevima iz članka 6. stavka 1. Uredbe (EU) br. 2017/1129</w:t>
      </w:r>
    </w:p>
    <w:p w14:paraId="5BBEB158" w14:textId="34FDE1D4" w:rsidR="000B6001" w:rsidRPr="000479E9" w:rsidRDefault="00AB011A" w:rsidP="000B6001">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w:t>
      </w:r>
      <w:r w:rsidR="000B6001" w:rsidRPr="000479E9">
        <w:rPr>
          <w:rFonts w:ascii="Times New Roman" w:eastAsia="Times New Roman" w:hAnsi="Times New Roman"/>
          <w:sz w:val="24"/>
          <w:szCs w:val="24"/>
          <w:lang w:eastAsia="hr-HR"/>
        </w:rPr>
        <w:t xml:space="preserve">. uz prospekt EU-a za </w:t>
      </w:r>
      <w:r w:rsidRPr="000479E9">
        <w:rPr>
          <w:rFonts w:ascii="Times New Roman" w:eastAsia="Times New Roman" w:hAnsi="Times New Roman"/>
          <w:sz w:val="24"/>
          <w:szCs w:val="24"/>
          <w:lang w:eastAsia="hr-HR"/>
        </w:rPr>
        <w:t>naknadna izdanja</w:t>
      </w:r>
      <w:r w:rsidRPr="000479E9" w:rsidDel="00AB011A">
        <w:rPr>
          <w:rFonts w:ascii="Times New Roman" w:eastAsia="Times New Roman" w:hAnsi="Times New Roman"/>
          <w:sz w:val="24"/>
          <w:szCs w:val="24"/>
          <w:lang w:eastAsia="hr-HR"/>
        </w:rPr>
        <w:t xml:space="preserve"> </w:t>
      </w:r>
      <w:r w:rsidR="000B6001" w:rsidRPr="000479E9">
        <w:rPr>
          <w:rFonts w:ascii="Times New Roman" w:eastAsia="Times New Roman" w:hAnsi="Times New Roman"/>
          <w:sz w:val="24"/>
          <w:szCs w:val="24"/>
          <w:lang w:eastAsia="hr-HR"/>
        </w:rPr>
        <w:t>koji sastavlja u skladu s člankom 14. a Uredbe (EU) 2017/1129 ne sastavi u skladu sa zahtjevima iz članka 7. stavka 12.a Uredbe (EU) 2017/1129</w:t>
      </w:r>
    </w:p>
    <w:p w14:paraId="3DA67049" w14:textId="02B438F6" w:rsidR="000B6001" w:rsidRPr="000479E9" w:rsidRDefault="00AB011A" w:rsidP="000B6001">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10</w:t>
      </w:r>
      <w:r w:rsidR="000B6001" w:rsidRPr="000479E9">
        <w:rPr>
          <w:rFonts w:ascii="Times New Roman" w:eastAsia="Times New Roman" w:hAnsi="Times New Roman"/>
          <w:sz w:val="24"/>
          <w:szCs w:val="24"/>
          <w:lang w:eastAsia="hr-HR"/>
        </w:rPr>
        <w:t xml:space="preserve">. sastavi prospekt EU-a za </w:t>
      </w:r>
      <w:r w:rsidRPr="000479E9">
        <w:rPr>
          <w:rFonts w:ascii="Times New Roman" w:eastAsia="Times New Roman" w:hAnsi="Times New Roman"/>
          <w:sz w:val="24"/>
          <w:szCs w:val="24"/>
          <w:lang w:eastAsia="hr-HR"/>
        </w:rPr>
        <w:t>naknadna izdanja</w:t>
      </w:r>
      <w:r w:rsidRPr="000479E9" w:rsidDel="00AB011A">
        <w:rPr>
          <w:rFonts w:ascii="Times New Roman" w:eastAsia="Times New Roman" w:hAnsi="Times New Roman"/>
          <w:sz w:val="24"/>
          <w:szCs w:val="24"/>
          <w:lang w:eastAsia="hr-HR"/>
        </w:rPr>
        <w:t xml:space="preserve"> </w:t>
      </w:r>
      <w:r w:rsidR="000B6001" w:rsidRPr="000479E9">
        <w:rPr>
          <w:rFonts w:ascii="Times New Roman" w:eastAsia="Times New Roman" w:hAnsi="Times New Roman"/>
          <w:sz w:val="24"/>
          <w:szCs w:val="24"/>
          <w:lang w:eastAsia="hr-HR"/>
        </w:rPr>
        <w:t>protivno uvjetima iz članka 14.a stavka 1. Uredbe (EU) 2017/1129</w:t>
      </w:r>
    </w:p>
    <w:p w14:paraId="352E68E7" w14:textId="56F9D882" w:rsidR="000B6001" w:rsidRPr="000479E9" w:rsidRDefault="000B6001" w:rsidP="000B6001">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sastavi prospekt EU o izdanjima za rast protivno uvjetima iz članka 15.a stavka 1. Uredbe (EU) 2017/1129</w:t>
      </w:r>
    </w:p>
    <w:p w14:paraId="507B2B3A" w14:textId="78B60CF5"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u dopunu osnovnog prospekta uvede nove vrste vrijednosnih papira protivno članku 23. stavku 4.a Uredbe (EU) 2017/1129</w:t>
      </w:r>
    </w:p>
    <w:p w14:paraId="20362A96" w14:textId="0575B3EB"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prilikom objave prospekta ne poštuje postupke objave iz članka 21. stavka 2. Uredbe (EU) br. 2017/1129</w:t>
      </w:r>
    </w:p>
    <w:p w14:paraId="590C8027" w14:textId="0F83E50A"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nakon što ih Agencija odobri ili se podnesu Agenciji bez prethodnog odobrenja, ne učini dostupnim javnosti u skladu s postupcima iz članka 21. Uredbe (EU) br. 2017/1129 bez nepotrebne odgode, univerzalni registracijski dokument i/ili njegove izmjene u slučajevima iz članka 9. stavaka 7. i 9. Uredbe (EU) br. 2017/1129, sve u skladu sa zahtjevima iz članka 9. stavka 4. Uredbe (EU) br. 2017/1129</w:t>
      </w:r>
    </w:p>
    <w:p w14:paraId="4F9D32D5" w14:textId="51F6599E"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1</w:t>
      </w:r>
      <w:r w:rsidR="00AB011A"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nakon što je odobren, ne učini registracijski dokument dostupnim javnosti bez nepotrebne odgode i u skladu s postupcima iz članka 21. Uredbe (EU) br. 2017/1129, sve u skladu sa zahtjevima iz članka 10. stavka 2. Uredbe (EU) br. 2017/1129</w:t>
      </w:r>
    </w:p>
    <w:p w14:paraId="5CB3E6F9" w14:textId="72D8E9F2"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ne objavi prospekt na posebnom dijelu internetske stranice na način da je lako dostupan nakon što se pristupi internetskoj stranici tako da ga se može lako preuzeti, ispisati i pretraživati u elektroničkom obliku koji se ne može mijenjati, sve u skladu sa zahtjevima iz članka 21. stavka 3. prvog podstavka Uredbe (EU) br. 2017/1129</w:t>
      </w:r>
    </w:p>
    <w:p w14:paraId="7CB0D73D" w14:textId="0693EA2B"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ne omogući pristup dokumentima u kojima su sadržane informacije koje se u prospekt uključuju upućivanjem, dopunama i/ili konačnim uvjetima povezanima s prospektom te zasebnom primjerku sažetka na način da im je moguće pristupiti u istom dijelu internetske stranice uz prospekt, među ostalim i ako je potrebno, putem hiperpoveznica, sve u skladu sa zahtjevima iz članka 21. stavka 3. drugog podstavka Uredbe (EU) br. 2017/1129</w:t>
      </w:r>
    </w:p>
    <w:p w14:paraId="273E37DF" w14:textId="738B33D5"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u zasebnom primjerku sažetka nije jasno naznačeno na koji se prospekt odnosi u skladu s člankom 21. stavkom 3. trećim podstavkom Uredbe (EU) br. 2017/1129</w:t>
      </w:r>
    </w:p>
    <w:p w14:paraId="18F23178" w14:textId="3E5065C5"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w:t>
      </w:r>
      <w:r w:rsidR="00AB011A" w:rsidRPr="000479E9">
        <w:rPr>
          <w:rFonts w:ascii="Times New Roman" w:eastAsia="Times New Roman" w:hAnsi="Times New Roman"/>
          <w:sz w:val="24"/>
          <w:szCs w:val="24"/>
          <w:lang w:eastAsia="hr-HR"/>
        </w:rPr>
        <w:t>9</w:t>
      </w:r>
      <w:r w:rsidRPr="000479E9">
        <w:rPr>
          <w:rFonts w:ascii="Times New Roman" w:eastAsia="Times New Roman" w:hAnsi="Times New Roman"/>
          <w:sz w:val="24"/>
          <w:szCs w:val="24"/>
          <w:lang w:eastAsia="hr-HR"/>
        </w:rPr>
        <w:t>. ograničava pristup objavljenom prospektu na način da se zahtijeva registracija, davanje izjave o prihvaćanju ograničenja pravne odgovornosti ili plaćanje naknade protivno zabrani iz članka 21. stavka 4. Uredbe (EU) br. 2017/1129</w:t>
      </w:r>
    </w:p>
    <w:p w14:paraId="1E6078B3" w14:textId="2D5D05EB"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20</w:t>
      </w:r>
      <w:r w:rsidR="000B6001" w:rsidRPr="000479E9">
        <w:rPr>
          <w:rFonts w:ascii="Times New Roman" w:eastAsia="Times New Roman" w:hAnsi="Times New Roman"/>
          <w:sz w:val="24"/>
          <w:szCs w:val="24"/>
          <w:lang w:eastAsia="hr-HR"/>
        </w:rPr>
        <w:t>. kao izdavatelj, ponuditelj ili osoba koja traži uvrštenje za trgovanje na uređenom tržištu, kada su hiperpoveznice upotrijebljene za potrebe objave prospekta, ne osigura funkcionalnost hiperpoveznica na prospekt i/ili na informacije uključene u prospekt upućivanjem te na dopune i/ili konačne uvjete povezane s prospektom tijekom razdoblja od najmanje 10 godina nakon njihove objave na internetskim stranicama iz članka 21. stavaka 2. i 6. Uredbe (EU) br. 2017/1129, a kako je propisano člankom 21. stavkom 7. Uredbe (EU) br. 2017/1129</w:t>
      </w:r>
    </w:p>
    <w:p w14:paraId="76033607" w14:textId="64B8C98F"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objavi i distribuira zasebno dokumente koji čine sastavni dio prospekta koji se sastoji od zasebnih dokumenata i/ili objavi i distribuira zasebno informacije koje su uključene u prospekt upućivanjem, a da ti dokumenti i/ili informacije nisu prethodno objavljeni u elektroničkom obliku na kojoj od internetskih stranica u skladu s člankom 21. stavkom 2. Uredbe (EU) br. 2017/1129, sve u skladu sa zahtjevima iz članka 21. stavka 9. Uredbe (EU) br. 2017/1129</w:t>
      </w:r>
    </w:p>
    <w:p w14:paraId="05A24EE2" w14:textId="20194DD7" w:rsidR="00AB011A"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kao izdavatelj, ponuditelj, osoba koja traži uvrštenje za trgovanje na uređenom tržištu ili financijski posrednik koji obavlja poslove plasmana ili prodaje vrijednosnih papira ne dostavi potencijalnom ulagatelju na njegov zahtjev i bez naknade primjerak prospekta u elektroničkom obliku, sve u skladu s člankom 21. stavkom 11. Uredbe (EU) br. 2017/1129</w:t>
      </w:r>
    </w:p>
    <w:p w14:paraId="743CA3ED" w14:textId="05CBF13F"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objavi ili distribuira oglas na području Republike Hrvatske koji ne sadrži informacije iz članka 22. stavka 2. Uredbe (EU) br. 2017/1129</w:t>
      </w:r>
    </w:p>
    <w:p w14:paraId="55699ED4" w14:textId="7BF2C3F1"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objavi ili distribuira oglas na području Republike Hrvatske koji nije jasno prepoznatljiv kao takav u skladu s člankom 22. stavkom 3. Uredbe (EU) br. 2017/1129</w:t>
      </w:r>
    </w:p>
    <w:p w14:paraId="4FFEFBDD" w14:textId="2B53EE63"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xml:space="preserve">. objavi ili distribuira oglas na području Republike Hrvatske koji sadrži informacije koje su netočne ili dovode u zabludu ili nisu u skladu s informacijama sadržanima u prospektu, kada je prospekt već objavljen, ili s informacijama za koje se zahtijeva da </w:t>
      </w:r>
      <w:r w:rsidRPr="000479E9">
        <w:rPr>
          <w:rFonts w:ascii="Times New Roman" w:eastAsia="Times New Roman" w:hAnsi="Times New Roman"/>
          <w:sz w:val="24"/>
          <w:szCs w:val="24"/>
          <w:lang w:eastAsia="hr-HR"/>
        </w:rPr>
        <w:lastRenderedPageBreak/>
        <w:t>budu u prospektu, kada prospekt tek treba biti objavljen, protivno zabrani iz članka 22. stavka 3. Uredbe (EU) br. 2017/1129</w:t>
      </w:r>
    </w:p>
    <w:p w14:paraId="041126C1" w14:textId="4DED0CED"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priopći ili objavi informacije koje se odnose na javnu ponudu vrijednosnih papira ili uvrštenje za trgovanje na uređenom tržištu, u usmenom ili pisanom obliku, čak i kada nisu bile objavljene u svrhe oglašavanja, sadržaj kojih nije u skladu s informacijama sadržanim u prospektu, sve u skladu sa zahtjevima iz članka 22. stavka 4. Uredbe (EU) br. 2017/1129</w:t>
      </w:r>
    </w:p>
    <w:p w14:paraId="210868F2" w14:textId="1A15CC72"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kao izdavatelj ili ponuditelj koji je u usmenom ili pisanom obliku objavio bitne informacije jednom ili više odabranih ulagatelja takve informacije ne objavi i svim drugim ulagateljima kojima je ponuda upućena, pri čemu se radi o slučaju kada se objava prospekta ne zahtijeva u skladu s člankom 1. stavkom 4. ili 5. Uredbe (EU) br. 2017/1129, sve u skladu sa zahtjevima iz članka 22. stavka 5. točke (a) Uredbe (EU) br. 2017/1129</w:t>
      </w:r>
    </w:p>
    <w:p w14:paraId="5AAED38B" w14:textId="5150FDEA"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kao izdavatelj ili ponuditelj koji je u usmenom ili pisanom obliku objavio bitne informacije jednom ili više odabranih ulagatelja takve informacije ne uključi i u prospekt ili u dopunu prospekta u skladu s člankom 23. stavkom 1. Uredbe (EU) br. 2017/1129, pri čemu se radi o slučaju kada se objava prospekta zahtijeva, sve u skladu sa zahtjevima iz članka 22. stavka 5. točke (b) Uredbe (EU) br. 2017/1129</w:t>
      </w:r>
    </w:p>
    <w:p w14:paraId="7FF66E35" w14:textId="2B29E54F"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w:t>
      </w:r>
      <w:r w:rsidR="00AB011A" w:rsidRPr="000479E9">
        <w:rPr>
          <w:rFonts w:ascii="Times New Roman" w:eastAsia="Times New Roman" w:hAnsi="Times New Roman"/>
          <w:sz w:val="24"/>
          <w:szCs w:val="24"/>
          <w:lang w:eastAsia="hr-HR"/>
        </w:rPr>
        <w:t>9</w:t>
      </w:r>
      <w:r w:rsidRPr="000479E9">
        <w:rPr>
          <w:rFonts w:ascii="Times New Roman" w:eastAsia="Times New Roman" w:hAnsi="Times New Roman"/>
          <w:sz w:val="24"/>
          <w:szCs w:val="24"/>
          <w:lang w:eastAsia="hr-HR"/>
        </w:rPr>
        <w:t>. objavi dopunu prospekta na način koji nije u skladu barem s istim postupcima primijenjenim prilikom objave inicijalnog prospekta u skladu s člankom 21. Uredbe (EU) br. 2017/1129, sve u skladu s člankom 23. stavkom 1. drugim podstavkom Uredbe (EU) br. 2017/1129</w:t>
      </w:r>
    </w:p>
    <w:p w14:paraId="2BEEEAFB" w14:textId="014EBF60"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30</w:t>
      </w:r>
      <w:r w:rsidR="000B6001" w:rsidRPr="000479E9">
        <w:rPr>
          <w:rFonts w:ascii="Times New Roman" w:eastAsia="Times New Roman" w:hAnsi="Times New Roman"/>
          <w:sz w:val="24"/>
          <w:szCs w:val="24"/>
          <w:lang w:eastAsia="hr-HR"/>
        </w:rPr>
        <w:t>. nakon odobrenja registracijskog dokumenta ponudi vrijednosne papire ili podnese zahtjev za uvrštenje za trgovanje na uređeno tržište, a da prethodno ne podnese Agenciji zahtjev za zasebnim odobrenjem obavijesti o vrijednosnim papirima i sažetka, sve u skladu sa zahtjevima iz članka 10. stavka 1. prvog podstavka Uredbe (EU) br. 2017/1129</w:t>
      </w:r>
    </w:p>
    <w:p w14:paraId="07B95F40" w14:textId="451077C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AB011A" w:rsidRPr="000479E9">
        <w:rPr>
          <w:rFonts w:ascii="Times New Roman" w:eastAsia="Times New Roman" w:hAnsi="Times New Roman"/>
          <w:sz w:val="24"/>
          <w:szCs w:val="24"/>
          <w:lang w:eastAsia="hr-HR"/>
        </w:rPr>
        <w:t>1</w:t>
      </w:r>
      <w:r w:rsidRPr="000479E9">
        <w:rPr>
          <w:rFonts w:ascii="Times New Roman" w:eastAsia="Times New Roman" w:hAnsi="Times New Roman"/>
          <w:sz w:val="24"/>
          <w:szCs w:val="24"/>
          <w:lang w:eastAsia="hr-HR"/>
        </w:rPr>
        <w:t>. nakon odobrenja univerzalnog registracijskog dokumenta ponudi vrijednosne papire ili podnese zahtjev za uvrštenje za trgovanje na uređeno tržište, a da prethodno ne podnese Agenciji zahtjev za zasebnim odobrenjem obavijesti o vrijednosnim papirima i sažetka, sve u skladu sa zahtjevima iz članka 10. stavka 3. drugog podstavka Uredbe (EU) br. 2017/1129</w:t>
      </w:r>
    </w:p>
    <w:p w14:paraId="6D87D956" w14:textId="23CFE616"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AB011A" w:rsidRPr="000479E9">
        <w:rPr>
          <w:rFonts w:ascii="Times New Roman" w:eastAsia="Times New Roman" w:hAnsi="Times New Roman"/>
          <w:sz w:val="24"/>
          <w:szCs w:val="24"/>
          <w:lang w:eastAsia="hr-HR"/>
        </w:rPr>
        <w:t>2</w:t>
      </w:r>
      <w:r w:rsidRPr="000479E9">
        <w:rPr>
          <w:rFonts w:ascii="Times New Roman" w:eastAsia="Times New Roman" w:hAnsi="Times New Roman"/>
          <w:sz w:val="24"/>
          <w:szCs w:val="24"/>
          <w:lang w:eastAsia="hr-HR"/>
        </w:rPr>
        <w:t>. nakon što je univerzalni registracijski dokument podnesen Agenciji bez prethodnog odobrenja ponudi vrijednosne papire ili podnese zahtjev za uvrštenje za trgovanje na uređeno tržište, a da prethodno ne podnese Agenciji zahtjev za odobrenjem cjelokupne dokumentacije, uključujući izmjene univerzalnog registracijskog dokumenta, koje bi trebale činiti prospekt za potrebe ponude vrijednosnih papira ili uvrštenja za trgovanje na uređeno tržište, sve u skladu s člankom 10. stavkom 3. trećim i četvrtim podstavkom Uredbe (EU) br. 2017/1129</w:t>
      </w:r>
    </w:p>
    <w:p w14:paraId="0FA9B633" w14:textId="79BAA24B"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AB011A"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ne objavi prospekt najkasnije s početkom javne ponude ili prije uvrštenja za trgovanje vrijednosnih papira na uređeno tržište kako je propisano člankom 21. stavkom 1. prvim podstavkom Uredbe (EU) br. 2017/1129</w:t>
      </w:r>
    </w:p>
    <w:p w14:paraId="7CBF830A" w14:textId="07F12251"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3</w:t>
      </w:r>
      <w:r w:rsidR="00AB011A"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ne objavi prospekt najmanje tri radna dana prije završetka ponude, a koji prospekt se odnosi na inicijalnu javnu ponudu roda dionica koji se po prvi puta uvrštava za trgovanje na uređenom tržištu kako je propisano člankom 21. stavkom 1. drugim podstavkom Uredbe (EU) br. 2017/1129</w:t>
      </w:r>
    </w:p>
    <w:p w14:paraId="5A12FF88" w14:textId="48BE35B2"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AB011A"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protivno članku 17. stavku 2. Uredbe (EU) br. 2017/1129 ne podnese Agenciji podatke o konačnoj ponudbenoj cijeni i količini vrijednosnih papira i/ili se ne učine dostupnim javnosti u skladu s postupcima iz članka 21. stavka 2. Uredbe (EU) br. 2017/1129</w:t>
      </w:r>
    </w:p>
    <w:p w14:paraId="25E1E9A3" w14:textId="441ED750"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AB011A"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objavi prospekt ili njegove sastavne dijelove u slučaju iz članka 10. Uredbe (EU) br. 2017/1129, a koje prethodno nije odobrilo nadležno tijelo u skladu s člankom 20. stavkom 1. Uredbe (EU) br. 2017/1129</w:t>
      </w:r>
    </w:p>
    <w:p w14:paraId="7A3925C3" w14:textId="6E36F63F" w:rsidR="00AB011A"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w:t>
      </w:r>
      <w:r w:rsidR="00AB011A"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objavi univerzalni registracijski dokument koji prethodno nije podnesen Agenciji ili nije odobren iako je isti prethodno podnesen Agenciji radi odobrenja, sve u skladu s člankom 9. stavkom 2. Uredbe (EU) br. 2017/1129</w:t>
      </w:r>
    </w:p>
    <w:p w14:paraId="1B98324B" w14:textId="69DD03E7" w:rsidR="00AB011A"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38</w:t>
      </w:r>
      <w:r w:rsidR="000B6001" w:rsidRPr="000479E9">
        <w:rPr>
          <w:rFonts w:ascii="Times New Roman" w:eastAsia="Times New Roman" w:hAnsi="Times New Roman"/>
          <w:sz w:val="24"/>
          <w:szCs w:val="24"/>
          <w:lang w:eastAsia="hr-HR"/>
        </w:rPr>
        <w:t>. objavi dopunu prospekta koju prethodno nije odobrilo nadležno tijelo u skladu s člankom 23. stavkom 1. Uredbe (EU) br. 2017/1129</w:t>
      </w:r>
    </w:p>
    <w:p w14:paraId="66CCD4E6" w14:textId="5EEB98DF"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39</w:t>
      </w:r>
      <w:r w:rsidR="000B6001" w:rsidRPr="000479E9">
        <w:rPr>
          <w:rFonts w:ascii="Times New Roman" w:eastAsia="Times New Roman" w:hAnsi="Times New Roman"/>
          <w:sz w:val="24"/>
          <w:szCs w:val="24"/>
          <w:lang w:eastAsia="hr-HR"/>
        </w:rPr>
        <w:t>. kao izdavatelj, ponuditelj ili osoba koja traži uvrštenje za trgovanje na uređenom tržištu, učini dostupnim javnosti prospekt i/ili dopunu prospekta čiji tekst i oblik nisu istovjetni izvornoj verziji koju je odobrila Agencija ili nadležno tijelo matične države članice u skladu s člankom 21. stavkom 10. Uredbe (EU) br. 2017/1129</w:t>
      </w:r>
    </w:p>
    <w:p w14:paraId="0F16668F" w14:textId="0F5488B1" w:rsidR="00AB011A"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40</w:t>
      </w:r>
      <w:r w:rsidR="000B6001" w:rsidRPr="000479E9">
        <w:rPr>
          <w:rFonts w:ascii="Times New Roman" w:eastAsia="Times New Roman" w:hAnsi="Times New Roman"/>
          <w:sz w:val="24"/>
          <w:szCs w:val="24"/>
          <w:lang w:eastAsia="hr-HR"/>
        </w:rPr>
        <w:t>. kao izdavatelj, ponuditelj ili podnositelj zahtjeva za uvrštenje na uređeno tržište ne podnese zahtjev Agenciji za odobrenjem dopune prospekta bez nepotrebne odgode kada za to postoje uvjeti u skladu s člankom 23. stavkom 1. prvim podstavkom Uredbe (EU) br. 2017/1</w:t>
      </w:r>
      <w:r w:rsidRPr="000479E9">
        <w:rPr>
          <w:rFonts w:ascii="Times New Roman" w:eastAsia="Times New Roman" w:hAnsi="Times New Roman"/>
          <w:sz w:val="24"/>
          <w:szCs w:val="24"/>
          <w:lang w:eastAsia="hr-HR"/>
        </w:rPr>
        <w:t>1</w:t>
      </w:r>
      <w:r w:rsidR="000B6001" w:rsidRPr="000479E9">
        <w:rPr>
          <w:rFonts w:ascii="Times New Roman" w:eastAsia="Times New Roman" w:hAnsi="Times New Roman"/>
          <w:sz w:val="24"/>
          <w:szCs w:val="24"/>
          <w:lang w:eastAsia="hr-HR"/>
        </w:rPr>
        <w:t>29</w:t>
      </w:r>
    </w:p>
    <w:p w14:paraId="5B106EB8" w14:textId="3772E0C3"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41</w:t>
      </w:r>
      <w:r w:rsidR="000B6001" w:rsidRPr="000479E9">
        <w:rPr>
          <w:rFonts w:ascii="Times New Roman" w:eastAsia="Times New Roman" w:hAnsi="Times New Roman"/>
          <w:sz w:val="24"/>
          <w:szCs w:val="24"/>
          <w:lang w:eastAsia="hr-HR"/>
        </w:rPr>
        <w:t>. kao izdavatelj, ponuditelj ili podnositelj zahtjeva za uvrštenje na uređeno tržište ne podnese zahtjev Agenciji za odobrenjem dopune registracijskog dokumenta ili univerzalnog registracijskog dokumenta bez nepotrebne odgode kada za to postoje uvjeti u skladu s člankom 26. stavkom 5. prvim podstavkom Uredbe (EU) br. 2017/1129</w:t>
      </w:r>
    </w:p>
    <w:p w14:paraId="207469A7" w14:textId="4D257BE5" w:rsidR="000B6001" w:rsidRPr="000479E9" w:rsidRDefault="00AB011A"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42</w:t>
      </w:r>
      <w:r w:rsidR="000B6001" w:rsidRPr="000479E9">
        <w:rPr>
          <w:rFonts w:ascii="Times New Roman" w:eastAsia="Times New Roman" w:hAnsi="Times New Roman"/>
          <w:sz w:val="24"/>
          <w:szCs w:val="24"/>
          <w:lang w:eastAsia="hr-HR"/>
        </w:rPr>
        <w:t>. kao izdavatelj, ponuditelj ili podnositelj zahtjeva za uvrštenje na uređeno tržište propusti dostaviti obavijest o dopuni registracijskog dokumenta ili univerzalnog registracijskog dokumenta koji se istodobno koriste kao sastavni dio nekoliko prospekata u skladu s člankom 23. stavkom 5. Uredbe (EU) br. 2017/1129, svim nadležnim tijelima koja su odobrila te prospekte, sve u skladu sa zahtjevima iz članka 26. stavka 5. drugog podstavka Uredbe (EU) br. 2017/1129</w:t>
      </w:r>
    </w:p>
    <w:p w14:paraId="64682D45" w14:textId="320EDEFA" w:rsidR="00AB011A" w:rsidRPr="000479E9" w:rsidRDefault="003D459D"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43</w:t>
      </w:r>
      <w:r w:rsidR="000B6001" w:rsidRPr="000479E9">
        <w:rPr>
          <w:rFonts w:ascii="Times New Roman" w:eastAsia="Times New Roman" w:hAnsi="Times New Roman"/>
          <w:sz w:val="24"/>
          <w:szCs w:val="24"/>
          <w:lang w:eastAsia="hr-HR"/>
        </w:rPr>
        <w:t>. kao izdavatelj, ponuditelj ili podnositelj zahtjeva za uvrštenje na uređeno tržište na poziv Agencije u skladu s člankom 24. stavkom 2. Uredbe (EU) br. 2017/1129 ne podnese zahtjev Agenciji za odobrenjem dopune prospekta u skladu s člankom 23. stavkom 1. prvim podstavkom Uredbe (EU) br. 2017/1129</w:t>
      </w:r>
    </w:p>
    <w:p w14:paraId="2D05F938" w14:textId="5C94F1F0" w:rsidR="000B6001" w:rsidRPr="000479E9" w:rsidRDefault="003D459D"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44</w:t>
      </w:r>
      <w:r w:rsidR="000B6001" w:rsidRPr="000479E9">
        <w:rPr>
          <w:rFonts w:ascii="Times New Roman" w:eastAsia="Times New Roman" w:hAnsi="Times New Roman"/>
          <w:sz w:val="24"/>
          <w:szCs w:val="24"/>
          <w:lang w:eastAsia="hr-HR"/>
        </w:rPr>
        <w:t>. kao izdavatelj, ponuditelj ili podnositelj zahtjeva za uvrštenje na uređeno tržište ne objavi dopunu prospekta koju je odobrilo nadležno tijelo u skladu s člankom 23. stavkom 1. Uredbe (EU) br. 2017/1129</w:t>
      </w:r>
    </w:p>
    <w:p w14:paraId="5936B31B" w14:textId="59126B36"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4</w:t>
      </w:r>
      <w:r w:rsidR="003D459D"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kao izdavatelj, ponuditelj ili podnositelj zahtjeva za uvrštenje na uređeno tržište ne omogući ulagateljima povlačenje prihvata pod uvjetima i u skladu s člankom 23. stavkom 2. prvim podstavkom Uredbe (EU) br. 2017/1129</w:t>
      </w:r>
    </w:p>
    <w:p w14:paraId="228203E1" w14:textId="32A7ED74"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3D459D"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kao financijski posrednik putem kojeg su vrijednosni papiri kupljeni ili upisani ne obavijesti ulagatelje ili ne stupi u kontakt s ulagateljima na dan objave dopune, u skladu s člankom 23. stavkom 3. prvim i drugim podstavkom Uredbe (EU) br. 2017/1129</w:t>
      </w:r>
    </w:p>
    <w:p w14:paraId="70DB85E2" w14:textId="6F4D5820"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w:t>
      </w:r>
      <w:r w:rsidR="003D459D"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kao financijski posrednik putem kojeg su vrijednosni papiri kupljeni ili upisani ne upozori ulagatelje, u skladu s člankom 23. stavkom 3. podstavkom 1. točkom d) Uredbe (EU) br. 2017/1129</w:t>
      </w:r>
    </w:p>
    <w:p w14:paraId="30AC2351" w14:textId="371BF45B" w:rsidR="000B6001" w:rsidRPr="000479E9" w:rsidRDefault="003D459D"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48</w:t>
      </w:r>
      <w:r w:rsidR="000B6001" w:rsidRPr="000479E9">
        <w:rPr>
          <w:rFonts w:ascii="Times New Roman" w:eastAsia="Times New Roman" w:hAnsi="Times New Roman"/>
          <w:sz w:val="24"/>
          <w:szCs w:val="24"/>
          <w:lang w:eastAsia="hr-HR"/>
        </w:rPr>
        <w:t>. kao izdavatelj ili ponuditelj kod kojeg su vrijednosni papiri izravno kupljeni ili upisani ne obavijesti ulagatelje u skladu s člankom 23. stavkom 3. trećim podstavkom Uredbe (EU) br. 2017/1129.“</w:t>
      </w:r>
      <w:r w:rsidR="0005762C" w:rsidRPr="000479E9">
        <w:rPr>
          <w:rFonts w:ascii="Times New Roman" w:eastAsia="Times New Roman" w:hAnsi="Times New Roman"/>
          <w:sz w:val="24"/>
          <w:szCs w:val="24"/>
          <w:lang w:eastAsia="hr-HR"/>
        </w:rPr>
        <w:t>.</w:t>
      </w:r>
    </w:p>
    <w:p w14:paraId="09295374"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p>
    <w:p w14:paraId="036AD7FC" w14:textId="4E2F33FC" w:rsidR="000B6001" w:rsidRPr="000479E9" w:rsidRDefault="000B6001" w:rsidP="0005762C">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U stavku 3. riječi: „1320,00 do 26.540,00“ mijenjaju se i glase: „1.320,00 do 10.000,00“.</w:t>
      </w:r>
    </w:p>
    <w:p w14:paraId="7BBB8A79"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p>
    <w:p w14:paraId="5FA93E82" w14:textId="6204B8C8"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U stavku 4. riječi: „1320,00 do 26.540,00“ mijenjaju se i glase: „1.320,00 do 10.000,00“.</w:t>
      </w:r>
    </w:p>
    <w:p w14:paraId="75283BDE" w14:textId="77777777" w:rsidR="000B6001" w:rsidRPr="000479E9" w:rsidRDefault="000B6001" w:rsidP="000B6001">
      <w:pPr>
        <w:shd w:val="clear" w:color="auto" w:fill="FFFFFF"/>
        <w:spacing w:beforeLines="30" w:before="72" w:afterLines="30" w:after="72" w:line="240" w:lineRule="auto"/>
        <w:jc w:val="both"/>
        <w:textAlignment w:val="baseline"/>
        <w:rPr>
          <w:rFonts w:ascii="Times New Roman" w:eastAsia="Times New Roman" w:hAnsi="Times New Roman"/>
          <w:sz w:val="24"/>
          <w:szCs w:val="24"/>
          <w:lang w:eastAsia="hr-HR"/>
        </w:rPr>
      </w:pPr>
    </w:p>
    <w:p w14:paraId="1AA10851"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2EC8D861" w14:textId="56EB021D"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1D1E70" w:rsidRPr="000479E9">
        <w:rPr>
          <w:rFonts w:ascii="Times New Roman" w:eastAsia="Times New Roman" w:hAnsi="Times New Roman" w:cs="Times New Roman"/>
          <w:b/>
          <w:bCs/>
          <w:sz w:val="24"/>
          <w:szCs w:val="24"/>
          <w:lang w:eastAsia="hr-HR"/>
        </w:rPr>
        <w:t>101</w:t>
      </w:r>
      <w:r w:rsidR="000B6001" w:rsidRPr="000479E9">
        <w:rPr>
          <w:rFonts w:ascii="Times New Roman" w:eastAsia="Times New Roman" w:hAnsi="Times New Roman" w:cs="Times New Roman"/>
          <w:b/>
          <w:bCs/>
          <w:sz w:val="24"/>
          <w:szCs w:val="24"/>
          <w:lang w:eastAsia="hr-HR"/>
        </w:rPr>
        <w:t>.</w:t>
      </w:r>
    </w:p>
    <w:p w14:paraId="6A21C99E"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432436A4" w14:textId="604800E3" w:rsidR="001E615F" w:rsidRPr="000479E9" w:rsidRDefault="001E615F" w:rsidP="798617E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705.b stavku 1. točk</w:t>
      </w:r>
      <w:r w:rsidR="532D89BA" w:rsidRPr="000479E9">
        <w:rPr>
          <w:rFonts w:ascii="Times New Roman" w:eastAsia="Times New Roman" w:hAnsi="Times New Roman" w:cs="Times New Roman"/>
          <w:sz w:val="24"/>
          <w:szCs w:val="24"/>
          <w:lang w:eastAsia="hr-HR"/>
        </w:rPr>
        <w:t>e 1. do</w:t>
      </w:r>
      <w:r w:rsidR="00D42956" w:rsidRPr="000479E9">
        <w:rPr>
          <w:rFonts w:ascii="Times New Roman" w:eastAsia="Times New Roman" w:hAnsi="Times New Roman" w:cs="Times New Roman"/>
          <w:sz w:val="24"/>
          <w:szCs w:val="24"/>
          <w:lang w:eastAsia="hr-HR"/>
        </w:rPr>
        <w:t xml:space="preserve"> </w:t>
      </w:r>
      <w:r w:rsidR="6F5B3D63" w:rsidRPr="000479E9">
        <w:rPr>
          <w:rFonts w:ascii="Times New Roman" w:eastAsia="Times New Roman" w:hAnsi="Times New Roman" w:cs="Times New Roman"/>
          <w:sz w:val="24"/>
          <w:szCs w:val="24"/>
          <w:lang w:eastAsia="hr-HR"/>
        </w:rPr>
        <w:t>5</w:t>
      </w:r>
      <w:r w:rsidR="532D89BA" w:rsidRPr="000479E9">
        <w:rPr>
          <w:rFonts w:ascii="Times New Roman" w:eastAsia="Times New Roman" w:hAnsi="Times New Roman" w:cs="Times New Roman"/>
          <w:sz w:val="24"/>
          <w:szCs w:val="24"/>
          <w:lang w:eastAsia="hr-HR"/>
        </w:rPr>
        <w:t>. mijenjaju se i glase:</w:t>
      </w:r>
    </w:p>
    <w:p w14:paraId="52DB0A95" w14:textId="09AE3075" w:rsidR="798617E2" w:rsidRPr="000479E9" w:rsidRDefault="798617E2" w:rsidP="798617E2">
      <w:pPr>
        <w:spacing w:after="0" w:line="240" w:lineRule="auto"/>
        <w:jc w:val="both"/>
        <w:rPr>
          <w:rFonts w:ascii="Times New Roman" w:eastAsia="Times New Roman" w:hAnsi="Times New Roman" w:cs="Times New Roman"/>
          <w:sz w:val="24"/>
          <w:szCs w:val="24"/>
          <w:lang w:eastAsia="hr-HR"/>
        </w:rPr>
      </w:pPr>
    </w:p>
    <w:p w14:paraId="5A92D65D" w14:textId="059CC3DF" w:rsidR="001E615F" w:rsidRPr="000479E9" w:rsidRDefault="00C52658" w:rsidP="798617E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3C1B215F" w:rsidRPr="000479E9">
        <w:rPr>
          <w:rFonts w:ascii="Times New Roman" w:eastAsia="Times New Roman" w:hAnsi="Times New Roman" w:cs="Times New Roman"/>
          <w:sz w:val="24"/>
          <w:szCs w:val="24"/>
          <w:lang w:eastAsia="hr-HR"/>
        </w:rPr>
        <w:t xml:space="preserve">1. ne izradi dokument koji sadržava informacije utvrđene u Prilogu IX. Uredbe (EU) 2017/1129, </w:t>
      </w:r>
      <w:r w:rsidR="002A640A" w:rsidRPr="000479E9">
        <w:rPr>
          <w:rFonts w:ascii="Times New Roman" w:eastAsia="Times New Roman" w:hAnsi="Times New Roman" w:cs="Times New Roman"/>
          <w:sz w:val="24"/>
          <w:szCs w:val="24"/>
          <w:lang w:eastAsia="hr-HR"/>
        </w:rPr>
        <w:t xml:space="preserve">iako su </w:t>
      </w:r>
      <w:r w:rsidR="3C1B215F" w:rsidRPr="000479E9">
        <w:rPr>
          <w:rFonts w:ascii="Times New Roman" w:eastAsia="Times New Roman" w:hAnsi="Times New Roman" w:cs="Times New Roman"/>
          <w:sz w:val="24"/>
          <w:szCs w:val="24"/>
          <w:lang w:eastAsia="hr-HR"/>
        </w:rPr>
        <w:t xml:space="preserve">ispunjeni uvjeti iz članka 1. stavka 4. točke (da) Uredbe (EU) 2017/1129 za izradu istog </w:t>
      </w:r>
    </w:p>
    <w:p w14:paraId="3F2E4A53" w14:textId="663336BA" w:rsidR="3C1B215F" w:rsidRPr="000479E9" w:rsidRDefault="3C1B215F" w:rsidP="798617E2">
      <w:pPr>
        <w:spacing w:after="0" w:line="240" w:lineRule="auto"/>
        <w:jc w:val="both"/>
      </w:pPr>
      <w:r w:rsidRPr="000479E9">
        <w:rPr>
          <w:rFonts w:ascii="Times New Roman" w:eastAsia="Times New Roman" w:hAnsi="Times New Roman" w:cs="Times New Roman"/>
          <w:sz w:val="24"/>
          <w:szCs w:val="24"/>
          <w:lang w:eastAsia="hr-HR"/>
        </w:rPr>
        <w:t xml:space="preserve">2. ne izradi dokument koji sadržava informacije utvrđene u Prilogu IX. Uredbe (EU) 2017/1129, </w:t>
      </w:r>
      <w:r w:rsidR="002A640A" w:rsidRPr="000479E9">
        <w:rPr>
          <w:rFonts w:ascii="Times New Roman" w:eastAsia="Times New Roman" w:hAnsi="Times New Roman" w:cs="Times New Roman"/>
          <w:sz w:val="24"/>
          <w:szCs w:val="24"/>
          <w:lang w:eastAsia="hr-HR"/>
        </w:rPr>
        <w:t xml:space="preserve">iako su </w:t>
      </w:r>
      <w:r w:rsidRPr="000479E9">
        <w:rPr>
          <w:rFonts w:ascii="Times New Roman" w:eastAsia="Times New Roman" w:hAnsi="Times New Roman" w:cs="Times New Roman"/>
          <w:sz w:val="24"/>
          <w:szCs w:val="24"/>
          <w:lang w:eastAsia="hr-HR"/>
        </w:rPr>
        <w:t xml:space="preserve">ispunjeni uvjeti iz članka 1. stavka 4. točke (db) Uredbe (EU) 2017/1129 za izradu istog </w:t>
      </w:r>
    </w:p>
    <w:p w14:paraId="55000B7E" w14:textId="1538CA92" w:rsidR="3C1B215F" w:rsidRPr="000479E9" w:rsidRDefault="3C1B215F" w:rsidP="798617E2">
      <w:pPr>
        <w:spacing w:after="0" w:line="240" w:lineRule="auto"/>
        <w:jc w:val="both"/>
      </w:pPr>
      <w:r w:rsidRPr="000479E9">
        <w:rPr>
          <w:rFonts w:ascii="Times New Roman" w:eastAsia="Times New Roman" w:hAnsi="Times New Roman" w:cs="Times New Roman"/>
          <w:sz w:val="24"/>
          <w:szCs w:val="24"/>
          <w:lang w:eastAsia="hr-HR"/>
        </w:rPr>
        <w:t xml:space="preserve">3. ne izradi dokument koji sadržava informacije utvrđene u Prilogu IX. Uredbe (EU) 2017/1129, </w:t>
      </w:r>
      <w:r w:rsidR="002A640A" w:rsidRPr="000479E9">
        <w:rPr>
          <w:rFonts w:ascii="Times New Roman" w:eastAsia="Times New Roman" w:hAnsi="Times New Roman" w:cs="Times New Roman"/>
          <w:sz w:val="24"/>
          <w:szCs w:val="24"/>
          <w:lang w:eastAsia="hr-HR"/>
        </w:rPr>
        <w:t xml:space="preserve">iako su </w:t>
      </w:r>
      <w:r w:rsidRPr="000479E9">
        <w:rPr>
          <w:rFonts w:ascii="Times New Roman" w:eastAsia="Times New Roman" w:hAnsi="Times New Roman" w:cs="Times New Roman"/>
          <w:sz w:val="24"/>
          <w:szCs w:val="24"/>
          <w:lang w:eastAsia="hr-HR"/>
        </w:rPr>
        <w:t xml:space="preserve">ispunjeni uvjeti iz članka 1. stavka 5. točke (ba) Uredbe (EU) 2017/1129 za izradu istog </w:t>
      </w:r>
    </w:p>
    <w:p w14:paraId="45DB8199" w14:textId="10BCEF73" w:rsidR="3C1B215F" w:rsidRPr="000479E9" w:rsidRDefault="3C1B215F" w:rsidP="798617E2">
      <w:pPr>
        <w:spacing w:after="0" w:line="240" w:lineRule="auto"/>
        <w:jc w:val="both"/>
      </w:pPr>
      <w:r w:rsidRPr="000479E9">
        <w:rPr>
          <w:rFonts w:ascii="Times New Roman" w:eastAsia="Times New Roman" w:hAnsi="Times New Roman" w:cs="Times New Roman"/>
          <w:sz w:val="24"/>
          <w:szCs w:val="24"/>
          <w:lang w:eastAsia="hr-HR"/>
        </w:rPr>
        <w:t>4. ne dostavi Agenciji dokument koji sadržava informacije utvrđene u Prilogu IX. Uredbe (EU) 2017/1129</w:t>
      </w:r>
      <w:r w:rsidR="002A640A" w:rsidRPr="000479E9">
        <w:rPr>
          <w:rFonts w:ascii="Times New Roman" w:eastAsia="Times New Roman" w:hAnsi="Times New Roman" w:cs="Times New Roman"/>
          <w:sz w:val="24"/>
          <w:szCs w:val="24"/>
          <w:lang w:eastAsia="hr-HR"/>
        </w:rPr>
        <w:t xml:space="preserve">, protivno </w:t>
      </w:r>
      <w:r w:rsidR="00C4439B" w:rsidRPr="000479E9">
        <w:rPr>
          <w:rFonts w:ascii="Times New Roman" w:eastAsia="Times New Roman" w:hAnsi="Times New Roman" w:cs="Times New Roman"/>
          <w:sz w:val="24"/>
          <w:szCs w:val="24"/>
          <w:lang w:eastAsia="hr-HR"/>
        </w:rPr>
        <w:t xml:space="preserve">članku 1. stavku 4., točki (da), podtočki iii., točki (db), podtočki iii. ili </w:t>
      </w:r>
      <w:r w:rsidR="003D459D" w:rsidRPr="000479E9">
        <w:rPr>
          <w:rFonts w:ascii="Times New Roman" w:eastAsia="Times New Roman" w:hAnsi="Times New Roman" w:cs="Times New Roman"/>
          <w:sz w:val="24"/>
          <w:szCs w:val="24"/>
          <w:lang w:eastAsia="hr-HR"/>
        </w:rPr>
        <w:t xml:space="preserve">stavku 5. </w:t>
      </w:r>
      <w:r w:rsidR="00C4439B" w:rsidRPr="000479E9">
        <w:rPr>
          <w:rFonts w:ascii="Times New Roman" w:eastAsia="Times New Roman" w:hAnsi="Times New Roman" w:cs="Times New Roman"/>
          <w:sz w:val="24"/>
          <w:szCs w:val="24"/>
          <w:lang w:eastAsia="hr-HR"/>
        </w:rPr>
        <w:t xml:space="preserve">točki (ba), podtočki iii. Uredbe (EU) 2017/1129.    </w:t>
      </w:r>
      <w:r w:rsidR="002A640A" w:rsidRPr="000479E9">
        <w:rPr>
          <w:rFonts w:ascii="Times New Roman" w:eastAsia="Times New Roman" w:hAnsi="Times New Roman" w:cs="Times New Roman"/>
          <w:sz w:val="24"/>
          <w:szCs w:val="24"/>
          <w:lang w:eastAsia="hr-HR"/>
        </w:rPr>
        <w:t xml:space="preserve">  </w:t>
      </w:r>
    </w:p>
    <w:p w14:paraId="5C4019B6" w14:textId="1CE1B1CB" w:rsidR="3C1B215F" w:rsidRPr="000479E9" w:rsidRDefault="3C1B215F" w:rsidP="798617E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dokument koji sadržava informacije utvrđene u Prilogu IX. Uredbe (EU) 2017/1129.</w:t>
      </w:r>
      <w:r w:rsidR="002A640A" w:rsidRPr="000479E9">
        <w:rPr>
          <w:rFonts w:ascii="Times New Roman" w:eastAsia="Times New Roman" w:hAnsi="Times New Roman" w:cs="Times New Roman"/>
          <w:sz w:val="24"/>
          <w:szCs w:val="24"/>
          <w:lang w:eastAsia="hr-HR"/>
        </w:rPr>
        <w:t xml:space="preserve"> ne učini dostupnim javnosti u skladu s člankom 21. stavkom 2. Uredbe (EU) 2017/1129</w:t>
      </w:r>
      <w:r w:rsidR="00C4439B" w:rsidRPr="000479E9">
        <w:rPr>
          <w:rFonts w:ascii="Times New Roman" w:eastAsia="Times New Roman" w:hAnsi="Times New Roman" w:cs="Times New Roman"/>
          <w:sz w:val="24"/>
          <w:szCs w:val="24"/>
          <w:lang w:eastAsia="hr-HR"/>
        </w:rPr>
        <w:t xml:space="preserve">, protivno članku 1. stavku 4. točki (da), podtočki iii., točki (db), podtočki iii. ili </w:t>
      </w:r>
      <w:r w:rsidR="003D459D" w:rsidRPr="000479E9">
        <w:rPr>
          <w:rFonts w:ascii="Times New Roman" w:eastAsia="Times New Roman" w:hAnsi="Times New Roman" w:cs="Times New Roman"/>
          <w:sz w:val="24"/>
          <w:szCs w:val="24"/>
          <w:lang w:eastAsia="hr-HR"/>
        </w:rPr>
        <w:t xml:space="preserve">stavku 5. </w:t>
      </w:r>
      <w:r w:rsidR="00C4439B" w:rsidRPr="000479E9">
        <w:rPr>
          <w:rFonts w:ascii="Times New Roman" w:eastAsia="Times New Roman" w:hAnsi="Times New Roman" w:cs="Times New Roman"/>
          <w:sz w:val="24"/>
          <w:szCs w:val="24"/>
          <w:lang w:eastAsia="hr-HR"/>
        </w:rPr>
        <w:t>točki (ba), podtočki iii .Uredbe (EU) 2017/1129.</w:t>
      </w:r>
      <w:r w:rsidRPr="000479E9">
        <w:rPr>
          <w:rFonts w:ascii="Times New Roman" w:eastAsia="Times New Roman" w:hAnsi="Times New Roman" w:cs="Times New Roman"/>
          <w:sz w:val="24"/>
          <w:szCs w:val="24"/>
          <w:lang w:eastAsia="hr-HR"/>
        </w:rPr>
        <w:t>”</w:t>
      </w:r>
      <w:r w:rsidR="00C52658" w:rsidRPr="000479E9">
        <w:rPr>
          <w:rFonts w:ascii="Times New Roman" w:eastAsia="Times New Roman" w:hAnsi="Times New Roman" w:cs="Times New Roman"/>
          <w:sz w:val="24"/>
          <w:szCs w:val="24"/>
          <w:lang w:eastAsia="hr-HR"/>
        </w:rPr>
        <w:t>.</w:t>
      </w:r>
    </w:p>
    <w:p w14:paraId="70E01E13" w14:textId="7C15521F" w:rsidR="798617E2" w:rsidRPr="000479E9" w:rsidRDefault="798617E2" w:rsidP="798617E2">
      <w:pPr>
        <w:spacing w:after="0" w:line="240" w:lineRule="auto"/>
        <w:jc w:val="both"/>
        <w:rPr>
          <w:rFonts w:ascii="Times New Roman" w:eastAsia="Times New Roman" w:hAnsi="Times New Roman" w:cs="Times New Roman"/>
          <w:sz w:val="24"/>
          <w:szCs w:val="24"/>
          <w:lang w:eastAsia="hr-HR"/>
        </w:rPr>
      </w:pPr>
    </w:p>
    <w:p w14:paraId="4935F737" w14:textId="4AD8F6C4" w:rsidR="129410A7" w:rsidRPr="000479E9" w:rsidRDefault="129410A7" w:rsidP="798617E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Točke 6. do 9. brišu se. </w:t>
      </w:r>
    </w:p>
    <w:p w14:paraId="1A80E398" w14:textId="52A53F87" w:rsidR="798617E2" w:rsidRPr="000479E9" w:rsidRDefault="798617E2" w:rsidP="798617E2">
      <w:pPr>
        <w:spacing w:after="0" w:line="240" w:lineRule="auto"/>
        <w:jc w:val="both"/>
        <w:rPr>
          <w:rFonts w:ascii="Times New Roman" w:eastAsia="Times New Roman" w:hAnsi="Times New Roman" w:cs="Times New Roman"/>
          <w:sz w:val="24"/>
          <w:szCs w:val="24"/>
          <w:lang w:eastAsia="hr-HR"/>
        </w:rPr>
      </w:pPr>
    </w:p>
    <w:p w14:paraId="2D5182AE" w14:textId="77777777" w:rsidR="000B6001" w:rsidRPr="000479E9" w:rsidRDefault="000B6001" w:rsidP="000B6001">
      <w:pPr>
        <w:spacing w:after="0" w:line="240" w:lineRule="auto"/>
        <w:jc w:val="center"/>
        <w:rPr>
          <w:rFonts w:ascii="Times New Roman" w:eastAsia="Times New Roman" w:hAnsi="Times New Roman" w:cs="Times New Roman"/>
          <w:sz w:val="24"/>
          <w:szCs w:val="24"/>
          <w:lang w:eastAsia="hr-HR"/>
        </w:rPr>
      </w:pPr>
    </w:p>
    <w:p w14:paraId="3F934DC4" w14:textId="5286E3F4" w:rsidR="000B6001" w:rsidRPr="000479E9" w:rsidRDefault="000B6001" w:rsidP="00483C2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1D1E70" w:rsidRPr="000479E9">
        <w:rPr>
          <w:rFonts w:ascii="Times New Roman" w:eastAsia="Times New Roman" w:hAnsi="Times New Roman" w:cs="Times New Roman"/>
          <w:b/>
          <w:bCs/>
          <w:sz w:val="24"/>
          <w:szCs w:val="24"/>
          <w:lang w:eastAsia="hr-HR"/>
        </w:rPr>
        <w:t>102.</w:t>
      </w:r>
      <w:r w:rsidRPr="000479E9">
        <w:rPr>
          <w:rFonts w:ascii="Times New Roman" w:eastAsia="Times New Roman" w:hAnsi="Times New Roman" w:cs="Times New Roman"/>
          <w:b/>
          <w:bCs/>
          <w:sz w:val="24"/>
          <w:szCs w:val="24"/>
          <w:lang w:eastAsia="hr-HR"/>
        </w:rPr>
        <w:t xml:space="preserve"> </w:t>
      </w:r>
    </w:p>
    <w:p w14:paraId="78738914"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14BC6D6F" w14:textId="32994AEC" w:rsidR="000B6001" w:rsidRPr="000479E9" w:rsidRDefault="000B6001"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706. mijenja se i glasi:</w:t>
      </w:r>
    </w:p>
    <w:p w14:paraId="3DDC14A1" w14:textId="77777777" w:rsidR="00C557DC" w:rsidRPr="000479E9" w:rsidRDefault="00C557DC" w:rsidP="00617A00">
      <w:pPr>
        <w:spacing w:after="0" w:line="240" w:lineRule="auto"/>
        <w:jc w:val="both"/>
        <w:rPr>
          <w:rFonts w:ascii="Times New Roman" w:eastAsia="Times New Roman" w:hAnsi="Times New Roman" w:cs="Times New Roman"/>
          <w:sz w:val="24"/>
          <w:szCs w:val="24"/>
          <w:lang w:eastAsia="hr-HR"/>
        </w:rPr>
      </w:pPr>
    </w:p>
    <w:p w14:paraId="39BAF9BF"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cs="Times New Roman"/>
          <w:sz w:val="24"/>
          <w:szCs w:val="24"/>
          <w:lang w:eastAsia="hr-HR"/>
        </w:rPr>
        <w:t>„</w:t>
      </w:r>
      <w:r w:rsidRPr="000479E9">
        <w:rPr>
          <w:rFonts w:ascii="Times New Roman" w:eastAsia="Times New Roman" w:hAnsi="Times New Roman"/>
          <w:sz w:val="24"/>
          <w:szCs w:val="24"/>
          <w:lang w:eastAsia="hr-HR"/>
        </w:rPr>
        <w:t>(1) Za teži prekršaj iz stavka 3. ovoga članka kaznit će se izdavatelj koji je pravni subjekt novčanom kaznom u iznosu u iznosu koji je višekratnik broja 1000, a koja ne može biti manja od 20.000,00 eura ni veća od 5 % ukupnog prihoda koji je ostvarila u godini kada je počinjen prekršaj, utvrđenog službenim financijskim izvještajima za tu godinu a ako izvješća za tu godinu nema, uzet će se posljednje dostupno službeno godišnje izvješće</w:t>
      </w:r>
      <w:r w:rsidRPr="00017BB1">
        <w:rPr>
          <w:rFonts w:ascii="Times New Roman" w:eastAsia="Times New Roman" w:hAnsi="Times New Roman"/>
          <w:sz w:val="24"/>
          <w:szCs w:val="24"/>
          <w:lang w:eastAsia="hr-HR"/>
        </w:rPr>
        <w:t>.</w:t>
      </w:r>
      <w:r w:rsidRPr="000479E9">
        <w:rPr>
          <w:rFonts w:ascii="Times New Roman" w:eastAsia="Times New Roman" w:hAnsi="Times New Roman"/>
          <w:sz w:val="24"/>
          <w:szCs w:val="24"/>
          <w:lang w:eastAsia="hr-HR"/>
        </w:rPr>
        <w:t> </w:t>
      </w:r>
    </w:p>
    <w:p w14:paraId="550BD7BF" w14:textId="551D18FF" w:rsidR="000B6001" w:rsidRPr="000479E9" w:rsidRDefault="000B6001" w:rsidP="00A032F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Prekršaj iz stavka 1. ovoga članka smatra se težim ako je ispunjen jedan ili više sljedećih </w:t>
      </w:r>
      <w:r w:rsidR="001D1E70" w:rsidRPr="000479E9">
        <w:rPr>
          <w:rFonts w:ascii="Times New Roman" w:eastAsia="Times New Roman" w:hAnsi="Times New Roman"/>
          <w:sz w:val="24"/>
          <w:szCs w:val="24"/>
          <w:lang w:eastAsia="hr-HR"/>
        </w:rPr>
        <w:t xml:space="preserve">primjenjivih </w:t>
      </w:r>
      <w:r w:rsidRPr="000479E9">
        <w:rPr>
          <w:rFonts w:ascii="Times New Roman" w:eastAsia="Times New Roman" w:hAnsi="Times New Roman"/>
          <w:sz w:val="24"/>
          <w:szCs w:val="24"/>
          <w:lang w:eastAsia="hr-HR"/>
        </w:rPr>
        <w:t>uvjeta</w:t>
      </w:r>
      <w:r w:rsidR="001D1E70" w:rsidRPr="000479E9">
        <w:rPr>
          <w:rFonts w:ascii="Times New Roman" w:eastAsia="Times New Roman" w:hAnsi="Times New Roman"/>
          <w:sz w:val="24"/>
          <w:szCs w:val="24"/>
          <w:lang w:eastAsia="hr-HR"/>
        </w:rPr>
        <w:t>, pri čemu se okolnost koja već predstavlja obilježje prekršaja iz stavka 3. ovoga članka ne uzima sama po sebi kao osnova za utvrđenje ispunjenja nekog od ovih uvjeta</w:t>
      </w:r>
      <w:r w:rsidRPr="000479E9">
        <w:rPr>
          <w:rFonts w:ascii="Times New Roman" w:eastAsia="Times New Roman" w:hAnsi="Times New Roman"/>
          <w:sz w:val="24"/>
          <w:szCs w:val="24"/>
          <w:lang w:eastAsia="hr-HR"/>
        </w:rPr>
        <w:t>:</w:t>
      </w:r>
    </w:p>
    <w:p w14:paraId="5019AD9E" w14:textId="77777777"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opetovano ili sustavno, pri čemu se sustavnim smatra postupanje koje proizlazi iz uspostavljenih poslovnih praksi, organizacijskih nedostataka ili svjesnog obrasca postupanja</w:t>
      </w:r>
    </w:p>
    <w:p w14:paraId="042671D9" w14:textId="77777777"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tijekom duljeg razdoblja, pri čemu se trajanje procjenjuje uzimajući u obzir prirodu, učestalost i okolnosti konkretnog kršenja</w:t>
      </w:r>
    </w:p>
    <w:p w14:paraId="51EA5771" w14:textId="77777777"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značajne štete za klijente ili ulagatelje ili je stvorio konkretnu i neposrednu opasnost od nastanka takve štete</w:t>
      </w:r>
    </w:p>
    <w:p w14:paraId="26295A13" w14:textId="77777777"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ugrožavanja urednog funkcioniranja tržišta ili narušavanja integriteta tržišta, ili je stvorio konkretnu i neposrednu opasnost od nastanka takvog događaja</w:t>
      </w:r>
    </w:p>
    <w:p w14:paraId="1B716472" w14:textId="77777777"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3FE5447E" w14:textId="5D3F27A7"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onemogućio </w:t>
      </w:r>
      <w:r w:rsidR="000171AE"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ili znatno otežao nadzor Agencije</w:t>
      </w:r>
    </w:p>
    <w:p w14:paraId="59816280" w14:textId="0C1EF6E2"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povezan </w:t>
      </w:r>
      <w:r w:rsidR="000171AE"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s</w:t>
      </w:r>
      <w:r w:rsidR="000171AE"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 xml:space="preserve"> zlouporabom povjerljivih informacija ili imovine klijenata</w:t>
      </w:r>
    </w:p>
    <w:p w14:paraId="53ACA257" w14:textId="6A423384" w:rsidR="001D1E70" w:rsidRPr="000479E9" w:rsidRDefault="001D1E70">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doveo </w:t>
      </w:r>
      <w:r w:rsidR="000171AE"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do neurednih uvjeta trgovanja ili poremećaja na tržištu ili je stvorio konkretnu i neposrednu opasnost od nastanka takvog događaja.</w:t>
      </w:r>
    </w:p>
    <w:p w14:paraId="1D6CD899"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teži prekršaj iz stavka 2. ovoga članka kaznit će se izdavatelj koji je pravni subjekt ako:</w:t>
      </w:r>
    </w:p>
    <w:p w14:paraId="73BE232C"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protivno članku 462. stavku 1. ovoga Zakona, ne objavi javnosti uopće ili u propisanom roku godišnji izvještaj</w:t>
      </w:r>
    </w:p>
    <w:p w14:paraId="605834A9"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protivno članku 462. stavku 2. ovoga Zakona, ne sastavi godišnji izvještaj u propisanom sadržaju </w:t>
      </w:r>
    </w:p>
    <w:p w14:paraId="32E923F7"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3. protivno članku 465. stavku 1. ovoga Zakona, ne objavi javnosti uopće ili u propisanom roku polugodišnji izvještaj</w:t>
      </w:r>
    </w:p>
    <w:p w14:paraId="35159C23"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 protivno članku 465. stavku 2. ovoga Zakona, ne sastavi polugodišnji izvještaj u propisanom sadržaju</w:t>
      </w:r>
    </w:p>
    <w:p w14:paraId="1913C9A7"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5. protivno članku 469. stavku 1. ovoga Zakona, ne objavi javnosti uopće ili u propisanom roku izvještaj o plaćanjima javnom sektoru </w:t>
      </w:r>
    </w:p>
    <w:p w14:paraId="272BC477"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 protivno članku 469. stavcima 2. ili 3. ovoga Zakona, ne sastavi izvještaj o plaćanjima javnom sektoru u propisanom sadržaju</w:t>
      </w:r>
    </w:p>
    <w:p w14:paraId="551CD6EE"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 protivno članku 474. stavku 1. ovoga Zakona, ne objavi javnosti uopće ili u propisanom roku broj vlastitih dionica (u apsolutnom i relativnom iznosu) koje drži nakon svakog stjecanja ili otpuštanja vlastitih dionica</w:t>
      </w:r>
    </w:p>
    <w:p w14:paraId="4E6E5029" w14:textId="7777777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 protivno članku 475. stavku 1. ovoga Zakona, ne objavi javnosti uopće ili u propisanom roku svaku promjenu u pravima iz izdanih dionica</w:t>
      </w:r>
    </w:p>
    <w:p w14:paraId="79061DB7" w14:textId="0B188A29"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 protivno članku 475. stavku 2. ovoga Zakona, ne objavi javnosti uopće ili u propisanom roku svaku promjenu u pravima iz izdanih vrijednosnih papira koji nisu dionice</w:t>
      </w:r>
      <w:r w:rsidR="00614F63">
        <w:rPr>
          <w:rFonts w:ascii="Times New Roman" w:eastAsia="Times New Roman" w:hAnsi="Times New Roman"/>
          <w:sz w:val="24"/>
          <w:szCs w:val="24"/>
          <w:lang w:eastAsia="hr-HR"/>
        </w:rPr>
        <w:t>.</w:t>
      </w:r>
    </w:p>
    <w:p w14:paraId="25BDA4C5" w14:textId="5F880976"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Iznimno od stavka 1. ovoga članka, ako je izdavatelj iz stavka 1. ovoga članka prekršajem iz stavka 3. ovoga članka ostvario korist ili spriječio gubitak, a iznos tako ostvarene koristi ili spriječenog gubitka može se utvrditi, izdavatelj iz stavka 1. ovoga članka kaznit će se za prekršaj iz stavka 3. ovoga članka novčanom kaznom u iznosu dvostruko utvrđenog iznosa tako ostvarene koristi odnosno tako spriječenog gubitka, ako je taj iznos veći od propisanog najvećeg iznosa novčane kazne iz stavka 1. ovoga članka.</w:t>
      </w:r>
    </w:p>
    <w:p w14:paraId="7766CDA3" w14:textId="2DF89169"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xml:space="preserve">) Za prekršaj iz stavka 3. ovoga članka kaznit će se i odgovorna osoba izdavatelja iz stavka 1. ovoga članka novčanom kaznom u iznosu od </w:t>
      </w:r>
      <w:r w:rsidR="001D1E70" w:rsidRPr="000479E9">
        <w:rPr>
          <w:rFonts w:ascii="Times New Roman" w:eastAsia="Times New Roman" w:hAnsi="Times New Roman"/>
          <w:sz w:val="24"/>
          <w:szCs w:val="24"/>
          <w:lang w:eastAsia="hr-HR"/>
        </w:rPr>
        <w:t>20.000</w:t>
      </w:r>
      <w:r w:rsidRPr="000479E9">
        <w:rPr>
          <w:rFonts w:ascii="Times New Roman" w:eastAsia="Times New Roman" w:hAnsi="Times New Roman"/>
          <w:sz w:val="24"/>
          <w:szCs w:val="24"/>
          <w:lang w:eastAsia="hr-HR"/>
        </w:rPr>
        <w:t xml:space="preserve">,00 do </w:t>
      </w:r>
      <w:r w:rsidR="001D1E70" w:rsidRPr="000479E9">
        <w:rPr>
          <w:rFonts w:ascii="Times New Roman" w:eastAsia="Times New Roman" w:hAnsi="Times New Roman"/>
          <w:sz w:val="24"/>
          <w:szCs w:val="24"/>
          <w:lang w:eastAsia="hr-HR"/>
        </w:rPr>
        <w:t>100</w:t>
      </w:r>
      <w:r w:rsidRPr="000479E9">
        <w:rPr>
          <w:rFonts w:ascii="Times New Roman" w:eastAsia="Times New Roman" w:hAnsi="Times New Roman"/>
          <w:sz w:val="24"/>
          <w:szCs w:val="24"/>
          <w:lang w:eastAsia="hr-HR"/>
        </w:rPr>
        <w:t>.</w:t>
      </w:r>
      <w:r w:rsidR="001D1E70" w:rsidRPr="000479E9">
        <w:rPr>
          <w:rFonts w:ascii="Times New Roman" w:eastAsia="Times New Roman" w:hAnsi="Times New Roman"/>
          <w:sz w:val="24"/>
          <w:szCs w:val="24"/>
          <w:lang w:eastAsia="hr-HR"/>
        </w:rPr>
        <w:t>00</w:t>
      </w:r>
      <w:r w:rsidRPr="000479E9">
        <w:rPr>
          <w:rFonts w:ascii="Times New Roman" w:eastAsia="Times New Roman" w:hAnsi="Times New Roman"/>
          <w:sz w:val="24"/>
          <w:szCs w:val="24"/>
          <w:lang w:eastAsia="hr-HR"/>
        </w:rPr>
        <w:t>0,00 eura.</w:t>
      </w:r>
    </w:p>
    <w:p w14:paraId="3DEBEFA2" w14:textId="4C11E21D"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Za prekršaj iz stavka 3. točke 9. ovoga članka kaznit će se izdavatelj koji je fizička osoba novčanom kaznom u iznosu od 132.720,00 do 2.000,000,00 eura.</w:t>
      </w:r>
    </w:p>
    <w:p w14:paraId="1F54F8CA" w14:textId="105278E9"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706CB" w:rsidRPr="000479E9">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xml:space="preserve">) Iznimno od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ako je izdavatelj iz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prekršajem iz stavka 3. točke 9. ovoga članka ostvario korist ili spriječio gubitak, a iznos tako ostvarene koristi ili spriječenog gubitka može se utvrditi, izdavatelj iz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kaznit će se za prekršaj iz stavka 3. točke 9. ovoga članka novčanom kaznom u iznosu dvostruko utvrđenog iznosa tako ostvarene koristi odnosno tako spriječenog gubitka, ako je taj iznos veći od propisanog najvećeg iznosa novčane kazne iz stavka </w:t>
      </w:r>
      <w:r w:rsidR="00C706CB"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ovoga članka.</w:t>
      </w:r>
    </w:p>
    <w:p w14:paraId="19D9162E" w14:textId="595948A7"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9A27B4" w:rsidRPr="000479E9">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xml:space="preserve">) Za prekršaj iz stavka 3. ovoga članka kaznit će se pravni subjekt koji je tražio uvrštenje vrijednosnih papira izdavatelja na uređeno tržište bez njegove suglasnosti novčanom kaznom u iznosu utvrđenom na temelju stavaka 1., </w:t>
      </w:r>
      <w:r w:rsidR="00C706CB"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ili 5. ovoga članka, ovisno o tome koji način utvrđivanja novčanog iznosa treba primijeniti, ako su vrijednosni papiri izdavatelja uvršteni na uređeno tržište bez njegove suglasnosti.</w:t>
      </w:r>
    </w:p>
    <w:p w14:paraId="3834B06A" w14:textId="33EF32E0"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w:t>
      </w:r>
      <w:r w:rsidR="009A27B4" w:rsidRPr="000479E9">
        <w:rPr>
          <w:rFonts w:ascii="Times New Roman" w:eastAsia="Times New Roman" w:hAnsi="Times New Roman"/>
          <w:sz w:val="24"/>
          <w:szCs w:val="24"/>
          <w:lang w:eastAsia="hr-HR"/>
        </w:rPr>
        <w:t>9</w:t>
      </w:r>
      <w:r w:rsidRPr="000479E9">
        <w:rPr>
          <w:rFonts w:ascii="Times New Roman" w:eastAsia="Times New Roman" w:hAnsi="Times New Roman"/>
          <w:sz w:val="24"/>
          <w:szCs w:val="24"/>
          <w:lang w:eastAsia="hr-HR"/>
        </w:rPr>
        <w:t xml:space="preserve">) Za prekršaj iz stavka 3. ovoga članka kaznit će se i odgovorna osoba pravnog subjekta iz stavka </w:t>
      </w:r>
      <w:r w:rsidR="001D1E70"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ovoga članka koji je tražio uvrštenje vrijednosnih papira izdavatelja na uređeno tržište bez njegove suglasnosti novčanom kaznom u iznosu od 66.360,00 do 663.610,00 eura.</w:t>
      </w:r>
    </w:p>
    <w:p w14:paraId="586093D8" w14:textId="63FEF99E"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9A27B4" w:rsidRPr="000479E9">
        <w:rPr>
          <w:rFonts w:ascii="Times New Roman" w:eastAsia="Times New Roman" w:hAnsi="Times New Roman"/>
          <w:sz w:val="24"/>
          <w:szCs w:val="24"/>
          <w:lang w:eastAsia="hr-HR"/>
        </w:rPr>
        <w:t>10</w:t>
      </w:r>
      <w:r w:rsidRPr="000479E9">
        <w:rPr>
          <w:rFonts w:ascii="Times New Roman" w:eastAsia="Times New Roman" w:hAnsi="Times New Roman"/>
          <w:sz w:val="24"/>
          <w:szCs w:val="24"/>
          <w:lang w:eastAsia="hr-HR"/>
        </w:rPr>
        <w:t xml:space="preserve">) Za prekršaj iz stavka 3. ovoga članka kaznit će se fizička osoba koja je tražila uvrštenje vrijednosnih papira izdavatelja na uređeno tržište bez njegove suglasnosti novčanom kaznom u iznosu iz stavka </w:t>
      </w:r>
      <w:r w:rsidR="009A27B4"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ovoga članka, ako su vrijednosni papiri izdavatelja uvršteni na uređeno tržište bez njegove suglasnosti.</w:t>
      </w:r>
    </w:p>
    <w:p w14:paraId="0C14AE4C" w14:textId="2B88BC29" w:rsidR="000B6001" w:rsidRPr="000479E9" w:rsidRDefault="000B6001" w:rsidP="000B6001">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9A27B4" w:rsidRPr="000479E9">
        <w:rPr>
          <w:rFonts w:ascii="Times New Roman" w:eastAsia="Times New Roman" w:hAnsi="Times New Roman"/>
          <w:sz w:val="24"/>
          <w:szCs w:val="24"/>
          <w:lang w:eastAsia="hr-HR"/>
        </w:rPr>
        <w:t>11</w:t>
      </w:r>
      <w:r w:rsidRPr="000479E9">
        <w:rPr>
          <w:rFonts w:ascii="Times New Roman" w:eastAsia="Times New Roman" w:hAnsi="Times New Roman"/>
          <w:sz w:val="24"/>
          <w:szCs w:val="24"/>
          <w:lang w:eastAsia="hr-HR"/>
        </w:rPr>
        <w:t>) Iznimno od stavka 1</w:t>
      </w:r>
      <w:r w:rsidR="009A27B4"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ovoga članka, ako je fizička osoba iz stavka 1</w:t>
      </w:r>
      <w:r w:rsidR="009A27B4" w:rsidRPr="000479E9">
        <w:rPr>
          <w:rFonts w:ascii="Times New Roman" w:eastAsia="Times New Roman" w:hAnsi="Times New Roman"/>
          <w:sz w:val="24"/>
          <w:szCs w:val="24"/>
          <w:lang w:eastAsia="hr-HR"/>
        </w:rPr>
        <w:t>0</w:t>
      </w:r>
      <w:r w:rsidRPr="000479E9">
        <w:rPr>
          <w:rFonts w:ascii="Times New Roman" w:eastAsia="Times New Roman" w:hAnsi="Times New Roman"/>
          <w:sz w:val="24"/>
          <w:szCs w:val="24"/>
          <w:lang w:eastAsia="hr-HR"/>
        </w:rPr>
        <w:t xml:space="preserve">. ovoga članka prekršajem iz stavka </w:t>
      </w:r>
      <w:r w:rsidR="009A27B4"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xml:space="preserve">. ovoga članka ostvarila korist ili spriječila gubitak, a iznos tako ostvarene koristi ili spriječenog gubitka može se utvrditi, fizička osoba iz stavka </w:t>
      </w:r>
      <w:r w:rsidR="009A27B4" w:rsidRPr="000479E9">
        <w:rPr>
          <w:rFonts w:ascii="Times New Roman" w:eastAsia="Times New Roman" w:hAnsi="Times New Roman"/>
          <w:sz w:val="24"/>
          <w:szCs w:val="24"/>
          <w:lang w:eastAsia="hr-HR"/>
        </w:rPr>
        <w:t>10</w:t>
      </w:r>
      <w:r w:rsidRPr="000479E9">
        <w:rPr>
          <w:rFonts w:ascii="Times New Roman" w:eastAsia="Times New Roman" w:hAnsi="Times New Roman"/>
          <w:sz w:val="24"/>
          <w:szCs w:val="24"/>
          <w:lang w:eastAsia="hr-HR"/>
        </w:rPr>
        <w:t xml:space="preserve">. ovoga članka kaznit će se za prekršaj iz stavka 3. ovoga članka novčanom kaznom u iznosu dvostruko utvrđenog iznosa tako ostvarene koristi odnosno tako spriječenog gubitka, ako je taj iznos veći od propisanog najvećeg iznosa novčane kazne iz stavka </w:t>
      </w:r>
      <w:r w:rsidR="009A27B4"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ovoga članka.</w:t>
      </w:r>
    </w:p>
    <w:p w14:paraId="520894C8" w14:textId="61A9C9DE" w:rsidR="000B6001" w:rsidRPr="000479E9" w:rsidRDefault="000B6001" w:rsidP="000B6001">
      <w:pPr>
        <w:spacing w:after="0" w:line="240" w:lineRule="auto"/>
        <w:jc w:val="both"/>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9A27B4" w:rsidRPr="000479E9">
        <w:rPr>
          <w:rFonts w:ascii="Times New Roman" w:eastAsia="Times New Roman" w:hAnsi="Times New Roman"/>
          <w:sz w:val="24"/>
          <w:szCs w:val="24"/>
          <w:lang w:eastAsia="hr-HR"/>
        </w:rPr>
        <w:t>12</w:t>
      </w:r>
      <w:r w:rsidRPr="000479E9">
        <w:rPr>
          <w:rFonts w:ascii="Times New Roman" w:eastAsia="Times New Roman" w:hAnsi="Times New Roman"/>
          <w:sz w:val="24"/>
          <w:szCs w:val="24"/>
          <w:lang w:eastAsia="hr-HR"/>
        </w:rPr>
        <w:t>) Ako je pravni subjekt matično društvo ili društvo kći matičnog društva koje je obvezno sastavljati konsolidirane financijske izvještaje u skladu s propisima Republike Hrvatske koji uređuju računovodstvo poduzetnika i primjenu standarda financijskog izvještavanja odnosno propisima države članice u kojima izdavatelj ima sjedište kojima se u njezin pravni poredak prenose odredbe Direktive 2013/34/EU, ukupan prihod iz stavka 1. ovoga članka je ukupan prihod utvrđen na temelju godišnjih konsolidiranih financijskih izvještaja krajnjeg matičnog društva pravnog subjekta za godinu kada je počinjen prekršaj.“</w:t>
      </w:r>
      <w:r w:rsidR="00C557DC" w:rsidRPr="000479E9">
        <w:rPr>
          <w:rFonts w:ascii="Times New Roman" w:eastAsia="Times New Roman" w:hAnsi="Times New Roman"/>
          <w:sz w:val="24"/>
          <w:szCs w:val="24"/>
          <w:lang w:eastAsia="hr-HR"/>
        </w:rPr>
        <w:t>.</w:t>
      </w:r>
    </w:p>
    <w:p w14:paraId="34F206DF" w14:textId="77777777" w:rsidR="004E2767" w:rsidRPr="000479E9" w:rsidRDefault="004E2767" w:rsidP="000B6001">
      <w:pPr>
        <w:spacing w:after="0" w:line="240" w:lineRule="auto"/>
        <w:jc w:val="center"/>
        <w:rPr>
          <w:rFonts w:ascii="Times New Roman" w:eastAsia="Times New Roman" w:hAnsi="Times New Roman" w:cs="Times New Roman"/>
          <w:b/>
          <w:bCs/>
          <w:sz w:val="24"/>
          <w:szCs w:val="24"/>
          <w:lang w:eastAsia="hr-HR"/>
        </w:rPr>
      </w:pPr>
    </w:p>
    <w:p w14:paraId="7EDEB18A" w14:textId="77777777" w:rsidR="004E2767" w:rsidRPr="000479E9" w:rsidRDefault="004E2767" w:rsidP="000B6001">
      <w:pPr>
        <w:spacing w:after="0" w:line="240" w:lineRule="auto"/>
        <w:jc w:val="center"/>
        <w:rPr>
          <w:rFonts w:ascii="Times New Roman" w:eastAsia="Times New Roman" w:hAnsi="Times New Roman" w:cs="Times New Roman"/>
          <w:b/>
          <w:bCs/>
          <w:sz w:val="24"/>
          <w:szCs w:val="24"/>
          <w:lang w:eastAsia="hr-HR"/>
        </w:rPr>
      </w:pPr>
    </w:p>
    <w:p w14:paraId="35D54301" w14:textId="0A05423F" w:rsidR="000B6001" w:rsidRPr="000479E9" w:rsidRDefault="000B6001" w:rsidP="000B6001">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7374AE" w:rsidRPr="000479E9">
        <w:rPr>
          <w:rFonts w:ascii="Times New Roman" w:eastAsia="Times New Roman" w:hAnsi="Times New Roman" w:cs="Times New Roman"/>
          <w:b/>
          <w:bCs/>
          <w:sz w:val="24"/>
          <w:szCs w:val="24"/>
          <w:lang w:eastAsia="hr-HR"/>
        </w:rPr>
        <w:t>103</w:t>
      </w:r>
      <w:r w:rsidRPr="000479E9">
        <w:rPr>
          <w:rFonts w:ascii="Times New Roman" w:eastAsia="Times New Roman" w:hAnsi="Times New Roman" w:cs="Times New Roman"/>
          <w:b/>
          <w:bCs/>
          <w:sz w:val="24"/>
          <w:szCs w:val="24"/>
          <w:lang w:eastAsia="hr-HR"/>
        </w:rPr>
        <w:t xml:space="preserve">. </w:t>
      </w:r>
    </w:p>
    <w:p w14:paraId="38E84EE8" w14:textId="77777777" w:rsidR="000B6001" w:rsidRPr="000479E9" w:rsidRDefault="000B6001" w:rsidP="000B6001">
      <w:pPr>
        <w:spacing w:after="0" w:line="240" w:lineRule="auto"/>
        <w:jc w:val="both"/>
        <w:rPr>
          <w:rFonts w:ascii="Times New Roman" w:eastAsia="Times New Roman" w:hAnsi="Times New Roman"/>
          <w:sz w:val="24"/>
          <w:szCs w:val="24"/>
          <w:lang w:eastAsia="hr-HR"/>
        </w:rPr>
      </w:pPr>
    </w:p>
    <w:p w14:paraId="59A6B576" w14:textId="06CB0F15" w:rsidR="000B6001" w:rsidRPr="000479E9" w:rsidRDefault="000B6001" w:rsidP="000B6001">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članka </w:t>
      </w:r>
      <w:r w:rsidR="00E150E8" w:rsidRPr="000479E9">
        <w:rPr>
          <w:rFonts w:ascii="Times New Roman" w:eastAsia="Times New Roman" w:hAnsi="Times New Roman" w:cs="Times New Roman"/>
          <w:sz w:val="24"/>
          <w:szCs w:val="24"/>
          <w:lang w:eastAsia="hr-HR"/>
        </w:rPr>
        <w:t>706. dodaju se naslov iznad članka i članak 706.a koji glase:</w:t>
      </w:r>
    </w:p>
    <w:p w14:paraId="6EBA6EC2" w14:textId="77777777" w:rsidR="00E150E8" w:rsidRPr="000479E9" w:rsidRDefault="00E150E8" w:rsidP="000B6001">
      <w:pPr>
        <w:spacing w:after="0" w:line="240" w:lineRule="auto"/>
        <w:jc w:val="both"/>
        <w:rPr>
          <w:rFonts w:ascii="Times New Roman" w:eastAsia="Times New Roman" w:hAnsi="Times New Roman" w:cs="Times New Roman"/>
          <w:sz w:val="24"/>
          <w:szCs w:val="24"/>
          <w:lang w:eastAsia="hr-HR"/>
        </w:rPr>
      </w:pPr>
    </w:p>
    <w:p w14:paraId="561C6D24" w14:textId="3BC4AB34" w:rsidR="00E150E8" w:rsidRPr="000479E9" w:rsidRDefault="00E150E8" w:rsidP="00E150E8">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„Lakši prekršaji izdavatelja čiji su vrijednosni papiri uvršteni na uređeno tržište </w:t>
      </w:r>
    </w:p>
    <w:p w14:paraId="1B93F478" w14:textId="524D40FA" w:rsidR="00E150E8" w:rsidRPr="000479E9" w:rsidRDefault="00E150E8" w:rsidP="00E150E8">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Članak 706.a </w:t>
      </w:r>
    </w:p>
    <w:p w14:paraId="73480B84" w14:textId="77777777" w:rsidR="00E150E8" w:rsidRPr="000479E9" w:rsidRDefault="00E150E8" w:rsidP="000B6001">
      <w:pPr>
        <w:spacing w:after="0" w:line="240" w:lineRule="auto"/>
        <w:jc w:val="both"/>
        <w:rPr>
          <w:rFonts w:ascii="Times New Roman" w:eastAsia="Times New Roman" w:hAnsi="Times New Roman" w:cs="Times New Roman"/>
          <w:sz w:val="24"/>
          <w:szCs w:val="24"/>
          <w:lang w:eastAsia="hr-HR"/>
        </w:rPr>
      </w:pPr>
    </w:p>
    <w:p w14:paraId="2F669B51" w14:textId="7B58DCC2"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 Za prekršaj kod kojeg nije ispunjen jedan ili više uvjeta iz članka 706. stavka 2. ovoga Zakona, kaznit će se izdavatelj koji je pravni subjekt novčanom kaznom u iznosu od </w:t>
      </w:r>
      <w:r w:rsidRPr="000479E9">
        <w:rPr>
          <w:rFonts w:ascii="Times New Roman" w:eastAsia="Times New Roman" w:hAnsi="Times New Roman"/>
          <w:bCs/>
          <w:iCs/>
          <w:sz w:val="24"/>
          <w:szCs w:val="24"/>
          <w:lang w:eastAsia="hr-HR"/>
        </w:rPr>
        <w:t>2.000</w:t>
      </w:r>
      <w:r w:rsidR="00614F63">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do 50.000</w:t>
      </w:r>
      <w:r w:rsidR="00614F63">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eura</w:t>
      </w:r>
      <w:r w:rsidRPr="000479E9">
        <w:rPr>
          <w:rFonts w:ascii="Times New Roman" w:eastAsia="Times New Roman" w:hAnsi="Times New Roman"/>
          <w:i/>
          <w:iCs/>
          <w:sz w:val="24"/>
          <w:szCs w:val="24"/>
          <w:lang w:eastAsia="hr-HR"/>
        </w:rPr>
        <w:t>,</w:t>
      </w:r>
      <w:r w:rsidRPr="000479E9">
        <w:rPr>
          <w:rFonts w:ascii="Times New Roman" w:eastAsia="Times New Roman" w:hAnsi="Times New Roman"/>
          <w:iCs/>
          <w:sz w:val="24"/>
          <w:szCs w:val="24"/>
          <w:lang w:eastAsia="hr-HR"/>
        </w:rPr>
        <w:t> ako: </w:t>
      </w:r>
    </w:p>
    <w:p w14:paraId="0E614B98"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protivno članku 462. stavku 1. ovoga Zakona, ne objavi javnosti uopće ili u propisanom roku godišnji izvještaj</w:t>
      </w:r>
    </w:p>
    <w:p w14:paraId="459DBF8A"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protivno članku 462. stavku 2. ovoga Zakona, ne sastavi godišnji izvještaj u propisanom sadržaju </w:t>
      </w:r>
    </w:p>
    <w:p w14:paraId="4FC9E93F"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protivno članku 465. stavku 1. ovoga Zakona, ne objavi javnosti uopće ili u propisanom roku polugodišnji izvještaj</w:t>
      </w:r>
    </w:p>
    <w:p w14:paraId="1006071B"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4. protivno članku 465. stavku 2. ovoga Zakona, ne sastavi polugodišnji izvještaj u propisanom sadržaju</w:t>
      </w:r>
    </w:p>
    <w:p w14:paraId="524B5BE4"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 xml:space="preserve">5. protivno članku 469. stavku 1. ovoga Zakona, ne objavi javnosti uopće ili u propisanom roku izvještaj o plaćanjima javnom sektoru </w:t>
      </w:r>
    </w:p>
    <w:p w14:paraId="301125CD"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 protivno članku 469. stavcima 2. ili 3. ovoga Zakona, ne sastavi izvještaj o plaćanjima javnom sektoru u propisanom sadržaju</w:t>
      </w:r>
    </w:p>
    <w:p w14:paraId="1CE3F980"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 protivno članku 474. stavku 1. ovoga Zakona, ne objavi javnosti uopće ili u propisanom roku broj vlastitih dionica (u apsolutnom i relativnom iznosu) koje drži nakon svakog stjecanja ili otpuštanja vlastitih dionica</w:t>
      </w:r>
    </w:p>
    <w:p w14:paraId="70E756AC"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 protivno članku 475. stavku 1. ovoga Zakona, ne objavi javnosti uopće ili u propisanom roku svaku promjenu u pravima iz izdanih dionica</w:t>
      </w:r>
    </w:p>
    <w:p w14:paraId="75F50702"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 protivno članku 475. stavku 2. ovoga Zakona, ne objavi javnosti uopće ili u propisanom roku svaku promjenu u pravima iz izdanih vrijednosnih papira koji nisu dionice.</w:t>
      </w:r>
    </w:p>
    <w:p w14:paraId="541AC1C0" w14:textId="3900AB33"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(2) Iznimno od stavka 1. ovoga članka, ako je izdavatelj iz stavka 1. ovoga članka prekršajem iz stavka 1. ovoga članka ostvario korist ili spriječio gubitak, a iznos tako ostvarene koristi ili spriječenog gubitka može se utvrditi, izdavatelj iz stavka 1. ovoga članka kaznit će se za prekršaj iz stavka 1. ovoga članka novčanom kaznom u iznosu dvostruko utvrđenog iznosa tako ostvarene koristi odnosno tako spriječenog gubitka, ako je taj iznos veći od propisanog najvećeg iznosa novčane kazne iz stavka 1. ovoga članka. </w:t>
      </w:r>
    </w:p>
    <w:p w14:paraId="2187BD7E"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(3) Za prekršaj iz stavka 1. ovoga članka kaznit će se i odgovorna osoba izdavatelja iz stavka 1. ovoga članka novčanom kaznom u iznosu od 1.320,00 do 10.000,00 eura. </w:t>
      </w:r>
    </w:p>
    <w:p w14:paraId="6F7D3CF9"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(4) Za prekršaj iz stavka 1. točke 9. ovoga članka kaznit će se izdavatelj koji je fizička osoba novčanom kaznom u iznosu od 2.000,00 do 50.000,00 eura. </w:t>
      </w:r>
    </w:p>
    <w:p w14:paraId="3299111F"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(5) Iznimno od stavka 4. ovoga članka, ako je izdavatelj iz stavka 4. ovoga članka prekršajem iz stavka 1. točke 9. ovoga članka ostvario korist ili spriječio gubitak, a iznos tako ostvarene koristi ili spriječenog gubitka može se utvrditi, izdavatelj iz stavka 4. ovoga članka kaznit će se za prekršaj iz stavka 1. točke 9. ovoga članka novčanom kaznom u iznosu dvostruko utvrđenog iznosa tako ostvarene koristi odnosno tako spriječenog gubitka, ako je taj iznos veći od propisanog najvećeg iznosa novčane kazne iz stavka 4. ovoga članka. </w:t>
      </w:r>
    </w:p>
    <w:p w14:paraId="3532A50F"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(6) Za prekršaj iz stavka 1. ovoga članka kaznit će se pravni subjekt koji je tražio uvrštenje vrijednosnih papira izdavatelja na uređeno tržište bez njegove suglasnosti novčanom kaznom u iznosu utvrđenom na temelju stavaka 1. ili 2. ovoga članka, ovisno o tome koji način utvrđivanja novčanog iznosa treba primijeniti, ako su vrijednosni papiri izdavatelja uvršteni na uređeno tržište bez njegove suglasnosti. </w:t>
      </w:r>
    </w:p>
    <w:p w14:paraId="72F2FF45"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(7) Za prekršaj iz stavka 1. ovoga članka kaznit će se i odgovorna osoba pravnog subjekta iz stavka 6. ovoga članka koji je tražio uvrštenje vrijednosnih papira izdavatelja na uređeno tržište bez njegove suglasnosti novčanom kaznom u iznosu od 1.320,00 do 10.000,00 eura. </w:t>
      </w:r>
    </w:p>
    <w:p w14:paraId="6F37FD90"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(8) Za prekršaj iz stavka 1. ovoga članka kaznit će se fizička osoba koja je tražila uvrštenje vrijednosnih papira izdavatelja na uređeno tržište bez njegove suglasnosti </w:t>
      </w:r>
      <w:r w:rsidRPr="000479E9">
        <w:rPr>
          <w:rFonts w:ascii="Times New Roman" w:eastAsia="Times New Roman" w:hAnsi="Times New Roman"/>
          <w:iCs/>
          <w:sz w:val="24"/>
          <w:szCs w:val="24"/>
          <w:lang w:eastAsia="hr-HR"/>
        </w:rPr>
        <w:lastRenderedPageBreak/>
        <w:t>novčanom kaznom u iznosu iz stavka 4. ovoga članka, ako su vrijednosni papiri izdavatelja uvršteni na uređeno tržište bez njegove suglasnosti. </w:t>
      </w:r>
    </w:p>
    <w:p w14:paraId="5207751F" w14:textId="78C2A064" w:rsidR="00E150E8" w:rsidRPr="000479E9" w:rsidRDefault="00E150E8" w:rsidP="00E150E8">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(9) Iznimno od stavka 8. ovoga članka, ako je fizička osoba iz stavka 8. ovoga članka prekršajem iz stavka 1. ovoga članka ostvarila korist ili spriječila gubitak, a iznos tako ostvarene koristi ili spriječenog gubitka može se utvrditi, fizička osoba iz stavka 8. ovoga članka kaznit će se za prekršaj iz stavka 1. ovoga članka novčanom kaznom u iznosu dvostruko utvrđenog iznosa tako ostvarene koristi odnosno tako spriječenog gubitka, ako je taj iznos veći od propisanog najvećeg iznosa novčane kazne iz stavka 4. ovoga članka.</w:t>
      </w:r>
      <w:r w:rsidR="00C557DC" w:rsidRPr="000479E9">
        <w:rPr>
          <w:rFonts w:ascii="Times New Roman" w:eastAsia="Times New Roman" w:hAnsi="Times New Roman"/>
          <w:iCs/>
          <w:sz w:val="24"/>
          <w:szCs w:val="24"/>
          <w:lang w:eastAsia="hr-HR"/>
        </w:rPr>
        <w:t>“.</w:t>
      </w:r>
    </w:p>
    <w:p w14:paraId="3FF020BC" w14:textId="03251130" w:rsidR="00E150E8" w:rsidRPr="000479E9" w:rsidRDefault="00E150E8" w:rsidP="000B6001">
      <w:pPr>
        <w:spacing w:after="0" w:line="240" w:lineRule="auto"/>
        <w:jc w:val="both"/>
        <w:rPr>
          <w:rFonts w:ascii="Times New Roman" w:eastAsia="Times New Roman" w:hAnsi="Times New Roman" w:cs="Times New Roman"/>
          <w:sz w:val="24"/>
          <w:szCs w:val="24"/>
          <w:lang w:eastAsia="hr-HR"/>
        </w:rPr>
      </w:pPr>
    </w:p>
    <w:p w14:paraId="077BE3E2" w14:textId="4F53E459" w:rsidR="000B6001" w:rsidRPr="000479E9" w:rsidRDefault="00E150E8" w:rsidP="00E150E8">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7374AE" w:rsidRPr="000479E9">
        <w:rPr>
          <w:rFonts w:ascii="Times New Roman" w:eastAsia="Times New Roman" w:hAnsi="Times New Roman" w:cs="Times New Roman"/>
          <w:b/>
          <w:bCs/>
          <w:sz w:val="24"/>
          <w:szCs w:val="24"/>
          <w:lang w:eastAsia="hr-HR"/>
        </w:rPr>
        <w:t>104</w:t>
      </w:r>
      <w:r w:rsidRPr="000479E9">
        <w:rPr>
          <w:rFonts w:ascii="Times New Roman" w:eastAsia="Times New Roman" w:hAnsi="Times New Roman" w:cs="Times New Roman"/>
          <w:b/>
          <w:bCs/>
          <w:sz w:val="24"/>
          <w:szCs w:val="24"/>
          <w:lang w:eastAsia="hr-HR"/>
        </w:rPr>
        <w:t>.</w:t>
      </w:r>
    </w:p>
    <w:p w14:paraId="3F4E703E" w14:textId="77777777" w:rsidR="00E150E8" w:rsidRPr="000479E9" w:rsidRDefault="00E150E8" w:rsidP="00E150E8">
      <w:pPr>
        <w:spacing w:after="0" w:line="240" w:lineRule="auto"/>
        <w:rPr>
          <w:rFonts w:ascii="Times New Roman" w:eastAsia="Times New Roman" w:hAnsi="Times New Roman" w:cs="Times New Roman"/>
          <w:b/>
          <w:bCs/>
          <w:sz w:val="24"/>
          <w:szCs w:val="24"/>
          <w:lang w:eastAsia="hr-HR"/>
        </w:rPr>
      </w:pPr>
    </w:p>
    <w:p w14:paraId="488434F1" w14:textId="5A44842F" w:rsidR="00E150E8" w:rsidRPr="000479E9" w:rsidRDefault="00E150E8" w:rsidP="00E150E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707. mijenja se i glasi:</w:t>
      </w:r>
    </w:p>
    <w:p w14:paraId="35925B66" w14:textId="77777777" w:rsidR="00E150E8" w:rsidRPr="000479E9" w:rsidRDefault="00E150E8" w:rsidP="00E150E8">
      <w:pPr>
        <w:spacing w:after="0" w:line="240" w:lineRule="auto"/>
        <w:rPr>
          <w:rFonts w:ascii="Times New Roman" w:eastAsia="Times New Roman" w:hAnsi="Times New Roman" w:cs="Times New Roman"/>
          <w:sz w:val="24"/>
          <w:szCs w:val="24"/>
          <w:lang w:eastAsia="hr-HR"/>
        </w:rPr>
      </w:pPr>
    </w:p>
    <w:p w14:paraId="5A455130" w14:textId="77777777" w:rsidR="00E150E8" w:rsidRPr="000479E9" w:rsidRDefault="00E150E8" w:rsidP="00E150E8">
      <w:pPr>
        <w:spacing w:beforeLines="30" w:before="72" w:afterLines="30" w:after="72"/>
        <w:jc w:val="both"/>
        <w:rPr>
          <w:rFonts w:ascii="Times New Roman" w:eastAsia="Times New Roman" w:hAnsi="Times New Roman"/>
          <w:sz w:val="24"/>
          <w:szCs w:val="24"/>
          <w:lang w:eastAsia="hr-HR"/>
        </w:rPr>
      </w:pPr>
      <w:r w:rsidRPr="000479E9">
        <w:rPr>
          <w:rFonts w:ascii="Times New Roman" w:eastAsia="Times New Roman" w:hAnsi="Times New Roman" w:cs="Times New Roman"/>
          <w:sz w:val="24"/>
          <w:szCs w:val="24"/>
          <w:lang w:eastAsia="hr-HR"/>
        </w:rPr>
        <w:t>„</w:t>
      </w:r>
      <w:r w:rsidRPr="000479E9">
        <w:rPr>
          <w:rFonts w:ascii="Times New Roman" w:eastAsia="Times New Roman" w:hAnsi="Times New Roman"/>
          <w:sz w:val="24"/>
          <w:szCs w:val="24"/>
          <w:lang w:eastAsia="hr-HR"/>
        </w:rPr>
        <w:t>(1) Za teži prekršaj iz stavka 3. ovoga članka kaznit će se pravni subjekt novčanom kaznom u iznosu u iznosu koji je višekratnik broja 1000, a koja ne može biti manja od 20.000,00 eura ni veća od 5 % ukupnog prihoda koji je ostvario u godini kada je počinjen prekršaj, utvrđenog službenim financijskim izvještajima za tu godinu a ako izvješća za tu godinu nema, uzet će se posljednje dostupno službeno godišnje izvješće</w:t>
      </w:r>
      <w:r w:rsidRPr="00017BB1">
        <w:rPr>
          <w:rFonts w:ascii="Times New Roman" w:eastAsia="Times New Roman" w:hAnsi="Times New Roman"/>
          <w:sz w:val="24"/>
          <w:szCs w:val="24"/>
          <w:lang w:eastAsia="hr-HR"/>
        </w:rPr>
        <w:t>.</w:t>
      </w:r>
      <w:r w:rsidRPr="000479E9">
        <w:rPr>
          <w:rFonts w:ascii="Times New Roman" w:eastAsia="Times New Roman" w:hAnsi="Times New Roman"/>
          <w:sz w:val="24"/>
          <w:szCs w:val="24"/>
          <w:lang w:eastAsia="hr-HR"/>
        </w:rPr>
        <w:t> </w:t>
      </w:r>
    </w:p>
    <w:p w14:paraId="7E2614A9" w14:textId="32940F22" w:rsidR="007374AE" w:rsidRPr="000479E9" w:rsidRDefault="00E150E8" w:rsidP="007374A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Prekršaj iz stavka 1. ovoga članka smatra se težim ako je ispunjen jedan ili više sljedećih </w:t>
      </w:r>
      <w:r w:rsidR="007374AE" w:rsidRPr="000479E9">
        <w:rPr>
          <w:rFonts w:ascii="Times New Roman" w:eastAsia="Times New Roman" w:hAnsi="Times New Roman"/>
          <w:sz w:val="24"/>
          <w:szCs w:val="24"/>
          <w:lang w:eastAsia="hr-HR"/>
        </w:rPr>
        <w:t xml:space="preserve">primjenjivih </w:t>
      </w:r>
      <w:r w:rsidRPr="000479E9">
        <w:rPr>
          <w:rFonts w:ascii="Times New Roman" w:eastAsia="Times New Roman" w:hAnsi="Times New Roman"/>
          <w:sz w:val="24"/>
          <w:szCs w:val="24"/>
          <w:lang w:eastAsia="hr-HR"/>
        </w:rPr>
        <w:t>uvjeta</w:t>
      </w:r>
      <w:r w:rsidR="009B1093" w:rsidRPr="000479E9">
        <w:rPr>
          <w:rFonts w:ascii="Times New Roman" w:eastAsia="Times New Roman" w:hAnsi="Times New Roman"/>
          <w:sz w:val="24"/>
          <w:szCs w:val="24"/>
          <w:lang w:eastAsia="hr-HR"/>
        </w:rPr>
        <w:t>,</w:t>
      </w:r>
      <w:r w:rsidR="007374AE" w:rsidRPr="000479E9">
        <w:rPr>
          <w:rFonts w:ascii="Times New Roman" w:eastAsia="Times New Roman" w:hAnsi="Times New Roman"/>
          <w:sz w:val="24"/>
          <w:szCs w:val="24"/>
          <w:lang w:eastAsia="hr-HR"/>
        </w:rPr>
        <w:t xml:space="preserve"> pri čemu se okolnost koja već predstavlja obilježje prekršaja iz stavka 3. ovoga članka ne uzima sama po sebi kao osnova za utvrđenje ispunjenja nekog od ovih uvjeta:</w:t>
      </w:r>
    </w:p>
    <w:p w14:paraId="304896C6" w14:textId="606C0C30"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p>
    <w:p w14:paraId="1292A4B5" w14:textId="77777777"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počinjen je opetovano ili sustavno, pri čemu se sustavnim smatra postupanje koje proizlazi iz uspostavljenih poslovnih praksi, organizacijskih nedostataka ili svjesnog obrasca postupanja</w:t>
      </w:r>
    </w:p>
    <w:p w14:paraId="1EC57013" w14:textId="77777777"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počinjen je tijekom duljeg razdoblja, pri čemu se trajanje procjenjuje uzimajući u obzir prirodu, učestalost i okolnosti konkretnog kršenja</w:t>
      </w:r>
    </w:p>
    <w:p w14:paraId="176944D9" w14:textId="77777777"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doveo je do značajne štete za klijente ili ulagatelje ili je stvorio konkretnu i neposrednu opasnost od nastanka takve štete</w:t>
      </w:r>
    </w:p>
    <w:p w14:paraId="3C82F84C" w14:textId="77777777"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doveo je do ugrožavanja urednog funkcioniranja tržišta ili narušavanja integriteta tržišta, ili je stvorio konkretnu i neposrednu opasnost od nastanka takvog događaja</w:t>
      </w:r>
    </w:p>
    <w:p w14:paraId="077C4FAF" w14:textId="7B1BFBFA"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5628B196" w14:textId="4D28231C"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onemogućio</w:t>
      </w:r>
      <w:r w:rsidR="00B316C6" w:rsidRPr="000479E9">
        <w:rPr>
          <w:rFonts w:ascii="Times New Roman" w:hAnsi="Times New Roman" w:cs="Times New Roman"/>
          <w:sz w:val="24"/>
          <w:szCs w:val="24"/>
        </w:rPr>
        <w:t xml:space="preserve"> je</w:t>
      </w:r>
      <w:r w:rsidRPr="000479E9">
        <w:rPr>
          <w:rFonts w:ascii="Times New Roman" w:hAnsi="Times New Roman" w:cs="Times New Roman"/>
          <w:sz w:val="24"/>
          <w:szCs w:val="24"/>
        </w:rPr>
        <w:t xml:space="preserve"> ili znatno otežao nadzor Agencije</w:t>
      </w:r>
    </w:p>
    <w:p w14:paraId="72319F3B" w14:textId="5C2AED19"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povezan </w:t>
      </w:r>
      <w:r w:rsidR="00B316C6" w:rsidRPr="000479E9">
        <w:rPr>
          <w:rFonts w:ascii="Times New Roman" w:hAnsi="Times New Roman" w:cs="Times New Roman"/>
          <w:sz w:val="24"/>
          <w:szCs w:val="24"/>
        </w:rPr>
        <w:t xml:space="preserve">je </w:t>
      </w:r>
      <w:r w:rsidRPr="000479E9">
        <w:rPr>
          <w:rFonts w:ascii="Times New Roman" w:hAnsi="Times New Roman" w:cs="Times New Roman"/>
          <w:sz w:val="24"/>
          <w:szCs w:val="24"/>
        </w:rPr>
        <w:t>s</w:t>
      </w:r>
      <w:r w:rsidR="00B316C6" w:rsidRPr="000479E9">
        <w:rPr>
          <w:rFonts w:ascii="Times New Roman" w:hAnsi="Times New Roman" w:cs="Times New Roman"/>
          <w:sz w:val="24"/>
          <w:szCs w:val="24"/>
        </w:rPr>
        <w:t>a</w:t>
      </w:r>
      <w:r w:rsidRPr="000479E9">
        <w:rPr>
          <w:rFonts w:ascii="Times New Roman" w:hAnsi="Times New Roman" w:cs="Times New Roman"/>
          <w:sz w:val="24"/>
          <w:szCs w:val="24"/>
        </w:rPr>
        <w:t xml:space="preserve"> zlouporabom povjerljivih informacija ili imovine klijenata</w:t>
      </w:r>
    </w:p>
    <w:p w14:paraId="74B68F2B" w14:textId="2DC4313A" w:rsidR="007374AE" w:rsidRPr="000479E9" w:rsidRDefault="007374AE" w:rsidP="00017BB1">
      <w:pPr>
        <w:numPr>
          <w:ilvl w:val="0"/>
          <w:numId w:val="15"/>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doveo </w:t>
      </w:r>
      <w:r w:rsidR="00B316C6" w:rsidRPr="000479E9">
        <w:rPr>
          <w:rFonts w:ascii="Times New Roman" w:hAnsi="Times New Roman" w:cs="Times New Roman"/>
          <w:sz w:val="24"/>
          <w:szCs w:val="24"/>
        </w:rPr>
        <w:t xml:space="preserve">je </w:t>
      </w:r>
      <w:r w:rsidRPr="000479E9">
        <w:rPr>
          <w:rFonts w:ascii="Times New Roman" w:hAnsi="Times New Roman" w:cs="Times New Roman"/>
          <w:sz w:val="24"/>
          <w:szCs w:val="24"/>
        </w:rPr>
        <w:t>do neurednih uvjeta trgovanja ili poremećaja na tržištu ili je stvorio konkretnu i neposrednu opasnost od nastanka takvog događaja.</w:t>
      </w:r>
    </w:p>
    <w:p w14:paraId="5AA151C4" w14:textId="77777777" w:rsidR="00A032F1" w:rsidRPr="000479E9" w:rsidRDefault="00A032F1" w:rsidP="000479E9">
      <w:pPr>
        <w:spacing w:after="0" w:line="240" w:lineRule="auto"/>
        <w:ind w:left="720"/>
        <w:rPr>
          <w:rFonts w:ascii="Times New Roman" w:hAnsi="Times New Roman" w:cs="Times New Roman"/>
          <w:sz w:val="24"/>
          <w:szCs w:val="24"/>
        </w:rPr>
      </w:pPr>
    </w:p>
    <w:p w14:paraId="7AAA4CD5"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teži prekršaj iz stavka 2. ovoga članka kaznit će se izdavatelj koji je pravni subjekt ako:</w:t>
      </w:r>
    </w:p>
    <w:p w14:paraId="72528674"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protivno članku 482. ovoga Zakona, ne izvrši svoju obvezu u pogledu obavještavanja o promjenama u glasačkim pravima na način propisan člancima 482. do 485. ovoga Zakona</w:t>
      </w:r>
    </w:p>
    <w:p w14:paraId="62FD12BD"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protivno članku 486. ovoga Zakona, ne dostavi izdavatelju i/ili Agenciji obavijest iz članka 482. stavka 1. ovoga Zakona u propisanom sadržaju i/ili s propisanim privicima, ako je primjenjivo</w:t>
      </w:r>
    </w:p>
    <w:p w14:paraId="21C4CD94" w14:textId="7777777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protivno članku 487. ovoga Zakona, ne dostavi uopće ili u propisanom roku ili ne dostavi istodobno izdavatelju i/ili Agenciji obavijest iz članka 482. stavka 1. ovoga Zakona o dosezanju, prelasku ili padu ispod propisanih pragova.</w:t>
      </w:r>
    </w:p>
    <w:p w14:paraId="6A3BBDB2" w14:textId="21702156"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4E2767" w:rsidRPr="000479E9">
        <w:rPr>
          <w:rFonts w:ascii="Times New Roman" w:eastAsia="Times New Roman" w:hAnsi="Times New Roman"/>
          <w:sz w:val="24"/>
          <w:szCs w:val="24"/>
          <w:lang w:eastAsia="hr-HR"/>
        </w:rPr>
        <w:t>4</w:t>
      </w:r>
      <w:r w:rsidRPr="000479E9">
        <w:rPr>
          <w:rFonts w:ascii="Times New Roman" w:eastAsia="Times New Roman" w:hAnsi="Times New Roman"/>
          <w:sz w:val="24"/>
          <w:szCs w:val="24"/>
          <w:lang w:eastAsia="hr-HR"/>
        </w:rPr>
        <w:t>) Iznimno od stavka 1. ovoga članka, ako je pravni subjekt iz stavka 1. ovoga članka prekršajem iz stavka 3. ovoga članka ostvario korist ili spriječio gubitak, a iznos tako ostvarene koristi ili spriječenog gubitka može se utvrditi, pravni subjekt iz stavka 1. ovoga članka kaznit će se za prekršaj iz stavka 3. ovoga članka novčanom kaznom u iznosu dvostruko utvrđenog iznosa tako ostvarene koristi odnosno tako spriječenog gubitka, ako je taj iznos veći od propisanog najvećeg iznosa iz stavka 1. ovoga članka.</w:t>
      </w:r>
    </w:p>
    <w:p w14:paraId="10E94A8E" w14:textId="2092FBE2"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4E2767"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xml:space="preserve">) Za prekršaj iz stavka 3. ovoga članka kaznit će se i odgovorna osoba pravnog subjekta iz stavka 1. ovoga članka novčanom kaznom u iznosu od </w:t>
      </w:r>
      <w:r w:rsidR="004E2767" w:rsidRPr="000479E9">
        <w:rPr>
          <w:rFonts w:ascii="Times New Roman" w:eastAsia="Times New Roman" w:hAnsi="Times New Roman"/>
          <w:sz w:val="24"/>
          <w:szCs w:val="24"/>
          <w:lang w:eastAsia="hr-HR"/>
        </w:rPr>
        <w:t>20</w:t>
      </w:r>
      <w:r w:rsidRPr="000479E9">
        <w:rPr>
          <w:rFonts w:ascii="Times New Roman" w:eastAsia="Times New Roman" w:hAnsi="Times New Roman"/>
          <w:sz w:val="24"/>
          <w:szCs w:val="24"/>
          <w:lang w:eastAsia="hr-HR"/>
        </w:rPr>
        <w:t>.</w:t>
      </w:r>
      <w:r w:rsidR="004E2767" w:rsidRPr="000479E9">
        <w:rPr>
          <w:rFonts w:ascii="Times New Roman" w:eastAsia="Times New Roman" w:hAnsi="Times New Roman"/>
          <w:sz w:val="24"/>
          <w:szCs w:val="24"/>
          <w:lang w:eastAsia="hr-HR"/>
        </w:rPr>
        <w:t>000</w:t>
      </w:r>
      <w:r w:rsidRPr="000479E9">
        <w:rPr>
          <w:rFonts w:ascii="Times New Roman" w:eastAsia="Times New Roman" w:hAnsi="Times New Roman"/>
          <w:sz w:val="24"/>
          <w:szCs w:val="24"/>
          <w:lang w:eastAsia="hr-HR"/>
        </w:rPr>
        <w:t xml:space="preserve">,00 do </w:t>
      </w:r>
      <w:r w:rsidR="004E2767" w:rsidRPr="000479E9">
        <w:rPr>
          <w:rFonts w:ascii="Times New Roman" w:eastAsia="Times New Roman" w:hAnsi="Times New Roman"/>
          <w:sz w:val="24"/>
          <w:szCs w:val="24"/>
          <w:lang w:eastAsia="hr-HR"/>
        </w:rPr>
        <w:t>100</w:t>
      </w:r>
      <w:r w:rsidRPr="000479E9">
        <w:rPr>
          <w:rFonts w:ascii="Times New Roman" w:eastAsia="Times New Roman" w:hAnsi="Times New Roman"/>
          <w:sz w:val="24"/>
          <w:szCs w:val="24"/>
          <w:lang w:eastAsia="hr-HR"/>
        </w:rPr>
        <w:t>.</w:t>
      </w:r>
      <w:r w:rsidR="004E2767" w:rsidRPr="000479E9">
        <w:rPr>
          <w:rFonts w:ascii="Times New Roman" w:eastAsia="Times New Roman" w:hAnsi="Times New Roman"/>
          <w:sz w:val="24"/>
          <w:szCs w:val="24"/>
          <w:lang w:eastAsia="hr-HR"/>
        </w:rPr>
        <w:t>00</w:t>
      </w:r>
      <w:r w:rsidRPr="000479E9">
        <w:rPr>
          <w:rFonts w:ascii="Times New Roman" w:eastAsia="Times New Roman" w:hAnsi="Times New Roman"/>
          <w:sz w:val="24"/>
          <w:szCs w:val="24"/>
          <w:lang w:eastAsia="hr-HR"/>
        </w:rPr>
        <w:t>,00 eura.</w:t>
      </w:r>
    </w:p>
    <w:p w14:paraId="60DDEAD9" w14:textId="2CEC46C2"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4E2767"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Za prekršaj iz stavka 1. ovoga članka kaznit će fizička osoba novčanom kaznom u iznosu od 132.720,00 do 2.000.000,00 eura.</w:t>
      </w:r>
    </w:p>
    <w:p w14:paraId="3C8768B0" w14:textId="7B9E9217"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614F63">
        <w:rPr>
          <w:rFonts w:ascii="Times New Roman" w:eastAsia="Times New Roman" w:hAnsi="Times New Roman"/>
          <w:sz w:val="24"/>
          <w:szCs w:val="24"/>
          <w:lang w:eastAsia="hr-HR"/>
        </w:rPr>
        <w:t>7</w:t>
      </w:r>
      <w:r w:rsidRPr="000479E9">
        <w:rPr>
          <w:rFonts w:ascii="Times New Roman" w:eastAsia="Times New Roman" w:hAnsi="Times New Roman"/>
          <w:sz w:val="24"/>
          <w:szCs w:val="24"/>
          <w:lang w:eastAsia="hr-HR"/>
        </w:rPr>
        <w:t xml:space="preserve">) Iznimno od stavka </w:t>
      </w:r>
      <w:r w:rsidR="004E2767"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ako je fizička osoba iz stavka </w:t>
      </w:r>
      <w:r w:rsidR="004E2767"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prekršajem iz stavka 3. ovoga članka ostvarila korist ili spriječila gubitak, a iznos tako ostvarene koristi ili spriječenog gubitka može se utvrditi, fizička osoba iz stavka </w:t>
      </w:r>
      <w:r w:rsidR="004E2767"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ovoga članka kaznit će se za prekršaj iz stavka </w:t>
      </w:r>
      <w:r w:rsidR="004E2767" w:rsidRPr="000479E9">
        <w:rPr>
          <w:rFonts w:ascii="Times New Roman" w:eastAsia="Times New Roman" w:hAnsi="Times New Roman"/>
          <w:sz w:val="24"/>
          <w:szCs w:val="24"/>
          <w:lang w:eastAsia="hr-HR"/>
        </w:rPr>
        <w:t>3</w:t>
      </w:r>
      <w:r w:rsidRPr="000479E9">
        <w:rPr>
          <w:rFonts w:ascii="Times New Roman" w:eastAsia="Times New Roman" w:hAnsi="Times New Roman"/>
          <w:sz w:val="24"/>
          <w:szCs w:val="24"/>
          <w:lang w:eastAsia="hr-HR"/>
        </w:rPr>
        <w:t xml:space="preserve">. ovoga članka novčanom kaznom u iznosu dvostruko utvrđenog iznosa tako ostvarene koristi odnosno tako spriječenog gubitka, ako je taj iznos veći od propisanog najvećeg iznosa novčane kazne iz stavka </w:t>
      </w:r>
      <w:r w:rsidR="004E2767"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ovoga članka.</w:t>
      </w:r>
    </w:p>
    <w:p w14:paraId="31C80A52" w14:textId="0D576855" w:rsidR="00E150E8" w:rsidRPr="000479E9" w:rsidRDefault="00E150E8" w:rsidP="00E150E8">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614F63">
        <w:rPr>
          <w:rFonts w:ascii="Times New Roman" w:eastAsia="Times New Roman" w:hAnsi="Times New Roman"/>
          <w:sz w:val="24"/>
          <w:szCs w:val="24"/>
          <w:lang w:eastAsia="hr-HR"/>
        </w:rPr>
        <w:t>8</w:t>
      </w:r>
      <w:r w:rsidRPr="000479E9">
        <w:rPr>
          <w:rFonts w:ascii="Times New Roman" w:eastAsia="Times New Roman" w:hAnsi="Times New Roman"/>
          <w:sz w:val="24"/>
          <w:szCs w:val="24"/>
          <w:lang w:eastAsia="hr-HR"/>
        </w:rPr>
        <w:t>) Ako je pravni subjekt matično društvo ili društvo kći matičnog društva koje je obvezno sastavljati konsolidirane financijske izvještaje u skladu s propisima Republike Hrvatske koji uređuju računovodstvo poduzetnika i primjenu standarda financijskog izvještavanja odnosno propisima države članice u kojima izdavatelj ima sjedište kojima se u njezin pravni poredak prenose odredbe Direktive 2013/34/EU, ukupan prihod iz stavka 1. ovoga članka je ukupan prihod utvrđen na temelju godišnjih konsolidiranih financijskih izvještaja krajnjeg matičnog društva pravnog subjekta za godinu kada je počinjen prekršaj.“</w:t>
      </w:r>
      <w:r w:rsidR="00C557DC" w:rsidRPr="000479E9">
        <w:rPr>
          <w:rFonts w:ascii="Times New Roman" w:eastAsia="Times New Roman" w:hAnsi="Times New Roman"/>
          <w:sz w:val="24"/>
          <w:szCs w:val="24"/>
          <w:lang w:eastAsia="hr-HR"/>
        </w:rPr>
        <w:t>.</w:t>
      </w:r>
    </w:p>
    <w:p w14:paraId="2E64AEA0" w14:textId="6240B238" w:rsidR="00E150E8" w:rsidRPr="000479E9" w:rsidRDefault="00E150E8" w:rsidP="00483C20">
      <w:pPr>
        <w:spacing w:after="0" w:line="240" w:lineRule="auto"/>
        <w:rPr>
          <w:rFonts w:ascii="Times New Roman" w:eastAsia="Times New Roman" w:hAnsi="Times New Roman" w:cs="Times New Roman"/>
          <w:sz w:val="24"/>
          <w:szCs w:val="24"/>
          <w:lang w:eastAsia="hr-HR"/>
        </w:rPr>
      </w:pPr>
    </w:p>
    <w:p w14:paraId="001C5ADB" w14:textId="77777777" w:rsidR="00E150E8" w:rsidRPr="000479E9" w:rsidRDefault="00E150E8" w:rsidP="00617A00">
      <w:pPr>
        <w:spacing w:after="0" w:line="240" w:lineRule="auto"/>
        <w:jc w:val="both"/>
        <w:rPr>
          <w:rFonts w:ascii="Times New Roman" w:eastAsia="Times New Roman" w:hAnsi="Times New Roman" w:cs="Times New Roman"/>
          <w:sz w:val="24"/>
          <w:szCs w:val="24"/>
          <w:lang w:eastAsia="hr-HR"/>
        </w:rPr>
      </w:pPr>
    </w:p>
    <w:p w14:paraId="29F4094E" w14:textId="3EF3A5A1" w:rsidR="00E150E8" w:rsidRPr="000479E9" w:rsidRDefault="00E150E8" w:rsidP="00483C2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7374AE" w:rsidRPr="000479E9">
        <w:rPr>
          <w:rFonts w:ascii="Times New Roman" w:eastAsia="Times New Roman" w:hAnsi="Times New Roman" w:cs="Times New Roman"/>
          <w:b/>
          <w:bCs/>
          <w:sz w:val="24"/>
          <w:szCs w:val="24"/>
          <w:lang w:eastAsia="hr-HR"/>
        </w:rPr>
        <w:t>105</w:t>
      </w:r>
      <w:r w:rsidRPr="000479E9">
        <w:rPr>
          <w:rFonts w:ascii="Times New Roman" w:eastAsia="Times New Roman" w:hAnsi="Times New Roman" w:cs="Times New Roman"/>
          <w:b/>
          <w:bCs/>
          <w:sz w:val="24"/>
          <w:szCs w:val="24"/>
          <w:lang w:eastAsia="hr-HR"/>
        </w:rPr>
        <w:t>.</w:t>
      </w:r>
    </w:p>
    <w:p w14:paraId="78F141A5" w14:textId="77777777" w:rsidR="00E150E8" w:rsidRPr="000479E9" w:rsidRDefault="00E150E8" w:rsidP="00E150E8">
      <w:pPr>
        <w:spacing w:after="0" w:line="240" w:lineRule="auto"/>
        <w:rPr>
          <w:rFonts w:ascii="Times New Roman" w:eastAsia="Times New Roman" w:hAnsi="Times New Roman" w:cs="Times New Roman"/>
          <w:b/>
          <w:bCs/>
          <w:sz w:val="24"/>
          <w:szCs w:val="24"/>
          <w:lang w:eastAsia="hr-HR"/>
        </w:rPr>
      </w:pPr>
    </w:p>
    <w:p w14:paraId="3F5048C4" w14:textId="4EB6D577" w:rsidR="00E150E8" w:rsidRPr="000479E9" w:rsidRDefault="00E150E8" w:rsidP="00E150E8">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naslovu iznad članka 708. riječ: „Teži“ zamjenjuje se riječima: „Ostali teži“. </w:t>
      </w:r>
    </w:p>
    <w:p w14:paraId="1CF9F1CE" w14:textId="3FC811B1" w:rsidR="00E150E8" w:rsidRPr="000479E9" w:rsidRDefault="00E150E8" w:rsidP="00483C20">
      <w:pPr>
        <w:spacing w:after="0" w:line="240" w:lineRule="auto"/>
        <w:jc w:val="both"/>
        <w:rPr>
          <w:rFonts w:ascii="Times New Roman" w:eastAsia="Times New Roman" w:hAnsi="Times New Roman" w:cs="Times New Roman"/>
          <w:b/>
          <w:bCs/>
          <w:sz w:val="24"/>
          <w:szCs w:val="24"/>
          <w:lang w:eastAsia="hr-HR"/>
        </w:rPr>
      </w:pPr>
    </w:p>
    <w:p w14:paraId="38551867" w14:textId="798125F1"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708. stavku 1. točk</w:t>
      </w:r>
      <w:r w:rsidR="5AB98D02" w:rsidRPr="000479E9">
        <w:rPr>
          <w:rFonts w:ascii="Times New Roman" w:eastAsia="Times New Roman" w:hAnsi="Times New Roman" w:cs="Times New Roman"/>
          <w:sz w:val="24"/>
          <w:szCs w:val="24"/>
          <w:lang w:eastAsia="hr-HR"/>
        </w:rPr>
        <w:t>e</w:t>
      </w:r>
      <w:r w:rsidRPr="000479E9">
        <w:rPr>
          <w:rFonts w:ascii="Times New Roman" w:eastAsia="Times New Roman" w:hAnsi="Times New Roman" w:cs="Times New Roman"/>
          <w:sz w:val="24"/>
          <w:szCs w:val="24"/>
          <w:lang w:eastAsia="hr-HR"/>
        </w:rPr>
        <w:t xml:space="preserve"> 1. </w:t>
      </w:r>
      <w:r w:rsidR="55F41FA1" w:rsidRPr="000479E9">
        <w:rPr>
          <w:rFonts w:ascii="Times New Roman" w:eastAsia="Times New Roman" w:hAnsi="Times New Roman" w:cs="Times New Roman"/>
          <w:sz w:val="24"/>
          <w:szCs w:val="24"/>
          <w:lang w:eastAsia="hr-HR"/>
        </w:rPr>
        <w:t>i 8.</w:t>
      </w:r>
      <w:r w:rsidRPr="000479E9">
        <w:rPr>
          <w:rFonts w:ascii="Times New Roman" w:eastAsia="Times New Roman" w:hAnsi="Times New Roman" w:cs="Times New Roman"/>
          <w:sz w:val="24"/>
          <w:szCs w:val="24"/>
          <w:lang w:eastAsia="hr-HR"/>
        </w:rPr>
        <w:t xml:space="preserve"> briš</w:t>
      </w:r>
      <w:r w:rsidR="00B88B28" w:rsidRPr="000479E9">
        <w:rPr>
          <w:rFonts w:ascii="Times New Roman" w:eastAsia="Times New Roman" w:hAnsi="Times New Roman" w:cs="Times New Roman"/>
          <w:sz w:val="24"/>
          <w:szCs w:val="24"/>
          <w:lang w:eastAsia="hr-HR"/>
        </w:rPr>
        <w:t>u</w:t>
      </w:r>
      <w:r w:rsidRPr="000479E9">
        <w:rPr>
          <w:rFonts w:ascii="Times New Roman" w:eastAsia="Times New Roman" w:hAnsi="Times New Roman" w:cs="Times New Roman"/>
          <w:sz w:val="24"/>
          <w:szCs w:val="24"/>
          <w:lang w:eastAsia="hr-HR"/>
        </w:rPr>
        <w:t xml:space="preserve"> se.</w:t>
      </w:r>
    </w:p>
    <w:p w14:paraId="6C913068" w14:textId="78F8E547" w:rsidR="0D1FBB3D" w:rsidRPr="000479E9" w:rsidRDefault="0D1FBB3D" w:rsidP="0D1FBB3D">
      <w:pPr>
        <w:spacing w:after="0" w:line="240" w:lineRule="auto"/>
        <w:jc w:val="both"/>
        <w:rPr>
          <w:rFonts w:ascii="Times New Roman" w:eastAsia="Times New Roman" w:hAnsi="Times New Roman" w:cs="Times New Roman"/>
          <w:sz w:val="24"/>
          <w:szCs w:val="24"/>
          <w:lang w:eastAsia="hr-HR"/>
        </w:rPr>
      </w:pPr>
    </w:p>
    <w:p w14:paraId="54FC3313" w14:textId="0FE6E485" w:rsidR="5B15AB12" w:rsidRPr="000479E9" w:rsidRDefault="5B15AB12" w:rsidP="0D1FBB3D">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točkama 9. </w:t>
      </w:r>
      <w:r w:rsidR="17DBE59F" w:rsidRPr="000479E9">
        <w:rPr>
          <w:rFonts w:ascii="Times New Roman" w:eastAsia="Times New Roman" w:hAnsi="Times New Roman" w:cs="Times New Roman"/>
          <w:sz w:val="24"/>
          <w:szCs w:val="24"/>
          <w:lang w:eastAsia="hr-HR"/>
        </w:rPr>
        <w:t>i 10.</w:t>
      </w:r>
      <w:r w:rsidRPr="000479E9">
        <w:rPr>
          <w:rFonts w:ascii="Times New Roman" w:eastAsia="Times New Roman" w:hAnsi="Times New Roman" w:cs="Times New Roman"/>
          <w:sz w:val="24"/>
          <w:szCs w:val="24"/>
          <w:lang w:eastAsia="hr-HR"/>
        </w:rPr>
        <w:t xml:space="preserve"> broj </w:t>
      </w:r>
      <w:r w:rsidR="00866676"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3.” zamjenjuje se brojem </w:t>
      </w:r>
      <w:r w:rsidR="00866676"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2</w:t>
      </w:r>
      <w:r w:rsidR="003D459D"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w:t>
      </w:r>
    </w:p>
    <w:p w14:paraId="0C20A175" w14:textId="7D1BED2D" w:rsidR="6940A75A" w:rsidRPr="000479E9" w:rsidRDefault="6940A75A" w:rsidP="6940A75A">
      <w:pPr>
        <w:spacing w:after="0" w:line="240" w:lineRule="auto"/>
        <w:jc w:val="both"/>
        <w:rPr>
          <w:rFonts w:ascii="Times New Roman" w:eastAsia="Times New Roman" w:hAnsi="Times New Roman" w:cs="Times New Roman"/>
          <w:sz w:val="24"/>
          <w:szCs w:val="24"/>
          <w:lang w:eastAsia="hr-HR"/>
        </w:rPr>
      </w:pPr>
    </w:p>
    <w:p w14:paraId="74E7BCEF" w14:textId="736276D0" w:rsidR="5B15AB12" w:rsidRPr="000479E9" w:rsidRDefault="5B15AB12" w:rsidP="6940A75A">
      <w:pPr>
        <w:spacing w:after="0" w:line="240" w:lineRule="auto"/>
        <w:jc w:val="both"/>
        <w:rPr>
          <w:rFonts w:ascii="Times New Roman" w:eastAsia="Times New Roman" w:hAnsi="Times New Roman" w:cs="Times New Roman"/>
          <w:sz w:val="24"/>
          <w:szCs w:val="24"/>
          <w:lang w:eastAsia="hr-HR"/>
        </w:rPr>
      </w:pPr>
    </w:p>
    <w:p w14:paraId="51A2A243" w14:textId="19CB9006" w:rsidR="2BF2E5E9" w:rsidRPr="000479E9" w:rsidRDefault="2BF2E5E9" w:rsidP="00E11A02">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b/>
          <w:bCs/>
          <w:sz w:val="24"/>
          <w:szCs w:val="24"/>
          <w:lang w:eastAsia="hr-HR"/>
        </w:rPr>
        <w:t xml:space="preserve">Članak </w:t>
      </w:r>
      <w:r w:rsidR="00071C5C" w:rsidRPr="000479E9">
        <w:rPr>
          <w:rFonts w:ascii="Times New Roman" w:eastAsia="Times New Roman" w:hAnsi="Times New Roman" w:cs="Times New Roman"/>
          <w:b/>
          <w:bCs/>
          <w:sz w:val="24"/>
          <w:szCs w:val="24"/>
          <w:lang w:eastAsia="hr-HR"/>
        </w:rPr>
        <w:t>10</w:t>
      </w:r>
      <w:r w:rsidR="00F84BAF">
        <w:rPr>
          <w:rFonts w:ascii="Times New Roman" w:eastAsia="Times New Roman" w:hAnsi="Times New Roman" w:cs="Times New Roman"/>
          <w:b/>
          <w:bCs/>
          <w:sz w:val="24"/>
          <w:szCs w:val="24"/>
          <w:lang w:eastAsia="hr-HR"/>
        </w:rPr>
        <w:t>6</w:t>
      </w:r>
      <w:r w:rsidRPr="000479E9">
        <w:rPr>
          <w:rFonts w:ascii="Times New Roman" w:eastAsia="Times New Roman" w:hAnsi="Times New Roman" w:cs="Times New Roman"/>
          <w:sz w:val="24"/>
          <w:szCs w:val="24"/>
          <w:lang w:eastAsia="hr-HR"/>
        </w:rPr>
        <w:t xml:space="preserve">. </w:t>
      </w:r>
    </w:p>
    <w:p w14:paraId="46D24F37" w14:textId="77777777" w:rsidR="00D603C7" w:rsidRPr="000479E9" w:rsidRDefault="00D603C7" w:rsidP="00E11A02">
      <w:pPr>
        <w:spacing w:after="0" w:line="240" w:lineRule="auto"/>
        <w:jc w:val="center"/>
        <w:rPr>
          <w:rFonts w:ascii="Times New Roman" w:eastAsia="Times New Roman" w:hAnsi="Times New Roman" w:cs="Times New Roman"/>
          <w:sz w:val="24"/>
          <w:szCs w:val="24"/>
          <w:lang w:eastAsia="hr-HR"/>
        </w:rPr>
      </w:pPr>
    </w:p>
    <w:p w14:paraId="1000FCF4" w14:textId="79CC1110" w:rsidR="2BF2E5E9" w:rsidRPr="000479E9" w:rsidRDefault="2BF2E5E9" w:rsidP="00E11A0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711. </w:t>
      </w:r>
      <w:r w:rsidR="008E70D2" w:rsidRPr="000479E9">
        <w:rPr>
          <w:rFonts w:ascii="Times New Roman" w:eastAsia="Times New Roman" w:hAnsi="Times New Roman" w:cs="Times New Roman"/>
          <w:sz w:val="24"/>
          <w:szCs w:val="24"/>
          <w:lang w:eastAsia="hr-HR"/>
        </w:rPr>
        <w:t xml:space="preserve">iza stavka 2. </w:t>
      </w:r>
      <w:r w:rsidRPr="000479E9">
        <w:rPr>
          <w:rFonts w:ascii="Times New Roman" w:eastAsia="Times New Roman" w:hAnsi="Times New Roman" w:cs="Times New Roman"/>
          <w:sz w:val="24"/>
          <w:szCs w:val="24"/>
          <w:lang w:eastAsia="hr-HR"/>
        </w:rPr>
        <w:t>dodaje se novi stavak 3. koji glasi:</w:t>
      </w:r>
    </w:p>
    <w:p w14:paraId="7EF31C55" w14:textId="597609AC" w:rsidR="494E6758" w:rsidRPr="000479E9" w:rsidRDefault="494E6758" w:rsidP="494E6758">
      <w:pPr>
        <w:spacing w:after="0" w:line="240" w:lineRule="auto"/>
        <w:jc w:val="both"/>
        <w:rPr>
          <w:rFonts w:ascii="Times New Roman" w:eastAsia="Times New Roman" w:hAnsi="Times New Roman" w:cs="Times New Roman"/>
          <w:sz w:val="24"/>
          <w:szCs w:val="24"/>
          <w:lang w:eastAsia="hr-HR"/>
        </w:rPr>
      </w:pPr>
    </w:p>
    <w:p w14:paraId="1C3E3C11" w14:textId="33BBECF8" w:rsidR="494E6758" w:rsidRPr="000479E9" w:rsidRDefault="00C52658" w:rsidP="494E6758">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2BF2E5E9" w:rsidRPr="000479E9">
        <w:rPr>
          <w:rFonts w:ascii="Times New Roman" w:eastAsia="Times New Roman" w:hAnsi="Times New Roman" w:cs="Times New Roman"/>
          <w:sz w:val="24"/>
          <w:szCs w:val="24"/>
          <w:lang w:eastAsia="hr-HR"/>
        </w:rPr>
        <w:t xml:space="preserve">(3) Za prekršaj kaznit će se </w:t>
      </w:r>
      <w:r w:rsidR="000963B2" w:rsidRPr="000479E9">
        <w:rPr>
          <w:rFonts w:ascii="Times New Roman" w:eastAsia="Times New Roman" w:hAnsi="Times New Roman" w:cs="Times New Roman"/>
          <w:sz w:val="24"/>
          <w:szCs w:val="24"/>
          <w:lang w:eastAsia="hr-HR"/>
        </w:rPr>
        <w:t xml:space="preserve">pravna osoba </w:t>
      </w:r>
      <w:r w:rsidR="2BF2E5E9" w:rsidRPr="000479E9">
        <w:rPr>
          <w:rFonts w:ascii="Times New Roman" w:eastAsia="Times New Roman" w:hAnsi="Times New Roman" w:cs="Times New Roman"/>
          <w:sz w:val="24"/>
          <w:szCs w:val="24"/>
          <w:lang w:eastAsia="hr-HR"/>
        </w:rPr>
        <w:t xml:space="preserve">novčanom kaznom u iznosu od 13.270,00 do 33.180,00 eura ako ne postupi u skladu sa zahtjevom Agencije, postavljenim u skladu s člankom 502. ovoga Zakona ili </w:t>
      </w:r>
      <w:r w:rsidR="006F0F65" w:rsidRPr="000479E9">
        <w:rPr>
          <w:rFonts w:ascii="Times New Roman" w:eastAsia="Times New Roman" w:hAnsi="Times New Roman" w:cs="Times New Roman"/>
          <w:sz w:val="24"/>
          <w:szCs w:val="24"/>
          <w:lang w:eastAsia="hr-HR"/>
        </w:rPr>
        <w:t xml:space="preserve">ne postupi </w:t>
      </w:r>
      <w:r w:rsidR="2BF2E5E9" w:rsidRPr="000479E9">
        <w:rPr>
          <w:rFonts w:ascii="Times New Roman" w:eastAsia="Times New Roman" w:hAnsi="Times New Roman" w:cs="Times New Roman"/>
          <w:sz w:val="24"/>
          <w:szCs w:val="24"/>
          <w:lang w:eastAsia="hr-HR"/>
        </w:rPr>
        <w:t>na način i/ili u roku koji odredi Agencija.“</w:t>
      </w:r>
      <w:r w:rsidRPr="000479E9">
        <w:rPr>
          <w:rFonts w:ascii="Times New Roman" w:eastAsia="Times New Roman" w:hAnsi="Times New Roman" w:cs="Times New Roman"/>
          <w:sz w:val="24"/>
          <w:szCs w:val="24"/>
          <w:lang w:eastAsia="hr-HR"/>
        </w:rPr>
        <w:t>.</w:t>
      </w:r>
    </w:p>
    <w:p w14:paraId="33960800"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255AEE0" w14:textId="7066AE51" w:rsidR="2BF2E5E9" w:rsidRPr="000479E9" w:rsidRDefault="2BF2E5E9" w:rsidP="2DAC105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3. koji postaje stavak 4., iza broja</w:t>
      </w:r>
      <w:r w:rsidR="00E10FC5"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r w:rsidR="00E10FC5"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1.” dodaje se zarez i briše se veznik </w:t>
      </w:r>
      <w:r w:rsidR="0086018E"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i”, a iz</w:t>
      </w:r>
      <w:r w:rsidR="6B7EC294" w:rsidRPr="000479E9">
        <w:rPr>
          <w:rFonts w:ascii="Times New Roman" w:eastAsia="Times New Roman" w:hAnsi="Times New Roman" w:cs="Times New Roman"/>
          <w:sz w:val="24"/>
          <w:szCs w:val="24"/>
          <w:lang w:eastAsia="hr-HR"/>
        </w:rPr>
        <w:t>a broja</w:t>
      </w:r>
      <w:r w:rsidR="0086018E" w:rsidRPr="000479E9">
        <w:rPr>
          <w:rFonts w:ascii="Times New Roman" w:eastAsia="Times New Roman" w:hAnsi="Times New Roman" w:cs="Times New Roman"/>
          <w:sz w:val="24"/>
          <w:szCs w:val="24"/>
          <w:lang w:eastAsia="hr-HR"/>
        </w:rPr>
        <w:t>:</w:t>
      </w:r>
      <w:r w:rsidR="6B7EC294" w:rsidRPr="000479E9">
        <w:rPr>
          <w:rFonts w:ascii="Times New Roman" w:eastAsia="Times New Roman" w:hAnsi="Times New Roman" w:cs="Times New Roman"/>
          <w:sz w:val="24"/>
          <w:szCs w:val="24"/>
          <w:lang w:eastAsia="hr-HR"/>
        </w:rPr>
        <w:t xml:space="preserve"> </w:t>
      </w:r>
      <w:r w:rsidR="0086018E" w:rsidRPr="000479E9">
        <w:rPr>
          <w:rFonts w:ascii="Times New Roman" w:eastAsia="Times New Roman" w:hAnsi="Times New Roman" w:cs="Times New Roman"/>
          <w:sz w:val="24"/>
          <w:szCs w:val="24"/>
          <w:lang w:eastAsia="hr-HR"/>
        </w:rPr>
        <w:t>„</w:t>
      </w:r>
      <w:r w:rsidR="6B7EC294" w:rsidRPr="000479E9">
        <w:rPr>
          <w:rFonts w:ascii="Times New Roman" w:eastAsia="Times New Roman" w:hAnsi="Times New Roman" w:cs="Times New Roman"/>
          <w:sz w:val="24"/>
          <w:szCs w:val="24"/>
          <w:lang w:eastAsia="hr-HR"/>
        </w:rPr>
        <w:t xml:space="preserve">2.” dodaju se riječi: </w:t>
      </w:r>
      <w:r w:rsidR="0086018E" w:rsidRPr="000479E9">
        <w:rPr>
          <w:rFonts w:ascii="Times New Roman" w:eastAsia="Times New Roman" w:hAnsi="Times New Roman" w:cs="Times New Roman"/>
          <w:sz w:val="24"/>
          <w:szCs w:val="24"/>
          <w:lang w:eastAsia="hr-HR"/>
        </w:rPr>
        <w:t>„</w:t>
      </w:r>
      <w:r w:rsidR="6B7EC294" w:rsidRPr="000479E9">
        <w:rPr>
          <w:rFonts w:ascii="Times New Roman" w:eastAsia="Times New Roman" w:hAnsi="Times New Roman" w:cs="Times New Roman"/>
          <w:sz w:val="24"/>
          <w:szCs w:val="24"/>
          <w:lang w:eastAsia="hr-HR"/>
        </w:rPr>
        <w:t>i 3.”.</w:t>
      </w:r>
    </w:p>
    <w:p w14:paraId="78535989" w14:textId="77777777" w:rsidR="00E150E8" w:rsidRPr="000479E9" w:rsidRDefault="00E150E8" w:rsidP="2DAC105E">
      <w:pPr>
        <w:spacing w:after="0" w:line="240" w:lineRule="auto"/>
        <w:jc w:val="both"/>
        <w:rPr>
          <w:rFonts w:ascii="Times New Roman" w:eastAsia="Times New Roman" w:hAnsi="Times New Roman" w:cs="Times New Roman"/>
          <w:sz w:val="24"/>
          <w:szCs w:val="24"/>
          <w:lang w:eastAsia="hr-HR"/>
        </w:rPr>
      </w:pPr>
    </w:p>
    <w:p w14:paraId="6F32B0F0" w14:textId="3160FB7D" w:rsidR="00653B9E" w:rsidRPr="000479E9" w:rsidRDefault="00653B9E" w:rsidP="00E150E8">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10</w:t>
      </w:r>
      <w:r w:rsidR="00F84BAF">
        <w:rPr>
          <w:rFonts w:ascii="Times New Roman" w:eastAsia="Times New Roman" w:hAnsi="Times New Roman" w:cs="Times New Roman"/>
          <w:b/>
          <w:bCs/>
          <w:sz w:val="24"/>
          <w:szCs w:val="24"/>
          <w:lang w:eastAsia="hr-HR"/>
        </w:rPr>
        <w:t>7</w:t>
      </w:r>
      <w:r w:rsidRPr="000479E9">
        <w:rPr>
          <w:rFonts w:ascii="Times New Roman" w:eastAsia="Times New Roman" w:hAnsi="Times New Roman" w:cs="Times New Roman"/>
          <w:b/>
          <w:bCs/>
          <w:sz w:val="24"/>
          <w:szCs w:val="24"/>
          <w:lang w:eastAsia="hr-HR"/>
        </w:rPr>
        <w:t xml:space="preserve">. </w:t>
      </w:r>
    </w:p>
    <w:p w14:paraId="27F0BBAD" w14:textId="77777777" w:rsidR="00653B9E" w:rsidRPr="000479E9" w:rsidRDefault="00653B9E" w:rsidP="00653B9E">
      <w:pPr>
        <w:spacing w:after="0" w:line="240" w:lineRule="auto"/>
        <w:rPr>
          <w:rFonts w:ascii="Times New Roman" w:eastAsia="Times New Roman" w:hAnsi="Times New Roman" w:cs="Times New Roman"/>
          <w:b/>
          <w:bCs/>
          <w:sz w:val="24"/>
          <w:szCs w:val="24"/>
          <w:lang w:eastAsia="hr-HR"/>
        </w:rPr>
      </w:pPr>
    </w:p>
    <w:p w14:paraId="733B2779" w14:textId="2E47CDE2" w:rsidR="00653B9E" w:rsidRPr="000479E9" w:rsidRDefault="00653B9E" w:rsidP="00483C20">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712. mijenja se i glasi: „Prekršaji u svezi sa zlouporabom tržišta“.</w:t>
      </w:r>
    </w:p>
    <w:p w14:paraId="64369A7A" w14:textId="77777777" w:rsidR="00653B9E" w:rsidRPr="000479E9" w:rsidRDefault="00653B9E" w:rsidP="00E150E8">
      <w:pPr>
        <w:spacing w:after="0" w:line="240" w:lineRule="auto"/>
        <w:jc w:val="center"/>
        <w:rPr>
          <w:rFonts w:ascii="Times New Roman" w:eastAsia="Times New Roman" w:hAnsi="Times New Roman" w:cs="Times New Roman"/>
          <w:b/>
          <w:bCs/>
          <w:sz w:val="24"/>
          <w:szCs w:val="24"/>
          <w:lang w:eastAsia="hr-HR"/>
        </w:rPr>
      </w:pPr>
    </w:p>
    <w:p w14:paraId="5A6DF3D0" w14:textId="709CC4EC" w:rsidR="004E2767" w:rsidRPr="000479E9" w:rsidRDefault="00E150E8"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712. </w:t>
      </w:r>
      <w:r w:rsidR="004E2767" w:rsidRPr="000479E9">
        <w:rPr>
          <w:rFonts w:ascii="Times New Roman" w:eastAsia="Times New Roman" w:hAnsi="Times New Roman" w:cs="Times New Roman"/>
          <w:sz w:val="24"/>
          <w:szCs w:val="24"/>
          <w:lang w:eastAsia="hr-HR"/>
        </w:rPr>
        <w:t>stavku 1. riječi</w:t>
      </w:r>
      <w:r w:rsidR="00653B9E" w:rsidRPr="000479E9">
        <w:rPr>
          <w:rFonts w:ascii="Times New Roman" w:eastAsia="Times New Roman" w:hAnsi="Times New Roman" w:cs="Times New Roman"/>
          <w:sz w:val="24"/>
          <w:szCs w:val="24"/>
          <w:lang w:eastAsia="hr-HR"/>
        </w:rPr>
        <w:t xml:space="preserve">: „1% ni veća od 10% ukupnog prihoda koji je ostvarila u godini kada je počinjen prekršaj, utvrđenog službenim financijskim izvještajima za tu godinu“ zamjenjuju se </w:t>
      </w:r>
      <w:r w:rsidR="00C557DC" w:rsidRPr="000479E9">
        <w:rPr>
          <w:rFonts w:ascii="Times New Roman" w:eastAsia="Times New Roman" w:hAnsi="Times New Roman" w:cs="Times New Roman"/>
          <w:sz w:val="24"/>
          <w:szCs w:val="24"/>
          <w:lang w:eastAsia="hr-HR"/>
        </w:rPr>
        <w:t>riječima:</w:t>
      </w:r>
      <w:r w:rsidR="00653B9E" w:rsidRPr="000479E9">
        <w:rPr>
          <w:rFonts w:ascii="Times New Roman" w:eastAsia="Times New Roman" w:hAnsi="Times New Roman" w:cs="Times New Roman"/>
          <w:sz w:val="24"/>
          <w:szCs w:val="24"/>
          <w:lang w:eastAsia="hr-HR"/>
        </w:rPr>
        <w:t xml:space="preserve"> „5.000,00 ni veća od 50.000,00</w:t>
      </w:r>
      <w:r w:rsidR="005D50EE">
        <w:rPr>
          <w:rFonts w:ascii="Times New Roman" w:eastAsia="Times New Roman" w:hAnsi="Times New Roman" w:cs="Times New Roman"/>
          <w:sz w:val="24"/>
          <w:szCs w:val="24"/>
          <w:lang w:eastAsia="hr-HR"/>
        </w:rPr>
        <w:t xml:space="preserve"> eura</w:t>
      </w:r>
      <w:r w:rsidR="00653B9E" w:rsidRPr="000479E9">
        <w:rPr>
          <w:rFonts w:ascii="Times New Roman" w:eastAsia="Times New Roman" w:hAnsi="Times New Roman" w:cs="Times New Roman"/>
          <w:sz w:val="24"/>
          <w:szCs w:val="24"/>
          <w:lang w:eastAsia="hr-HR"/>
        </w:rPr>
        <w:t>“.</w:t>
      </w:r>
    </w:p>
    <w:p w14:paraId="6051C282" w14:textId="77777777" w:rsidR="004E2767" w:rsidRPr="000479E9" w:rsidRDefault="004E2767" w:rsidP="00483C20">
      <w:pPr>
        <w:spacing w:after="0" w:line="240" w:lineRule="auto"/>
        <w:jc w:val="both"/>
        <w:rPr>
          <w:rFonts w:ascii="Times New Roman" w:eastAsia="Times New Roman" w:hAnsi="Times New Roman" w:cs="Times New Roman"/>
          <w:sz w:val="24"/>
          <w:szCs w:val="24"/>
          <w:lang w:eastAsia="hr-HR"/>
        </w:rPr>
      </w:pPr>
    </w:p>
    <w:p w14:paraId="7945EBC8" w14:textId="77777777" w:rsidR="007374AE" w:rsidRPr="000479E9" w:rsidRDefault="007374AE" w:rsidP="007374A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Stavak 2. briše se.</w:t>
      </w:r>
    </w:p>
    <w:p w14:paraId="0A733F5C" w14:textId="77777777" w:rsidR="007374AE" w:rsidRPr="000479E9" w:rsidRDefault="007374AE" w:rsidP="007374AE">
      <w:pPr>
        <w:spacing w:after="0" w:line="240" w:lineRule="auto"/>
        <w:jc w:val="both"/>
        <w:rPr>
          <w:rFonts w:ascii="Times New Roman" w:eastAsia="Times New Roman" w:hAnsi="Times New Roman" w:cs="Times New Roman"/>
          <w:sz w:val="24"/>
          <w:szCs w:val="24"/>
          <w:lang w:eastAsia="hr-HR"/>
        </w:rPr>
      </w:pPr>
    </w:p>
    <w:p w14:paraId="02526EE3" w14:textId="0A079C38" w:rsidR="007374AE" w:rsidRPr="000479E9" w:rsidRDefault="007374AE" w:rsidP="007374A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3. koji postaje stavak 2. riječi: „iz stavaka 1. i 2.“ zamjenjuju se riječima: „iz stavka 1.“.</w:t>
      </w:r>
    </w:p>
    <w:p w14:paraId="2F74B25D" w14:textId="77777777" w:rsidR="007374AE" w:rsidRPr="000479E9" w:rsidRDefault="007374AE" w:rsidP="007374AE">
      <w:pPr>
        <w:spacing w:after="0" w:line="240" w:lineRule="auto"/>
        <w:jc w:val="both"/>
        <w:rPr>
          <w:rFonts w:ascii="Times New Roman" w:eastAsia="Times New Roman" w:hAnsi="Times New Roman" w:cs="Times New Roman"/>
          <w:sz w:val="24"/>
          <w:szCs w:val="24"/>
          <w:lang w:eastAsia="hr-HR"/>
        </w:rPr>
      </w:pPr>
    </w:p>
    <w:p w14:paraId="2AEB6099" w14:textId="75344328" w:rsidR="007374AE" w:rsidRPr="000479E9" w:rsidRDefault="007374AE" w:rsidP="007374A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dosadašnjem stavku 4. koji postaje stavak 3. riječi: „6630,00 do 1.327.220,00“ zamjenjuju se riječima: „3.000,00 do 20.000,00“.</w:t>
      </w:r>
    </w:p>
    <w:p w14:paraId="52394B19" w14:textId="77777777" w:rsidR="007374AE" w:rsidRPr="000479E9" w:rsidRDefault="007374AE" w:rsidP="00483C20">
      <w:pPr>
        <w:spacing w:after="0" w:line="240" w:lineRule="auto"/>
        <w:jc w:val="both"/>
        <w:rPr>
          <w:rFonts w:ascii="Times New Roman" w:eastAsia="Times New Roman" w:hAnsi="Times New Roman" w:cs="Times New Roman"/>
          <w:sz w:val="24"/>
          <w:szCs w:val="24"/>
          <w:lang w:eastAsia="hr-HR"/>
        </w:rPr>
      </w:pPr>
    </w:p>
    <w:p w14:paraId="4270AB4B" w14:textId="71014E9D" w:rsidR="00CA45DE" w:rsidRPr="000479E9" w:rsidRDefault="00CA45DE" w:rsidP="00483C2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w:t>
      </w:r>
      <w:r w:rsidR="004977B1" w:rsidRPr="000479E9">
        <w:rPr>
          <w:rFonts w:ascii="Times New Roman" w:eastAsia="Times New Roman" w:hAnsi="Times New Roman" w:cs="Times New Roman"/>
          <w:sz w:val="24"/>
          <w:szCs w:val="24"/>
          <w:lang w:eastAsia="hr-HR"/>
        </w:rPr>
        <w:t xml:space="preserve"> </w:t>
      </w:r>
      <w:r w:rsidR="007374AE" w:rsidRPr="000479E9">
        <w:rPr>
          <w:rFonts w:ascii="Times New Roman" w:eastAsia="Times New Roman" w:hAnsi="Times New Roman" w:cs="Times New Roman"/>
          <w:sz w:val="24"/>
          <w:szCs w:val="24"/>
          <w:lang w:eastAsia="hr-HR"/>
        </w:rPr>
        <w:t>dosadašnjem</w:t>
      </w:r>
      <w:r w:rsidRPr="000479E9">
        <w:rPr>
          <w:rFonts w:ascii="Times New Roman" w:eastAsia="Times New Roman" w:hAnsi="Times New Roman" w:cs="Times New Roman"/>
          <w:sz w:val="24"/>
          <w:szCs w:val="24"/>
          <w:lang w:eastAsia="hr-HR"/>
        </w:rPr>
        <w:t xml:space="preserve"> stavku 5. </w:t>
      </w:r>
      <w:r w:rsidR="007374AE" w:rsidRPr="000479E9">
        <w:rPr>
          <w:rFonts w:ascii="Times New Roman" w:eastAsia="Times New Roman" w:hAnsi="Times New Roman" w:cs="Times New Roman"/>
          <w:sz w:val="24"/>
          <w:szCs w:val="24"/>
          <w:lang w:eastAsia="hr-HR"/>
        </w:rPr>
        <w:t xml:space="preserve">koji postaje stavak 4. </w:t>
      </w:r>
      <w:r w:rsidRPr="000479E9">
        <w:rPr>
          <w:rFonts w:ascii="Times New Roman" w:eastAsia="Times New Roman" w:hAnsi="Times New Roman" w:cs="Times New Roman"/>
          <w:sz w:val="24"/>
          <w:szCs w:val="24"/>
          <w:lang w:eastAsia="hr-HR"/>
        </w:rPr>
        <w:t>riječi: „6630,00 do 1.327.220,00“ zamjenjuju se riječima: „</w:t>
      </w:r>
      <w:r w:rsidR="00653B9E" w:rsidRPr="000479E9">
        <w:rPr>
          <w:rFonts w:ascii="Times New Roman" w:eastAsia="Times New Roman" w:hAnsi="Times New Roman" w:cs="Times New Roman"/>
          <w:sz w:val="24"/>
          <w:szCs w:val="24"/>
          <w:lang w:eastAsia="hr-HR"/>
        </w:rPr>
        <w:t>3</w:t>
      </w:r>
      <w:r w:rsidRPr="000479E9">
        <w:rPr>
          <w:rFonts w:ascii="Times New Roman" w:eastAsia="Times New Roman" w:hAnsi="Times New Roman" w:cs="Times New Roman"/>
          <w:sz w:val="24"/>
          <w:szCs w:val="24"/>
          <w:lang w:eastAsia="hr-HR"/>
        </w:rPr>
        <w:t xml:space="preserve">.000,00 do </w:t>
      </w:r>
      <w:r w:rsidR="00653B9E"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0.000,00“.</w:t>
      </w:r>
    </w:p>
    <w:p w14:paraId="7550CB1F" w14:textId="77683F00" w:rsidR="00CA45DE" w:rsidRPr="000479E9" w:rsidRDefault="00CA45DE" w:rsidP="00483C20">
      <w:pPr>
        <w:spacing w:after="0" w:line="240" w:lineRule="auto"/>
        <w:rPr>
          <w:rFonts w:ascii="Times New Roman" w:eastAsia="Times New Roman" w:hAnsi="Times New Roman" w:cs="Times New Roman"/>
          <w:sz w:val="24"/>
          <w:szCs w:val="24"/>
          <w:lang w:eastAsia="hr-HR"/>
        </w:rPr>
      </w:pPr>
    </w:p>
    <w:p w14:paraId="167A765D" w14:textId="5A31CB41" w:rsidR="00653B9E" w:rsidRPr="000479E9" w:rsidRDefault="00653B9E"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10</w:t>
      </w:r>
      <w:r w:rsidR="00F84BAF">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 xml:space="preserve">. </w:t>
      </w:r>
    </w:p>
    <w:p w14:paraId="265220B4" w14:textId="77777777" w:rsidR="00653B9E" w:rsidRPr="000479E9" w:rsidRDefault="00653B9E" w:rsidP="00617A00">
      <w:pPr>
        <w:spacing w:after="0" w:line="240" w:lineRule="auto"/>
        <w:jc w:val="center"/>
        <w:rPr>
          <w:rFonts w:ascii="Times New Roman" w:eastAsia="Times New Roman" w:hAnsi="Times New Roman" w:cs="Times New Roman"/>
          <w:b/>
          <w:bCs/>
          <w:sz w:val="24"/>
          <w:szCs w:val="24"/>
          <w:lang w:eastAsia="hr-HR"/>
        </w:rPr>
      </w:pPr>
    </w:p>
    <w:p w14:paraId="3422AB2D" w14:textId="312FB749" w:rsidR="00653B9E" w:rsidRPr="000479E9" w:rsidRDefault="00653B9E" w:rsidP="00653B9E">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 iznad članka 713. mijenja se i glasi: „Teži prekršaji u svezi sa zlouporabom tržišta“.</w:t>
      </w:r>
    </w:p>
    <w:p w14:paraId="66189ACA" w14:textId="77777777" w:rsidR="001E615F" w:rsidRPr="000479E9" w:rsidRDefault="001E615F" w:rsidP="000479E9">
      <w:pPr>
        <w:spacing w:after="0" w:line="240" w:lineRule="auto"/>
        <w:rPr>
          <w:rFonts w:ascii="Times New Roman" w:eastAsia="Times New Roman" w:hAnsi="Times New Roman" w:cs="Times New Roman"/>
          <w:b/>
          <w:bCs/>
          <w:sz w:val="24"/>
          <w:szCs w:val="24"/>
          <w:lang w:eastAsia="hr-HR"/>
        </w:rPr>
      </w:pPr>
    </w:p>
    <w:p w14:paraId="58F71CAF" w14:textId="79810A21" w:rsidR="001E615F" w:rsidRPr="000479E9" w:rsidRDefault="00CA45DE"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w:t>
      </w:r>
      <w:r w:rsidR="001E615F" w:rsidRPr="000479E9">
        <w:rPr>
          <w:rFonts w:ascii="Times New Roman" w:eastAsia="Times New Roman" w:hAnsi="Times New Roman" w:cs="Times New Roman"/>
          <w:sz w:val="24"/>
          <w:szCs w:val="24"/>
          <w:lang w:eastAsia="hr-HR"/>
        </w:rPr>
        <w:t>lan</w:t>
      </w:r>
      <w:r w:rsidRPr="000479E9">
        <w:rPr>
          <w:rFonts w:ascii="Times New Roman" w:eastAsia="Times New Roman" w:hAnsi="Times New Roman" w:cs="Times New Roman"/>
          <w:sz w:val="24"/>
          <w:szCs w:val="24"/>
          <w:lang w:eastAsia="hr-HR"/>
        </w:rPr>
        <w:t>ak</w:t>
      </w:r>
      <w:r w:rsidR="001E615F" w:rsidRPr="000479E9">
        <w:rPr>
          <w:rFonts w:ascii="Times New Roman" w:eastAsia="Times New Roman" w:hAnsi="Times New Roman" w:cs="Times New Roman"/>
          <w:sz w:val="24"/>
          <w:szCs w:val="24"/>
          <w:lang w:eastAsia="hr-HR"/>
        </w:rPr>
        <w:t xml:space="preserve"> 713. </w:t>
      </w:r>
      <w:r w:rsidRPr="000479E9">
        <w:rPr>
          <w:rFonts w:ascii="Times New Roman" w:eastAsia="Times New Roman" w:hAnsi="Times New Roman" w:cs="Times New Roman"/>
          <w:sz w:val="24"/>
          <w:szCs w:val="24"/>
          <w:lang w:eastAsia="hr-HR"/>
        </w:rPr>
        <w:t>mijenja se i glasi:</w:t>
      </w:r>
    </w:p>
    <w:p w14:paraId="7D1AF7C2" w14:textId="55E203C9"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 xml:space="preserve">„(1) Za </w:t>
      </w:r>
      <w:r w:rsidR="00345565" w:rsidRPr="000479E9">
        <w:rPr>
          <w:rFonts w:ascii="Times New Roman" w:eastAsia="Times New Roman" w:hAnsi="Times New Roman"/>
          <w:sz w:val="24"/>
          <w:szCs w:val="24"/>
          <w:lang w:eastAsia="hr-HR"/>
        </w:rPr>
        <w:t xml:space="preserve">teži </w:t>
      </w:r>
      <w:r w:rsidRPr="000479E9">
        <w:rPr>
          <w:rFonts w:ascii="Times New Roman" w:eastAsia="Times New Roman" w:hAnsi="Times New Roman"/>
          <w:sz w:val="24"/>
          <w:szCs w:val="24"/>
          <w:lang w:eastAsia="hr-HR"/>
        </w:rPr>
        <w:t>prekršaj iz stavka 3. ovoga članka kaznit će se pravna osoba novčanom kaznom u iznosu koji je višekratnik broja 1000, a koja ne može biti manja od 20.000,00 eura ni veća od 5% ukupnog prihoda koji je ostvarila u godini kada je počinjen prekršaj, utvrđenog službenim financijskim izvještajima za tu godinu, a ako izvješća za tu godinu nema, uzet će se posljednje dostupno službeno godišnje izvješće.</w:t>
      </w:r>
    </w:p>
    <w:p w14:paraId="21D672A7" w14:textId="5ECAF038"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Prekršaj iz stavka 1. ovoga članka smatra se težim ako je ispunjen jedan ili više sljedećih </w:t>
      </w:r>
      <w:r w:rsidR="00345565" w:rsidRPr="000479E9">
        <w:rPr>
          <w:rFonts w:ascii="Times New Roman" w:eastAsia="Times New Roman" w:hAnsi="Times New Roman"/>
          <w:sz w:val="24"/>
          <w:szCs w:val="24"/>
          <w:lang w:eastAsia="hr-HR"/>
        </w:rPr>
        <w:t xml:space="preserve">primjenjivih </w:t>
      </w:r>
      <w:r w:rsidRPr="000479E9">
        <w:rPr>
          <w:rFonts w:ascii="Times New Roman" w:eastAsia="Times New Roman" w:hAnsi="Times New Roman"/>
          <w:sz w:val="24"/>
          <w:szCs w:val="24"/>
          <w:lang w:eastAsia="hr-HR"/>
        </w:rPr>
        <w:t>uvjeta</w:t>
      </w:r>
      <w:r w:rsidR="009B1093" w:rsidRPr="000479E9">
        <w:rPr>
          <w:rFonts w:ascii="Times New Roman" w:eastAsia="Times New Roman" w:hAnsi="Times New Roman"/>
          <w:sz w:val="24"/>
          <w:szCs w:val="24"/>
          <w:lang w:eastAsia="hr-HR"/>
        </w:rPr>
        <w:t>,</w:t>
      </w:r>
      <w:r w:rsidR="00345565" w:rsidRPr="000479E9">
        <w:rPr>
          <w:rFonts w:ascii="Times New Roman" w:eastAsia="Times New Roman" w:hAnsi="Times New Roman"/>
          <w:sz w:val="24"/>
          <w:szCs w:val="24"/>
          <w:lang w:eastAsia="hr-HR"/>
        </w:rPr>
        <w:t xml:space="preserve"> pri čemu se okolnost koja već predstavlja obilježje prekršaja iz stavka 3. ovoga članka ne uzima sama po sebi kao osnova za utvrđenje ispunjenja nekog od ovih uvjeta</w:t>
      </w:r>
      <w:r w:rsidRPr="000479E9">
        <w:rPr>
          <w:rFonts w:ascii="Times New Roman" w:eastAsia="Times New Roman" w:hAnsi="Times New Roman"/>
          <w:sz w:val="24"/>
          <w:szCs w:val="24"/>
          <w:lang w:eastAsia="hr-HR"/>
        </w:rPr>
        <w:t xml:space="preserve">: </w:t>
      </w:r>
    </w:p>
    <w:p w14:paraId="2DF1B8EA" w14:textId="77777777"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opetovano ili sustavno, pri čemu se sustavnim smatra postupanje koje proizlazi iz uspostavljenih poslovnih praksi, organizacijskih nedostataka ili svjesnog obrasca postupanja</w:t>
      </w:r>
    </w:p>
    <w:p w14:paraId="2D4FB55C" w14:textId="77777777"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tijekom duljeg razdoblja, pri čemu se trajanje procjenjuje uzimajući u obzir prirodu, učestalost i okolnosti konkretnog kršenja</w:t>
      </w:r>
    </w:p>
    <w:p w14:paraId="65ED67C8" w14:textId="77777777"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značajne štete za klijente ili ulagatelje ili je stvorio konkretnu i neposrednu opasnost od nastanka takve štete</w:t>
      </w:r>
    </w:p>
    <w:p w14:paraId="5FB349EF" w14:textId="77777777"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ugrožavanja urednog funkcioniranja tržišta ili narušavanja integriteta tržišta, ili je stvorio konkretnu i neposrednu opasnost od nastanka takvog događaja</w:t>
      </w:r>
    </w:p>
    <w:p w14:paraId="7C282D56" w14:textId="77777777"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03E1A8D2" w14:textId="11146037"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onemogućio</w:t>
      </w:r>
      <w:r w:rsidR="00B01B0B" w:rsidRPr="000479E9">
        <w:rPr>
          <w:rFonts w:ascii="Times New Roman" w:eastAsia="Times New Roman" w:hAnsi="Times New Roman"/>
          <w:sz w:val="24"/>
          <w:szCs w:val="24"/>
          <w:lang w:eastAsia="hr-HR"/>
        </w:rPr>
        <w:t xml:space="preserve"> je</w:t>
      </w:r>
      <w:r w:rsidRPr="000479E9">
        <w:rPr>
          <w:rFonts w:ascii="Times New Roman" w:eastAsia="Times New Roman" w:hAnsi="Times New Roman"/>
          <w:sz w:val="24"/>
          <w:szCs w:val="24"/>
          <w:lang w:eastAsia="hr-HR"/>
        </w:rPr>
        <w:t xml:space="preserve"> ili znatno otežao nadzor Agencije</w:t>
      </w:r>
    </w:p>
    <w:p w14:paraId="03162382" w14:textId="46C1CDB4"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povezan </w:t>
      </w:r>
      <w:r w:rsidR="00B01B0B"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s</w:t>
      </w:r>
      <w:r w:rsidR="00B01B0B"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 xml:space="preserve"> zlouporabom povjerljivih informacija ili imovine klijenata</w:t>
      </w:r>
    </w:p>
    <w:p w14:paraId="035CF3F1" w14:textId="384571FB" w:rsidR="00521F3E" w:rsidRPr="000479E9" w:rsidRDefault="00521F3E" w:rsidP="00521F3E">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doveo </w:t>
      </w:r>
      <w:r w:rsidR="00B01B0B"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do neurednih uvjeta trgovanja ili poremećaja na tržištu ili je stvorio konkretnu i neposrednu opasnost od nastanka takvog događaja.</w:t>
      </w:r>
    </w:p>
    <w:p w14:paraId="64354BFD"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teži prekršaj iz stavka 2. ovoga članka kaznit će se pravna osoba:</w:t>
      </w:r>
    </w:p>
    <w:p w14:paraId="6BB1236A"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ako kao tržišni operater i/ili investicijsko društvo ne propiše i/ili ne primjenjuje i/ili ne održava učinkovite mjere, sustave i postupke kojima je cilj spriječiti i otkriti trgovanje na temelju povlaštenih informacija, manipuliranje tržištem i pokušaje trgovanja na temelju povlaštenih informacija i manipuliranja tržištem, suprotno odredbama članka 16. stavka 1. podstavka 1. Uredbe (EU) br. 596/2014</w:t>
      </w:r>
    </w:p>
    <w:p w14:paraId="05A8990A"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ako kao tržišni operater i/ili investicijsko društvo bez odgode ne prijavi Agenciji informacije iz članka 16. stavka 1. podstavka 2. Uredbe (EU) br. 596/2014</w:t>
      </w:r>
    </w:p>
    <w:p w14:paraId="3003CE1B"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ako kao osoba koja u okviru svojega poslovanja dogovara ili izvršava transakcije ne uspostavi i/ili ne održava učinkovite mjere, sustave i postupke za otkrivanje i prijavljivanje sumnjivih naloga i transakcija, suprotno odredbama članka 16. stavka 2. Uredbe (EU) br. 596/2014</w:t>
      </w:r>
    </w:p>
    <w:p w14:paraId="1D06A180"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4. ako kao osoba koja u okviru svojega poslovanja dogovara ili izvršava transakcije ne obavijesti Agenciju o slučajevima za koje opravdano sumnja da se radi o zlouporabi tržišta, suprotno odredbama članka 16. stavka 2. Uredbe (EU) br. 596/2014</w:t>
      </w:r>
    </w:p>
    <w:p w14:paraId="226E6E1D"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 ako kao izdavatelj, na propisani način i pod propisanim uvjetima ne obavijesti javnost o povlaštenim informacijama koje se izravno odnose na njega, suprotno odredbama članka 17. stavka 1. Uredbe (EU) br. 596/2014</w:t>
      </w:r>
    </w:p>
    <w:p w14:paraId="0183145F"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6. ako kao sudionik na tržištu emisijskih jedinica, na propisani način i pod propisanim uvjetima ne objavljuje povlaštene informacije, suprotno odredbama članka 17. stavka 2. Uredbe (EU) br. 596/2014</w:t>
      </w:r>
    </w:p>
    <w:p w14:paraId="1CB13F14"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7. ako kao izdavatelj ili sudionik na tržištu emisijskih jedinica, odgodi objavljivanje povlaštene informacije suprotno uvjetima iz članka 17. stavka 4. Uredbe (EU) br. 596/2014</w:t>
      </w:r>
    </w:p>
    <w:p w14:paraId="56CDAF71"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8. ako kao kreditna institucija ili financijska institucija, odgodi objavljivanje povlaštene informacije suprotno odredbama članka 17. stavka 5. Uredbe (EU) br. 596/2014</w:t>
      </w:r>
    </w:p>
    <w:p w14:paraId="2BD06AD7" w14:textId="77777777"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9. ako kao izdavatelj ili sudionik na tržištu emisijskih jedinica ili osoba koja djeluje u njihovo ime ili za njihov račun ne objavi povlaštene informacije u slučajevima namjernog ili nenamjernog objavljivanja u slučaju objave trećoj osobi, suprotno odredbama članka 17. stavka 8. Uredbe (EU) br. 596/2014.</w:t>
      </w:r>
    </w:p>
    <w:p w14:paraId="759F81BC" w14:textId="4E593104"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(4) Novčanom kaznom u iznosu od </w:t>
      </w:r>
      <w:r w:rsidR="00653B9E" w:rsidRPr="000479E9">
        <w:rPr>
          <w:rFonts w:ascii="Times New Roman" w:eastAsia="Times New Roman" w:hAnsi="Times New Roman"/>
          <w:sz w:val="24"/>
          <w:szCs w:val="24"/>
          <w:lang w:eastAsia="hr-HR"/>
        </w:rPr>
        <w:t>10</w:t>
      </w:r>
      <w:r w:rsidRPr="000479E9">
        <w:rPr>
          <w:rFonts w:ascii="Times New Roman" w:eastAsia="Times New Roman" w:hAnsi="Times New Roman"/>
          <w:sz w:val="24"/>
          <w:szCs w:val="24"/>
          <w:lang w:eastAsia="hr-HR"/>
        </w:rPr>
        <w:t xml:space="preserve">.000,00 do </w:t>
      </w:r>
      <w:r w:rsidR="00653B9E" w:rsidRPr="000479E9">
        <w:rPr>
          <w:rFonts w:ascii="Times New Roman" w:eastAsia="Times New Roman" w:hAnsi="Times New Roman"/>
          <w:sz w:val="24"/>
          <w:szCs w:val="24"/>
          <w:lang w:eastAsia="hr-HR"/>
        </w:rPr>
        <w:t>70</w:t>
      </w:r>
      <w:r w:rsidRPr="000479E9">
        <w:rPr>
          <w:rFonts w:ascii="Times New Roman" w:eastAsia="Times New Roman" w:hAnsi="Times New Roman"/>
          <w:sz w:val="24"/>
          <w:szCs w:val="24"/>
          <w:lang w:eastAsia="hr-HR"/>
        </w:rPr>
        <w:t>.000,00 eura kaznit će se za prekršaj iz stavka 1. ovoga članka i odgovorna osoba pravne osobe.</w:t>
      </w:r>
    </w:p>
    <w:p w14:paraId="6F10DC86" w14:textId="01737C75" w:rsidR="00CA45DE" w:rsidRPr="000479E9" w:rsidRDefault="00CA45DE" w:rsidP="00CA45DE">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653B9E"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Kada je pravna osoba iz stavka 1. ovoga članka ostvarila korist ili spriječila gubitak, a iznos tako ostvarene koristi ili spriječenog gubitka moguće je utvrditi, pravna osoba iz stavka 1. ovoga članka kaznit će se za prekršaj iz stavka 3. ovoga članka novčanom kaznom u iznosu do visine trostruko utvrđenog iznosa tako ostvarene koristi odnosno tako spriječenog gubitka, ako je taj iznos veći od propisanog maksimalnog iznosa iz stavka 1. ovoga članka.“</w:t>
      </w:r>
      <w:r w:rsidR="00D22C6B" w:rsidRPr="000479E9">
        <w:rPr>
          <w:rFonts w:ascii="Times New Roman" w:eastAsia="Times New Roman" w:hAnsi="Times New Roman"/>
          <w:sz w:val="24"/>
          <w:szCs w:val="24"/>
          <w:lang w:eastAsia="hr-HR"/>
        </w:rPr>
        <w:t>.</w:t>
      </w:r>
    </w:p>
    <w:p w14:paraId="5207B5F7" w14:textId="77777777" w:rsidR="00CA45DE" w:rsidRPr="000479E9" w:rsidRDefault="00CA45DE" w:rsidP="00617A00">
      <w:pPr>
        <w:spacing w:after="0" w:line="240" w:lineRule="auto"/>
        <w:jc w:val="both"/>
        <w:rPr>
          <w:rFonts w:ascii="Times New Roman" w:eastAsia="Times New Roman" w:hAnsi="Times New Roman" w:cs="Times New Roman"/>
          <w:sz w:val="24"/>
          <w:szCs w:val="24"/>
          <w:lang w:eastAsia="hr-HR"/>
        </w:rPr>
      </w:pPr>
    </w:p>
    <w:p w14:paraId="1B145598" w14:textId="77777777"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66C0FE7F" w14:textId="434F5DF2" w:rsidR="00CA45DE" w:rsidRPr="000479E9" w:rsidRDefault="00CA45DE" w:rsidP="00CA45DE">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CE4A8D" w:rsidRPr="000479E9">
        <w:rPr>
          <w:rFonts w:ascii="Times New Roman" w:eastAsia="Times New Roman" w:hAnsi="Times New Roman" w:cs="Times New Roman"/>
          <w:b/>
          <w:bCs/>
          <w:sz w:val="24"/>
          <w:szCs w:val="24"/>
          <w:lang w:eastAsia="hr-HR"/>
        </w:rPr>
        <w:t>1</w:t>
      </w:r>
      <w:r w:rsidR="00F84BAF">
        <w:rPr>
          <w:rFonts w:ascii="Times New Roman" w:eastAsia="Times New Roman" w:hAnsi="Times New Roman" w:cs="Times New Roman"/>
          <w:b/>
          <w:bCs/>
          <w:sz w:val="24"/>
          <w:szCs w:val="24"/>
          <w:lang w:eastAsia="hr-HR"/>
        </w:rPr>
        <w:t>09</w:t>
      </w:r>
      <w:r w:rsidRPr="000479E9">
        <w:rPr>
          <w:rFonts w:ascii="Times New Roman" w:eastAsia="Times New Roman" w:hAnsi="Times New Roman" w:cs="Times New Roman"/>
          <w:b/>
          <w:bCs/>
          <w:sz w:val="24"/>
          <w:szCs w:val="24"/>
          <w:lang w:eastAsia="hr-HR"/>
        </w:rPr>
        <w:t>.</w:t>
      </w:r>
    </w:p>
    <w:p w14:paraId="214BDB44" w14:textId="77777777" w:rsidR="00CA45DE" w:rsidRPr="000479E9" w:rsidRDefault="00CA45DE" w:rsidP="00C941FD">
      <w:pPr>
        <w:spacing w:after="0" w:line="240" w:lineRule="auto"/>
        <w:rPr>
          <w:rFonts w:ascii="Times New Roman" w:eastAsia="Times New Roman" w:hAnsi="Times New Roman" w:cs="Times New Roman"/>
          <w:b/>
          <w:bCs/>
          <w:sz w:val="24"/>
          <w:szCs w:val="24"/>
          <w:lang w:eastAsia="hr-HR"/>
        </w:rPr>
      </w:pPr>
    </w:p>
    <w:p w14:paraId="786F449F" w14:textId="5E9FF196" w:rsidR="00C941FD" w:rsidRPr="000479E9" w:rsidRDefault="00C941FD" w:rsidP="00C941FD">
      <w:pPr>
        <w:spacing w:after="0" w:line="240" w:lineRule="auto"/>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Iza članka 713. dodaju se naslov iznad članka i članak 713.a koji glase:</w:t>
      </w:r>
    </w:p>
    <w:p w14:paraId="51EA726B" w14:textId="77777777" w:rsidR="00C941FD" w:rsidRPr="000479E9" w:rsidRDefault="00C941FD" w:rsidP="00C941FD">
      <w:pPr>
        <w:spacing w:after="0" w:line="240" w:lineRule="auto"/>
        <w:rPr>
          <w:rFonts w:ascii="Times New Roman" w:eastAsia="Times New Roman" w:hAnsi="Times New Roman" w:cs="Times New Roman"/>
          <w:sz w:val="24"/>
          <w:szCs w:val="24"/>
          <w:lang w:eastAsia="hr-HR"/>
        </w:rPr>
      </w:pPr>
    </w:p>
    <w:p w14:paraId="3A8853E8" w14:textId="77777777" w:rsidR="00C941FD" w:rsidRPr="000479E9" w:rsidRDefault="00C941FD" w:rsidP="00C941FD">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„Ostali lakši prekršaji u svezi sa zlouporabom tržišta </w:t>
      </w:r>
    </w:p>
    <w:p w14:paraId="1B07B41D" w14:textId="666E7B76" w:rsidR="00C941FD" w:rsidRPr="000479E9" w:rsidRDefault="00C941FD" w:rsidP="00C941FD">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Članak 713.a</w:t>
      </w:r>
    </w:p>
    <w:p w14:paraId="1195854B" w14:textId="77777777" w:rsidR="00C941FD" w:rsidRPr="000479E9" w:rsidRDefault="00C941FD" w:rsidP="00C941FD">
      <w:pPr>
        <w:spacing w:beforeLines="30" w:before="72" w:afterLines="30" w:after="72" w:line="240" w:lineRule="auto"/>
        <w:jc w:val="center"/>
        <w:textAlignment w:val="baseline"/>
        <w:rPr>
          <w:rFonts w:ascii="Times New Roman" w:eastAsia="Times New Roman" w:hAnsi="Times New Roman"/>
          <w:iCs/>
          <w:sz w:val="24"/>
          <w:szCs w:val="24"/>
          <w:lang w:eastAsia="hr-HR"/>
        </w:rPr>
      </w:pPr>
    </w:p>
    <w:p w14:paraId="30275009" w14:textId="55841B2B"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 Za prekršaj kod kojeg nije ispunjen jedan ili više uvjeta iz članka 713. stavka 2. ovoga Zakona, kaznit će se pravna osoba novčanom kaznom u iznosu od </w:t>
      </w:r>
      <w:r w:rsidRPr="000479E9">
        <w:rPr>
          <w:rFonts w:ascii="Times New Roman" w:eastAsia="Times New Roman" w:hAnsi="Times New Roman"/>
          <w:bCs/>
          <w:iCs/>
          <w:sz w:val="24"/>
          <w:szCs w:val="24"/>
          <w:lang w:eastAsia="hr-HR"/>
        </w:rPr>
        <w:t>2.000</w:t>
      </w:r>
      <w:r w:rsidR="00653B9E" w:rsidRPr="000479E9">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do 50.000</w:t>
      </w:r>
      <w:r w:rsidR="00653B9E" w:rsidRPr="000479E9">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eura</w:t>
      </w:r>
      <w:r w:rsidRPr="000479E9">
        <w:rPr>
          <w:rFonts w:ascii="Times New Roman" w:eastAsia="Times New Roman" w:hAnsi="Times New Roman"/>
          <w:iCs/>
          <w:sz w:val="24"/>
          <w:szCs w:val="24"/>
          <w:lang w:eastAsia="hr-HR"/>
        </w:rPr>
        <w:t>: </w:t>
      </w:r>
    </w:p>
    <w:p w14:paraId="6F362F2D"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 ako kao tržišni operater i/ili investicijsko društvo ne propiše i/ili ne primjenjuje i/ili ne održava učinkovite mjere, sustave i postupke kojima je cilj spriječiti i otkriti trgovanje na temelju povlaštenih informacija, manipuliranje tržištem i pokušaje trgovanja </w:t>
      </w:r>
      <w:r w:rsidRPr="000479E9">
        <w:rPr>
          <w:rFonts w:ascii="Times New Roman" w:eastAsia="Times New Roman" w:hAnsi="Times New Roman"/>
          <w:iCs/>
          <w:sz w:val="24"/>
          <w:szCs w:val="24"/>
          <w:lang w:eastAsia="hr-HR"/>
        </w:rPr>
        <w:lastRenderedPageBreak/>
        <w:t>na temelju povlaštenih informacija i manipuliranja tržištem, suprotno odredbama članka 16. stavka 1. podstavka 1. Uredbe (EU) br. 596/2014 </w:t>
      </w:r>
    </w:p>
    <w:p w14:paraId="0CBCBD3F"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2. ako kao tržišni operater i/ili investicijsko društvo bez odgode ne prijavi Agenciji informacije iz članka 16. stavka 1. podstavka 2. Uredbe (EU) br. 596/2014 </w:t>
      </w:r>
    </w:p>
    <w:p w14:paraId="3FB4E2F1"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3. ako kao osoba koja u okviru svojega poslovanja dogovara ili izvršava transakcije ne uspostavi i/ili ne održava učinkovite mjere, sustave i postupke za otkrivanje i prijavljivanje sumnjivih naloga i transakcija, suprotno odredbama članka 16. stavka 2. Uredbe (EU) br. 596/2014 </w:t>
      </w:r>
    </w:p>
    <w:p w14:paraId="19731537"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4. ako kao osoba koja u okviru svojega poslovanja dogovara ili izvršava transakcije ne obavijesti Agenciju o slučajevima za koje opravdano sumnja da se radi o zlouporabi tržišta, suprotno odredbama članka 16. stavka 2. Uredbe (EU) br. 596/2014 </w:t>
      </w:r>
    </w:p>
    <w:p w14:paraId="6F019467"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5. ako kao izdavatelj, na propisani način i pod propisanim uvjetima ne obavijesti javnost o povlaštenim informacijama koje se izravno odnose na njega, suprotno odredbama članka 17. stavka 1. Uredbe (EU) br. 596/2014 </w:t>
      </w:r>
    </w:p>
    <w:p w14:paraId="2AA720D1"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6. ako kao sudionik na tržištu emisijskih jedinica, na propisani način i pod propisanim uvjetima ne objavljuje povlaštene informacije, suprotno odredbama članka 17. stavka 2. Uredbe (EU) br. 596/2014 </w:t>
      </w:r>
    </w:p>
    <w:p w14:paraId="68A2ACE4"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7. ako kao izdavatelj ili sudionik na tržištu emisijskih jedinica, odgodi objavljivanje povlaštene informacije suprotno uvjetima iz članka 17. stavka 4. Uredbe (EU) br. 596/2014 </w:t>
      </w:r>
    </w:p>
    <w:p w14:paraId="43CFA528"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8. ako kao kreditna institucija ili financijska institucija, odgodi objavljivanje povlaštene informacije suprotno odredbama članka 17. stavka 5. Uredbe (EU) br. 596/2014 </w:t>
      </w:r>
    </w:p>
    <w:p w14:paraId="0FFFD2D1"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9. ako kao izdavatelj ili sudionik na tržištu emisijskih jedinica ili osoba koja djeluje u njihovo ime ili za njihov račun ne objavi povlaštene informacije u slučajevima namjernog ili nenamjernog objavljivanja u slučaju objave trećoj osobi, suprotno odredbama članka 17. stavka 8. Uredbe (EU) br. 596/2014. </w:t>
      </w:r>
    </w:p>
    <w:p w14:paraId="644742E3"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(2) Novčanom kaznom u iznosu od 1.320,00 do 10.000,00 eura kaznit će se za prekršaj iz stavka 1. ovoga članka i odgovorna osoba pravne osobe. </w:t>
      </w:r>
    </w:p>
    <w:p w14:paraId="1CDDE9B1" w14:textId="5628DEF3" w:rsidR="00C941FD" w:rsidRPr="000479E9" w:rsidRDefault="00C941FD" w:rsidP="00C941FD">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(3) Kada je pravna osoba iz stavka 1. ovoga članka ostvarila korist ili spriječila gubitak, a iznos tako ostvarene koristi ili spriječenog gubitka moguće je utvrditi, pravna osoba iz stavka 1. ovoga članka kaznit će se za prekršaj iz stavka 1. ovoga članka novčanom kaznom u iznosu do visine trostruko utvrđenog iznosa tako ostvarene koristi odnosno tako spriječenog gubitka, ako je taj iznos veći od propisanog maksimalnog iznosa iz stavka 1. ovoga članka.“</w:t>
      </w:r>
      <w:r w:rsidR="00D22C6B" w:rsidRPr="000479E9">
        <w:rPr>
          <w:rFonts w:ascii="Times New Roman" w:eastAsia="Times New Roman" w:hAnsi="Times New Roman"/>
          <w:iCs/>
          <w:sz w:val="24"/>
          <w:szCs w:val="24"/>
          <w:lang w:eastAsia="hr-HR"/>
        </w:rPr>
        <w:t>.</w:t>
      </w:r>
    </w:p>
    <w:p w14:paraId="47D16CA5" w14:textId="77777777" w:rsidR="00C941FD" w:rsidRPr="000479E9" w:rsidRDefault="00C941FD" w:rsidP="00483C20">
      <w:pPr>
        <w:spacing w:after="0" w:line="240" w:lineRule="auto"/>
        <w:jc w:val="both"/>
        <w:rPr>
          <w:rFonts w:ascii="Times New Roman" w:eastAsia="Times New Roman" w:hAnsi="Times New Roman" w:cs="Times New Roman"/>
          <w:sz w:val="24"/>
          <w:szCs w:val="24"/>
          <w:lang w:eastAsia="hr-HR"/>
        </w:rPr>
      </w:pPr>
    </w:p>
    <w:p w14:paraId="6CDA613D" w14:textId="77777777" w:rsidR="00C941FD" w:rsidRPr="000479E9" w:rsidRDefault="00C941FD" w:rsidP="00617A00">
      <w:pPr>
        <w:spacing w:after="0" w:line="240" w:lineRule="auto"/>
        <w:jc w:val="center"/>
        <w:rPr>
          <w:rFonts w:ascii="Times New Roman" w:eastAsia="Times New Roman" w:hAnsi="Times New Roman" w:cs="Times New Roman"/>
          <w:b/>
          <w:bCs/>
          <w:sz w:val="24"/>
          <w:szCs w:val="24"/>
          <w:lang w:eastAsia="hr-HR"/>
        </w:rPr>
      </w:pPr>
    </w:p>
    <w:p w14:paraId="762470E5" w14:textId="56D3E4E1"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CE4A8D" w:rsidRPr="000479E9">
        <w:rPr>
          <w:rFonts w:ascii="Times New Roman" w:eastAsia="Times New Roman" w:hAnsi="Times New Roman" w:cs="Times New Roman"/>
          <w:b/>
          <w:bCs/>
          <w:sz w:val="24"/>
          <w:szCs w:val="24"/>
          <w:lang w:eastAsia="hr-HR"/>
        </w:rPr>
        <w:t>11</w:t>
      </w:r>
      <w:r w:rsidR="00F84BAF">
        <w:rPr>
          <w:rFonts w:ascii="Times New Roman" w:eastAsia="Times New Roman" w:hAnsi="Times New Roman" w:cs="Times New Roman"/>
          <w:b/>
          <w:bCs/>
          <w:sz w:val="24"/>
          <w:szCs w:val="24"/>
          <w:lang w:eastAsia="hr-HR"/>
        </w:rPr>
        <w:t>0</w:t>
      </w:r>
      <w:r w:rsidRPr="000479E9">
        <w:rPr>
          <w:rFonts w:ascii="Times New Roman" w:eastAsia="Times New Roman" w:hAnsi="Times New Roman" w:cs="Times New Roman"/>
          <w:b/>
          <w:bCs/>
          <w:sz w:val="24"/>
          <w:szCs w:val="24"/>
          <w:lang w:eastAsia="hr-HR"/>
        </w:rPr>
        <w:t>.</w:t>
      </w:r>
    </w:p>
    <w:p w14:paraId="6F0C08BC" w14:textId="77777777"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66CDED05" w14:textId="050AC2D8" w:rsidR="007A4987" w:rsidRPr="000479E9" w:rsidRDefault="007A4987" w:rsidP="00617A00">
      <w:pPr>
        <w:spacing w:after="0" w:line="240" w:lineRule="auto"/>
        <w:jc w:val="both"/>
        <w:rPr>
          <w:rFonts w:ascii="Times New Roman" w:eastAsia="Times New Roman" w:hAnsi="Times New Roman" w:cs="Times New Roman"/>
          <w:sz w:val="24"/>
          <w:szCs w:val="24"/>
          <w:lang w:eastAsia="hr-HR"/>
        </w:rPr>
      </w:pPr>
    </w:p>
    <w:p w14:paraId="6D5D1B20" w14:textId="261BE8F0" w:rsidR="00C941FD" w:rsidRPr="000479E9" w:rsidRDefault="00C941FD" w:rsidP="000479E9">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cs="Times New Roman"/>
          <w:sz w:val="24"/>
          <w:szCs w:val="24"/>
          <w:lang w:eastAsia="hr-HR"/>
        </w:rPr>
        <w:t>Naslov iznad članka 714. mijenja se i glas</w:t>
      </w:r>
      <w:r w:rsidR="00CE4A8D" w:rsidRPr="000479E9">
        <w:rPr>
          <w:rFonts w:ascii="Times New Roman" w:eastAsia="Times New Roman" w:hAnsi="Times New Roman" w:cs="Times New Roman"/>
          <w:sz w:val="24"/>
          <w:szCs w:val="24"/>
          <w:lang w:eastAsia="hr-HR"/>
        </w:rPr>
        <w:t>i</w:t>
      </w:r>
      <w:r w:rsidRPr="000479E9">
        <w:rPr>
          <w:rFonts w:ascii="Times New Roman" w:eastAsia="Times New Roman" w:hAnsi="Times New Roman" w:cs="Times New Roman"/>
          <w:sz w:val="24"/>
          <w:szCs w:val="24"/>
          <w:lang w:eastAsia="hr-HR"/>
        </w:rPr>
        <w:t>:</w:t>
      </w:r>
      <w:r w:rsidR="00CE4A8D"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iCs/>
          <w:sz w:val="24"/>
          <w:szCs w:val="24"/>
          <w:lang w:eastAsia="hr-HR"/>
        </w:rPr>
        <w:t>„Drugi teži prekršaji u svezi sa zlouporabom tržišta</w:t>
      </w:r>
      <w:r w:rsidR="00CE4A8D" w:rsidRPr="000479E9">
        <w:rPr>
          <w:rFonts w:ascii="Times New Roman" w:eastAsia="Times New Roman" w:hAnsi="Times New Roman"/>
          <w:iCs/>
          <w:sz w:val="24"/>
          <w:szCs w:val="24"/>
          <w:lang w:eastAsia="hr-HR"/>
        </w:rPr>
        <w:t>“.</w:t>
      </w:r>
    </w:p>
    <w:p w14:paraId="6220A0D3" w14:textId="5AE1C330" w:rsidR="00CE4A8D" w:rsidRPr="000479E9" w:rsidRDefault="00CE4A8D" w:rsidP="000479E9">
      <w:pPr>
        <w:spacing w:beforeLines="30" w:before="72" w:afterLines="30" w:after="72" w:line="240" w:lineRule="auto"/>
        <w:jc w:val="both"/>
        <w:textAlignment w:val="baseline"/>
        <w:rPr>
          <w:rFonts w:ascii="Times New Roman" w:eastAsia="Times New Roman" w:hAnsi="Times New Roman"/>
          <w:iCs/>
          <w:sz w:val="24"/>
          <w:szCs w:val="24"/>
          <w:lang w:eastAsia="hr-HR"/>
        </w:rPr>
      </w:pPr>
    </w:p>
    <w:p w14:paraId="0A997718" w14:textId="17C41894" w:rsidR="00CE4A8D" w:rsidRPr="000479E9" w:rsidRDefault="00CE4A8D" w:rsidP="000479E9">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lastRenderedPageBreak/>
        <w:t>Članak 714. mijenja se i glasi:</w:t>
      </w:r>
    </w:p>
    <w:p w14:paraId="27E69A61" w14:textId="58EFB3FD" w:rsidR="00C941FD" w:rsidRPr="000479E9" w:rsidRDefault="00C941FD" w:rsidP="000479E9">
      <w:pPr>
        <w:spacing w:beforeLines="30" w:before="72" w:afterLines="30" w:after="72" w:line="240" w:lineRule="auto"/>
        <w:jc w:val="both"/>
        <w:textAlignment w:val="baseline"/>
        <w:rPr>
          <w:rFonts w:ascii="Times New Roman" w:eastAsia="Times New Roman" w:hAnsi="Times New Roman"/>
          <w:sz w:val="24"/>
          <w:szCs w:val="24"/>
          <w:lang w:eastAsia="hr-HR"/>
        </w:rPr>
      </w:pPr>
    </w:p>
    <w:p w14:paraId="54BD498A" w14:textId="387D96A1" w:rsidR="00C941FD" w:rsidRPr="000479E9" w:rsidRDefault="00CE4A8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C941FD" w:rsidRPr="000479E9">
        <w:rPr>
          <w:rFonts w:ascii="Times New Roman" w:eastAsia="Times New Roman" w:hAnsi="Times New Roman"/>
          <w:sz w:val="24"/>
          <w:szCs w:val="24"/>
          <w:lang w:eastAsia="hr-HR"/>
        </w:rPr>
        <w:t xml:space="preserve">(1) Za </w:t>
      </w:r>
      <w:r w:rsidRPr="000479E9">
        <w:rPr>
          <w:rFonts w:ascii="Times New Roman" w:eastAsia="Times New Roman" w:hAnsi="Times New Roman"/>
          <w:sz w:val="24"/>
          <w:szCs w:val="24"/>
          <w:lang w:eastAsia="hr-HR"/>
        </w:rPr>
        <w:t xml:space="preserve">teži </w:t>
      </w:r>
      <w:r w:rsidR="00C941FD" w:rsidRPr="000479E9">
        <w:rPr>
          <w:rFonts w:ascii="Times New Roman" w:eastAsia="Times New Roman" w:hAnsi="Times New Roman"/>
          <w:sz w:val="24"/>
          <w:szCs w:val="24"/>
          <w:lang w:eastAsia="hr-HR"/>
        </w:rPr>
        <w:t>prekršaj iz stavka 3. ovoga članka kaznit će se pravna osoba novčanom kaznom u iznosu koji je višekratnik broja 1000, a koja ne može biti manja od 13.270,00 eura ni veća od 0,8% ukupnog prihoda koji je ostvarila u godini kada je počinjen prekršaj, utvrđenog službenim financijskim izvještajima za tu godinu, a ako izvješća za tu godinu nema, uzet će se posljednje dostupno službeno godišnje izvješće</w:t>
      </w:r>
    </w:p>
    <w:p w14:paraId="7CBB05DA" w14:textId="14854911"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(2) Prekršaj iz stavka 1. ovoga članka smatra se težim ako je ispunjen jedan ili više sljedećih </w:t>
      </w:r>
      <w:r w:rsidR="00CE4A8D" w:rsidRPr="000479E9">
        <w:rPr>
          <w:rFonts w:ascii="Times New Roman" w:eastAsia="Times New Roman" w:hAnsi="Times New Roman"/>
          <w:sz w:val="24"/>
          <w:szCs w:val="24"/>
          <w:lang w:eastAsia="hr-HR"/>
        </w:rPr>
        <w:t xml:space="preserve">primjenjivih </w:t>
      </w:r>
      <w:r w:rsidRPr="000479E9">
        <w:rPr>
          <w:rFonts w:ascii="Times New Roman" w:eastAsia="Times New Roman" w:hAnsi="Times New Roman"/>
          <w:sz w:val="24"/>
          <w:szCs w:val="24"/>
          <w:lang w:eastAsia="hr-HR"/>
        </w:rPr>
        <w:t>uvjeta</w:t>
      </w:r>
      <w:r w:rsidR="00CE4A8D" w:rsidRPr="000479E9">
        <w:rPr>
          <w:rFonts w:ascii="Times New Roman" w:eastAsia="Times New Roman" w:hAnsi="Times New Roman"/>
          <w:sz w:val="24"/>
          <w:szCs w:val="24"/>
          <w:lang w:eastAsia="hr-HR"/>
        </w:rPr>
        <w:t>, pri čemu se okolnost koja već predstavlja obilježje prekršaja iz stavka 3. ovoga članka ne uzima sama po sebi kao osnova za utvrđenje ispunjenja nekog od ovih uvjeta</w:t>
      </w:r>
      <w:r w:rsidRPr="000479E9">
        <w:rPr>
          <w:rFonts w:ascii="Times New Roman" w:eastAsia="Times New Roman" w:hAnsi="Times New Roman"/>
          <w:sz w:val="24"/>
          <w:szCs w:val="24"/>
          <w:lang w:eastAsia="hr-HR"/>
        </w:rPr>
        <w:t xml:space="preserve">: </w:t>
      </w:r>
    </w:p>
    <w:p w14:paraId="64F26654" w14:textId="7ED8E306" w:rsidR="00CE4A8D" w:rsidRPr="000479E9" w:rsidRDefault="00CE4A8D" w:rsidP="000479E9">
      <w:pPr>
        <w:spacing w:beforeLines="30" w:before="72" w:afterLines="30" w:after="72" w:line="240" w:lineRule="auto"/>
        <w:jc w:val="both"/>
        <w:textAlignment w:val="baseline"/>
        <w:rPr>
          <w:rFonts w:ascii="Times New Roman" w:eastAsia="Times New Roman" w:hAnsi="Times New Roman"/>
          <w:sz w:val="24"/>
          <w:szCs w:val="24"/>
          <w:lang w:eastAsia="hr-HR"/>
        </w:rPr>
      </w:pPr>
    </w:p>
    <w:p w14:paraId="73A5BF3B" w14:textId="77777777"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opetovano ili sustavno, pri čemu se sustavnim smatra postupanje koje proizlazi iz uspostavljenih poslovnih praksi, organizacijskih nedostataka ili svjesnog obrasca postupanja</w:t>
      </w:r>
    </w:p>
    <w:p w14:paraId="38A6371D" w14:textId="77777777"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počinjen je tijekom duljeg razdoblja, pri čemu se trajanje procjenjuje uzimajući u obzir prirodu, učestalost i okolnosti konkretnog kršenja</w:t>
      </w:r>
    </w:p>
    <w:p w14:paraId="5B9D36F7" w14:textId="77777777"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značajne štete za klijente ili ulagatelje ili je stvorio konkretnu i neposrednu opasnost od nastanka takve štete</w:t>
      </w:r>
    </w:p>
    <w:p w14:paraId="39527CFE" w14:textId="77777777"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doveo je do ugrožavanja urednog funkcioniranja tržišta ili narušavanja integriteta tržišta, ili je stvorio konkretnu i neposrednu opasnost od nastanka takvog događaja</w:t>
      </w:r>
    </w:p>
    <w:p w14:paraId="2C91FF41" w14:textId="77777777"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posljedica je značajnih nedostataka u sustavu upravljanja, unutarnjih kontrola ili organizaciji poslovanja, osobito kada nepravilnost proizlazi iz nepostojanja, neprimjerenosti ili neučinkovite provedbe internih politika, procedura ili kontrolnih mehanizama, </w:t>
      </w:r>
    </w:p>
    <w:p w14:paraId="5553A94E" w14:textId="3C409234"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onemogućio</w:t>
      </w:r>
      <w:r w:rsidR="009871C3" w:rsidRPr="000479E9">
        <w:rPr>
          <w:rFonts w:ascii="Times New Roman" w:eastAsia="Times New Roman" w:hAnsi="Times New Roman"/>
          <w:sz w:val="24"/>
          <w:szCs w:val="24"/>
          <w:lang w:eastAsia="hr-HR"/>
        </w:rPr>
        <w:t xml:space="preserve"> je</w:t>
      </w:r>
      <w:r w:rsidRPr="000479E9">
        <w:rPr>
          <w:rFonts w:ascii="Times New Roman" w:eastAsia="Times New Roman" w:hAnsi="Times New Roman"/>
          <w:sz w:val="24"/>
          <w:szCs w:val="24"/>
          <w:lang w:eastAsia="hr-HR"/>
        </w:rPr>
        <w:t xml:space="preserve"> ili znatno otežao nadzor Agencije</w:t>
      </w:r>
    </w:p>
    <w:p w14:paraId="0592EAFC" w14:textId="6F12211B"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povezan </w:t>
      </w:r>
      <w:r w:rsidR="009871C3"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s</w:t>
      </w:r>
      <w:r w:rsidR="009871C3"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 xml:space="preserve"> zlouporabom povjerljivih informacija ili imovine klijenata</w:t>
      </w:r>
    </w:p>
    <w:p w14:paraId="704D6A42" w14:textId="5CD646E8" w:rsidR="00CE4A8D" w:rsidRPr="000479E9" w:rsidRDefault="00CE4A8D" w:rsidP="00CE4A8D">
      <w:pPr>
        <w:numPr>
          <w:ilvl w:val="0"/>
          <w:numId w:val="15"/>
        </w:num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doveo </w:t>
      </w:r>
      <w:r w:rsidR="009871C3" w:rsidRPr="000479E9">
        <w:rPr>
          <w:rFonts w:ascii="Times New Roman" w:eastAsia="Times New Roman" w:hAnsi="Times New Roman"/>
          <w:sz w:val="24"/>
          <w:szCs w:val="24"/>
          <w:lang w:eastAsia="hr-HR"/>
        </w:rPr>
        <w:t xml:space="preserve">je </w:t>
      </w:r>
      <w:r w:rsidRPr="000479E9">
        <w:rPr>
          <w:rFonts w:ascii="Times New Roman" w:eastAsia="Times New Roman" w:hAnsi="Times New Roman"/>
          <w:sz w:val="24"/>
          <w:szCs w:val="24"/>
          <w:lang w:eastAsia="hr-HR"/>
        </w:rPr>
        <w:t>do neurednih uvjeta trgovanja ili poremećaja na tržištu ili je stvorio konkretnu i neposrednu opasnost od nastanka takvog događaja.</w:t>
      </w:r>
    </w:p>
    <w:p w14:paraId="6CE5D3D4" w14:textId="77777777" w:rsidR="00C941FD" w:rsidRPr="000479E9" w:rsidRDefault="00C941FD" w:rsidP="00CE4A8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Za teži prekršaj iz stavka 2. ovoga članka kaznit će se pravna osoba:</w:t>
      </w:r>
    </w:p>
    <w:p w14:paraId="47FC567D"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1. ako kao izdavatelj ili osoba koja djeluje u njegovo ime ili za njegov račun ne sastavi, ne vodi i/ili ne ažurira i/ili ne čuva popis upućenih osoba i/ili ako ne dostavi popis upućenih osoba Agenciji na njezin zahtjev, suprotno odredbama članka 18. stavcima 1., 2., 3., 4., 5. i 6. Uredbe (EU) br. 596/2014</w:t>
      </w:r>
    </w:p>
    <w:p w14:paraId="368ED799"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2. ako kao izdavatelj ili sudionik na tržištu emisijskih jedinica, a vezano uz transakcije rukovoditelja, ne postupi sukladno odredbama članka 19. stavcima 3. i 5. Uredbe (EU) br. 596/2014</w:t>
      </w:r>
    </w:p>
    <w:p w14:paraId="20F1C86C"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3. ako kao osoba koja izrađuje i/ili širi preporuke za ulaganja ili druge informacije kojima se preporuča ili sugerira strategija ulaganja ne izrađuje i/ili ne širi preporuke za ulaganja na način i pod uvjetima iz članka 20. stavka 1. Uredbe (EU) br. 596/2014</w:t>
      </w:r>
    </w:p>
    <w:p w14:paraId="76A2A7C7"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lastRenderedPageBreak/>
        <w:t>4. ako kao izdavatelj ne propiše i/ili ne primjenjuje mjere i postupke kojima uređuje postupanje s povlaštenim informacijama sukladno odredbama članka 517. ovoga Zakona</w:t>
      </w:r>
    </w:p>
    <w:p w14:paraId="590B879C"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5. ako ne sudjeluje ili se ne pridržava pravila prilikom istrage, nadzora ili zahtjeva sukladno članku 23. stavku 2. Uredbe (EU) br. 596/2014.</w:t>
      </w:r>
    </w:p>
    <w:p w14:paraId="2A5E5180" w14:textId="77777777"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u w:val="single"/>
          <w:lang w:eastAsia="hr-HR"/>
        </w:rPr>
      </w:pPr>
      <w:r w:rsidRPr="000479E9">
        <w:rPr>
          <w:rFonts w:ascii="Times New Roman" w:eastAsia="Times New Roman" w:hAnsi="Times New Roman"/>
          <w:sz w:val="24"/>
          <w:szCs w:val="24"/>
          <w:lang w:eastAsia="hr-HR"/>
        </w:rPr>
        <w:t xml:space="preserve">(4) Za prekršaj iz stavka 3. ovoga članka kaznit će se pravna osoba kao MSP novčanom kaznom u iznosu koji je višekratnik broja 1000, a koja ne može biti manja od 13.270,00 eura ni veća od 0,8% ukupnog prihoda koji je ostvarila u godini kada je počinjen prekršaj, utvrđenog službenim financijskim izvještajima za tu godinu, a ako izvješća za tu godinu nema, uzet će se posljednje dostupno službeno godišnje izvješće. </w:t>
      </w:r>
    </w:p>
    <w:p w14:paraId="13B97C12" w14:textId="23E8A501" w:rsidR="00653B9E"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 xml:space="preserve">(5) Novčanom kaznom u iznosu od 2650,00 do </w:t>
      </w:r>
      <w:r w:rsidR="00653B9E" w:rsidRPr="000479E9">
        <w:rPr>
          <w:rFonts w:ascii="Times New Roman" w:eastAsia="Times New Roman" w:hAnsi="Times New Roman"/>
          <w:sz w:val="24"/>
          <w:szCs w:val="24"/>
          <w:lang w:eastAsia="hr-HR"/>
        </w:rPr>
        <w:t>70</w:t>
      </w:r>
      <w:r w:rsidRPr="000479E9">
        <w:rPr>
          <w:rFonts w:ascii="Times New Roman" w:eastAsia="Times New Roman" w:hAnsi="Times New Roman"/>
          <w:sz w:val="24"/>
          <w:szCs w:val="24"/>
          <w:lang w:eastAsia="hr-HR"/>
        </w:rPr>
        <w:t>.</w:t>
      </w:r>
      <w:r w:rsidR="00653B9E" w:rsidRPr="000479E9">
        <w:rPr>
          <w:rFonts w:ascii="Times New Roman" w:eastAsia="Times New Roman" w:hAnsi="Times New Roman"/>
          <w:sz w:val="24"/>
          <w:szCs w:val="24"/>
          <w:lang w:eastAsia="hr-HR"/>
        </w:rPr>
        <w:t>000</w:t>
      </w:r>
      <w:r w:rsidRPr="000479E9">
        <w:rPr>
          <w:rFonts w:ascii="Times New Roman" w:eastAsia="Times New Roman" w:hAnsi="Times New Roman"/>
          <w:sz w:val="24"/>
          <w:szCs w:val="24"/>
          <w:lang w:eastAsia="hr-HR"/>
        </w:rPr>
        <w:t>,00 eura kaznit će se za prekršaj iz stav</w:t>
      </w:r>
      <w:r w:rsidR="003D459D" w:rsidRPr="000479E9">
        <w:rPr>
          <w:rFonts w:ascii="Times New Roman" w:eastAsia="Times New Roman" w:hAnsi="Times New Roman"/>
          <w:sz w:val="24"/>
          <w:szCs w:val="24"/>
          <w:lang w:eastAsia="hr-HR"/>
        </w:rPr>
        <w:t>a</w:t>
      </w:r>
      <w:r w:rsidRPr="000479E9">
        <w:rPr>
          <w:rFonts w:ascii="Times New Roman" w:eastAsia="Times New Roman" w:hAnsi="Times New Roman"/>
          <w:sz w:val="24"/>
          <w:szCs w:val="24"/>
          <w:lang w:eastAsia="hr-HR"/>
        </w:rPr>
        <w:t>ka 1.</w:t>
      </w:r>
      <w:r w:rsidR="002F7318" w:rsidRPr="000479E9">
        <w:rPr>
          <w:rFonts w:ascii="Times New Roman" w:eastAsia="Times New Roman" w:hAnsi="Times New Roman"/>
          <w:sz w:val="24"/>
          <w:szCs w:val="24"/>
          <w:lang w:eastAsia="hr-HR"/>
        </w:rPr>
        <w:t xml:space="preserve"> i 4. </w:t>
      </w:r>
      <w:r w:rsidRPr="000479E9">
        <w:rPr>
          <w:rFonts w:ascii="Times New Roman" w:eastAsia="Times New Roman" w:hAnsi="Times New Roman"/>
          <w:sz w:val="24"/>
          <w:szCs w:val="24"/>
          <w:lang w:eastAsia="hr-HR"/>
        </w:rPr>
        <w:t>ovoga članka i odgovorna osoba u pravnoj osobi.</w:t>
      </w:r>
    </w:p>
    <w:p w14:paraId="4EFE0FAD" w14:textId="2F0ED3C2" w:rsidR="00C941FD" w:rsidRPr="000479E9" w:rsidRDefault="00C941FD" w:rsidP="00C941FD">
      <w:pPr>
        <w:spacing w:beforeLines="30" w:before="72" w:afterLines="30" w:after="72" w:line="240" w:lineRule="auto"/>
        <w:jc w:val="both"/>
        <w:textAlignment w:val="baseline"/>
        <w:rPr>
          <w:rFonts w:ascii="Times New Roman" w:eastAsia="Times New Roman" w:hAnsi="Times New Roman"/>
          <w:sz w:val="24"/>
          <w:szCs w:val="24"/>
          <w:lang w:eastAsia="hr-HR"/>
        </w:rPr>
      </w:pPr>
      <w:r w:rsidRPr="000479E9">
        <w:rPr>
          <w:rFonts w:ascii="Times New Roman" w:eastAsia="Times New Roman" w:hAnsi="Times New Roman"/>
          <w:sz w:val="24"/>
          <w:szCs w:val="24"/>
          <w:lang w:eastAsia="hr-HR"/>
        </w:rPr>
        <w:t>(</w:t>
      </w:r>
      <w:r w:rsidR="002F7318" w:rsidRPr="000479E9">
        <w:rPr>
          <w:rFonts w:ascii="Times New Roman" w:eastAsia="Times New Roman" w:hAnsi="Times New Roman"/>
          <w:sz w:val="24"/>
          <w:szCs w:val="24"/>
          <w:lang w:eastAsia="hr-HR"/>
        </w:rPr>
        <w:t>6</w:t>
      </w:r>
      <w:r w:rsidRPr="000479E9">
        <w:rPr>
          <w:rFonts w:ascii="Times New Roman" w:eastAsia="Times New Roman" w:hAnsi="Times New Roman"/>
          <w:sz w:val="24"/>
          <w:szCs w:val="24"/>
          <w:lang w:eastAsia="hr-HR"/>
        </w:rPr>
        <w:t xml:space="preserve">) Kada je pravna osoba iz stavka 1. ili 4. ovoga članka ostvarila korist ili spriječila gubitak, a iznos tako ostvarene koristi ili spriječenog gubitka moguće je utvrditi, pravna osoba iz stavka 1. ili 4. ovoga članka kaznit će se za prekršaj iz stavka 3. ovoga članka, osim za prekršaj propisan u točki </w:t>
      </w:r>
      <w:r w:rsidR="003D459D" w:rsidRPr="000479E9">
        <w:rPr>
          <w:rFonts w:ascii="Times New Roman" w:eastAsia="Times New Roman" w:hAnsi="Times New Roman"/>
          <w:sz w:val="24"/>
          <w:szCs w:val="24"/>
          <w:lang w:eastAsia="hr-HR"/>
        </w:rPr>
        <w:t>5</w:t>
      </w:r>
      <w:r w:rsidRPr="000479E9">
        <w:rPr>
          <w:rFonts w:ascii="Times New Roman" w:eastAsia="Times New Roman" w:hAnsi="Times New Roman"/>
          <w:sz w:val="24"/>
          <w:szCs w:val="24"/>
          <w:lang w:eastAsia="hr-HR"/>
        </w:rPr>
        <w:t>. stavku 3. ovoga članka, novčanom kaznom u iznosu do visine trostruko utvrđenog iznosa tako ostvarene koristi odnosno tako spriječenog gubitka ako je taj iznos veći od propisanog maksimalnog iznosa iz stavaka 1. i 4. ovoga članka.“</w:t>
      </w:r>
      <w:r w:rsidR="00D22C6B" w:rsidRPr="000479E9">
        <w:rPr>
          <w:rFonts w:ascii="Times New Roman" w:eastAsia="Times New Roman" w:hAnsi="Times New Roman"/>
          <w:sz w:val="24"/>
          <w:szCs w:val="24"/>
          <w:lang w:eastAsia="hr-HR"/>
        </w:rPr>
        <w:t>.</w:t>
      </w:r>
    </w:p>
    <w:p w14:paraId="509A0519" w14:textId="77777777" w:rsidR="00C941FD" w:rsidRPr="000479E9" w:rsidRDefault="00C941FD" w:rsidP="00617A00">
      <w:pPr>
        <w:spacing w:after="0" w:line="240" w:lineRule="auto"/>
        <w:jc w:val="both"/>
        <w:rPr>
          <w:rFonts w:ascii="Times New Roman" w:eastAsia="Times New Roman" w:hAnsi="Times New Roman" w:cs="Times New Roman"/>
          <w:sz w:val="24"/>
          <w:szCs w:val="24"/>
          <w:lang w:eastAsia="hr-HR"/>
        </w:rPr>
      </w:pPr>
    </w:p>
    <w:p w14:paraId="6F0AE7D1" w14:textId="1A006F05" w:rsidR="00850A80" w:rsidRPr="000479E9" w:rsidRDefault="00850A80" w:rsidP="007A4987">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Članak 1</w:t>
      </w:r>
      <w:r w:rsidR="00703A0F"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1</w:t>
      </w:r>
      <w:r w:rsidRPr="000479E9">
        <w:rPr>
          <w:rFonts w:ascii="Times New Roman" w:eastAsia="Times New Roman" w:hAnsi="Times New Roman" w:cs="Times New Roman"/>
          <w:b/>
          <w:sz w:val="24"/>
          <w:szCs w:val="24"/>
          <w:lang w:eastAsia="hr-HR"/>
        </w:rPr>
        <w:t xml:space="preserve">. </w:t>
      </w:r>
    </w:p>
    <w:p w14:paraId="03FBFFB9" w14:textId="77777777" w:rsidR="00850A80" w:rsidRPr="000479E9" w:rsidRDefault="00850A80" w:rsidP="00850A80">
      <w:pPr>
        <w:spacing w:after="0" w:line="240" w:lineRule="auto"/>
        <w:rPr>
          <w:rFonts w:ascii="Times New Roman" w:eastAsia="Times New Roman" w:hAnsi="Times New Roman" w:cs="Times New Roman"/>
          <w:b/>
          <w:sz w:val="24"/>
          <w:szCs w:val="24"/>
          <w:lang w:eastAsia="hr-HR"/>
        </w:rPr>
      </w:pPr>
    </w:p>
    <w:p w14:paraId="27D6A68D" w14:textId="68D1A52D" w:rsidR="00850A80" w:rsidRPr="000479E9" w:rsidRDefault="00850A80" w:rsidP="00850A80">
      <w:pPr>
        <w:spacing w:after="0" w:line="240" w:lineRule="auto"/>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Iza članka 714. dodaju se naslov iznad članka i članak 714.a koji glase:</w:t>
      </w:r>
    </w:p>
    <w:p w14:paraId="4182DF0A" w14:textId="77777777" w:rsidR="00850A80" w:rsidRPr="000479E9" w:rsidRDefault="00850A80" w:rsidP="00850A80">
      <w:pPr>
        <w:spacing w:after="0" w:line="240" w:lineRule="auto"/>
        <w:rPr>
          <w:rFonts w:ascii="Times New Roman" w:eastAsia="Times New Roman" w:hAnsi="Times New Roman" w:cs="Times New Roman"/>
          <w:bCs/>
          <w:sz w:val="24"/>
          <w:szCs w:val="24"/>
          <w:lang w:eastAsia="hr-HR"/>
        </w:rPr>
      </w:pPr>
    </w:p>
    <w:p w14:paraId="2DA0CAD7" w14:textId="684E6AD9" w:rsidR="00850A80" w:rsidRPr="000479E9" w:rsidRDefault="00850A80" w:rsidP="00850A80">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„Drugi lakši prekršaji u svezi sa zlouporabom tržišta </w:t>
      </w:r>
    </w:p>
    <w:p w14:paraId="0C925EAB" w14:textId="7D0C7DE6" w:rsidR="00850A80" w:rsidRPr="000479E9" w:rsidRDefault="00850A80" w:rsidP="00850A80">
      <w:pPr>
        <w:spacing w:beforeLines="30" w:before="72" w:afterLines="30" w:after="72" w:line="240" w:lineRule="auto"/>
        <w:jc w:val="center"/>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Članak 714.a</w:t>
      </w:r>
    </w:p>
    <w:p w14:paraId="1D5C687A" w14:textId="1B9D71EE"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(1) Za prekršaj kod kojeg nije ispunjen jedan ili više uvjeta iz članka 714. stavka 2. ovoga Zakona, kaznit će se pravna osoba novčanom kaznom u iznosu od </w:t>
      </w:r>
      <w:r w:rsidRPr="000479E9">
        <w:rPr>
          <w:rFonts w:ascii="Times New Roman" w:eastAsia="Times New Roman" w:hAnsi="Times New Roman"/>
          <w:bCs/>
          <w:iCs/>
          <w:sz w:val="24"/>
          <w:szCs w:val="24"/>
          <w:lang w:eastAsia="hr-HR"/>
        </w:rPr>
        <w:t>2.000</w:t>
      </w:r>
      <w:r w:rsidR="002F7318" w:rsidRPr="000479E9">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do 50.000</w:t>
      </w:r>
      <w:r w:rsidR="002F7318" w:rsidRPr="000479E9">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eura</w:t>
      </w:r>
      <w:r w:rsidRPr="000479E9">
        <w:rPr>
          <w:rFonts w:ascii="Times New Roman" w:eastAsia="Times New Roman" w:hAnsi="Times New Roman"/>
          <w:iCs/>
          <w:sz w:val="24"/>
          <w:szCs w:val="24"/>
          <w:lang w:eastAsia="hr-HR"/>
        </w:rPr>
        <w:t>: </w:t>
      </w:r>
    </w:p>
    <w:p w14:paraId="7D20CA9C" w14:textId="77777777"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1. ako kao izdavatelj ili osoba koja djeluje u njegovo ime ili za njegov račun ne sastavi, ne vodi i/ili ne ažurira i/ili ne čuva popis upućenih osoba i/ili ako ne dostavi popis upućenih osoba Agenciji na njezin zahtjev, suprotno odredbama članka 18. stavcima 1., 2., 3., 4., 5. i 6. Uredbe (EU) br. 596/2014 </w:t>
      </w:r>
    </w:p>
    <w:p w14:paraId="6E09CF03" w14:textId="77777777"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2. ako kao izdavatelj ili sudionik na tržištu emisijskih jedinica, a vezano uz transakcije rukovoditelja, ne postupi sukladno odredbama članka 19. stavcima 3. i 5. Uredbe (EU) br. 596/2014 </w:t>
      </w:r>
    </w:p>
    <w:p w14:paraId="0957882D" w14:textId="77777777"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3. ako kao osoba koja izrađuje i/ili širi preporuke za ulaganja ili druge informacije kojima se preporuča ili sugerira strategija ulaganja ne izrađuje i/ili ne širi preporuke za ulaganja na način i pod uvjetima iz članka 20. stavka 1. Uredbe (EU) br. 596/2014 </w:t>
      </w:r>
    </w:p>
    <w:p w14:paraId="7E0FD0FA" w14:textId="77777777"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lastRenderedPageBreak/>
        <w:t>4. ako kao izdavatelj ne propiše i/ili ne primjenjuje mjere i postupke kojima uređuje postupanje s povlaštenim informacijama sukladno odredbama članka 517. ovoga Zakona </w:t>
      </w:r>
    </w:p>
    <w:p w14:paraId="3FD11496" w14:textId="77777777"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5. ako ne sudjeluje ili se ne pridržava pravila prilikom istrage, nadzora ili zahtjeva sukladno članku 23. stavku 2. Uredbe (EU) br. 596/2014. </w:t>
      </w:r>
    </w:p>
    <w:p w14:paraId="16655CCC" w14:textId="02288624"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w:t>
      </w:r>
      <w:r w:rsidR="002F7318" w:rsidRPr="000479E9">
        <w:rPr>
          <w:rFonts w:ascii="Times New Roman" w:eastAsia="Times New Roman" w:hAnsi="Times New Roman"/>
          <w:iCs/>
          <w:sz w:val="24"/>
          <w:szCs w:val="24"/>
          <w:lang w:eastAsia="hr-HR"/>
        </w:rPr>
        <w:t>2</w:t>
      </w:r>
      <w:r w:rsidRPr="000479E9">
        <w:rPr>
          <w:rFonts w:ascii="Times New Roman" w:eastAsia="Times New Roman" w:hAnsi="Times New Roman"/>
          <w:iCs/>
          <w:sz w:val="24"/>
          <w:szCs w:val="24"/>
          <w:lang w:eastAsia="hr-HR"/>
        </w:rPr>
        <w:t xml:space="preserve">) Za prekršaj iz stavka 1. ovoga članka kaznit će se pravna osoba kao MSP novčanom kaznom u iznosu u iznosu od </w:t>
      </w:r>
      <w:r w:rsidRPr="000479E9">
        <w:rPr>
          <w:rFonts w:ascii="Times New Roman" w:eastAsia="Times New Roman" w:hAnsi="Times New Roman"/>
          <w:bCs/>
          <w:iCs/>
          <w:sz w:val="24"/>
          <w:szCs w:val="24"/>
          <w:lang w:eastAsia="hr-HR"/>
        </w:rPr>
        <w:t>2.000</w:t>
      </w:r>
      <w:r w:rsidR="002F7318" w:rsidRPr="000479E9">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do 50.000</w:t>
      </w:r>
      <w:r w:rsidR="002F7318" w:rsidRPr="000479E9">
        <w:rPr>
          <w:rFonts w:ascii="Times New Roman" w:eastAsia="Times New Roman" w:hAnsi="Times New Roman"/>
          <w:bCs/>
          <w:iCs/>
          <w:sz w:val="24"/>
          <w:szCs w:val="24"/>
          <w:lang w:eastAsia="hr-HR"/>
        </w:rPr>
        <w:t>,00</w:t>
      </w:r>
      <w:r w:rsidRPr="000479E9">
        <w:rPr>
          <w:rFonts w:ascii="Times New Roman" w:eastAsia="Times New Roman" w:hAnsi="Times New Roman"/>
          <w:bCs/>
          <w:iCs/>
          <w:sz w:val="24"/>
          <w:szCs w:val="24"/>
          <w:lang w:eastAsia="hr-HR"/>
        </w:rPr>
        <w:t xml:space="preserve"> eura</w:t>
      </w:r>
      <w:r w:rsidRPr="000479E9">
        <w:rPr>
          <w:rFonts w:ascii="Times New Roman" w:eastAsia="Times New Roman" w:hAnsi="Times New Roman"/>
          <w:iCs/>
          <w:sz w:val="24"/>
          <w:szCs w:val="24"/>
          <w:lang w:eastAsia="hr-HR"/>
        </w:rPr>
        <w:t>.</w:t>
      </w:r>
    </w:p>
    <w:p w14:paraId="40D2C0A1" w14:textId="796511B7" w:rsidR="002F7318" w:rsidRPr="000479E9" w:rsidRDefault="002F7318"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(3) Novčanom kaznom u iznosu od 1.320,00 do 10.000,00 eura kaznit će se za prekršaj iz stavaka 1.</w:t>
      </w:r>
      <w:r w:rsidR="005D50EE">
        <w:rPr>
          <w:rFonts w:ascii="Times New Roman" w:eastAsia="Times New Roman" w:hAnsi="Times New Roman"/>
          <w:iCs/>
          <w:sz w:val="24"/>
          <w:szCs w:val="24"/>
          <w:lang w:eastAsia="hr-HR"/>
        </w:rPr>
        <w:t xml:space="preserve"> </w:t>
      </w:r>
      <w:r w:rsidRPr="000479E9">
        <w:rPr>
          <w:rFonts w:ascii="Times New Roman" w:eastAsia="Times New Roman" w:hAnsi="Times New Roman"/>
          <w:iCs/>
          <w:sz w:val="24"/>
          <w:szCs w:val="24"/>
          <w:lang w:eastAsia="hr-HR"/>
        </w:rPr>
        <w:t>i 4. ovoga članka i odgovorna osoba pravne osobe. </w:t>
      </w:r>
    </w:p>
    <w:p w14:paraId="49A5C36B" w14:textId="3A580DE7" w:rsidR="00850A80" w:rsidRPr="000479E9" w:rsidRDefault="00850A80"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 xml:space="preserve">(4) Kada je pravna osoba iz stavka 1. ili </w:t>
      </w:r>
      <w:r w:rsidR="002F7318" w:rsidRPr="000479E9">
        <w:rPr>
          <w:rFonts w:ascii="Times New Roman" w:eastAsia="Times New Roman" w:hAnsi="Times New Roman"/>
          <w:iCs/>
          <w:sz w:val="24"/>
          <w:szCs w:val="24"/>
          <w:lang w:eastAsia="hr-HR"/>
        </w:rPr>
        <w:t>2</w:t>
      </w:r>
      <w:r w:rsidRPr="000479E9">
        <w:rPr>
          <w:rFonts w:ascii="Times New Roman" w:eastAsia="Times New Roman" w:hAnsi="Times New Roman"/>
          <w:iCs/>
          <w:sz w:val="24"/>
          <w:szCs w:val="24"/>
          <w:lang w:eastAsia="hr-HR"/>
        </w:rPr>
        <w:t>. ovoga članka ostvarila korist ili spriječila gubitak, a iznos tako ostvarene koristi ili spriječenog gubitka moguće je utvrditi, pravna osoba iz stavka 1. ili</w:t>
      </w:r>
      <w:r w:rsidR="002F7318" w:rsidRPr="000479E9">
        <w:rPr>
          <w:rFonts w:ascii="Times New Roman" w:eastAsia="Times New Roman" w:hAnsi="Times New Roman"/>
          <w:iCs/>
          <w:sz w:val="24"/>
          <w:szCs w:val="24"/>
          <w:lang w:eastAsia="hr-HR"/>
        </w:rPr>
        <w:t xml:space="preserve"> 2</w:t>
      </w:r>
      <w:r w:rsidRPr="000479E9">
        <w:rPr>
          <w:rFonts w:ascii="Times New Roman" w:eastAsia="Times New Roman" w:hAnsi="Times New Roman"/>
          <w:iCs/>
          <w:sz w:val="24"/>
          <w:szCs w:val="24"/>
          <w:lang w:eastAsia="hr-HR"/>
        </w:rPr>
        <w:t xml:space="preserve">. ovoga članka kaznit će se za prekršaj iz stavka 1. ovoga članka, osim za prekršaj propisan u točki 5. stavku </w:t>
      </w:r>
      <w:r w:rsidR="002F7318" w:rsidRPr="000479E9">
        <w:rPr>
          <w:rFonts w:ascii="Times New Roman" w:eastAsia="Times New Roman" w:hAnsi="Times New Roman"/>
          <w:iCs/>
          <w:sz w:val="24"/>
          <w:szCs w:val="24"/>
          <w:lang w:eastAsia="hr-HR"/>
        </w:rPr>
        <w:t>1</w:t>
      </w:r>
      <w:r w:rsidRPr="000479E9">
        <w:rPr>
          <w:rFonts w:ascii="Times New Roman" w:eastAsia="Times New Roman" w:hAnsi="Times New Roman"/>
          <w:iCs/>
          <w:sz w:val="24"/>
          <w:szCs w:val="24"/>
          <w:lang w:eastAsia="hr-HR"/>
        </w:rPr>
        <w:t xml:space="preserve">. ovoga članka, novčanom kaznom u iznosu do visine trostruko utvrđenog iznosa tako ostvarene koristi odnosno tako spriječenog gubitka ako je taj iznos veći od propisanog maksimalnog iznosa iz stavaka 1. i </w:t>
      </w:r>
      <w:r w:rsidR="002F7318" w:rsidRPr="000479E9">
        <w:rPr>
          <w:rFonts w:ascii="Times New Roman" w:eastAsia="Times New Roman" w:hAnsi="Times New Roman"/>
          <w:iCs/>
          <w:sz w:val="24"/>
          <w:szCs w:val="24"/>
          <w:lang w:eastAsia="hr-HR"/>
        </w:rPr>
        <w:t>2</w:t>
      </w:r>
      <w:r w:rsidRPr="000479E9">
        <w:rPr>
          <w:rFonts w:ascii="Times New Roman" w:eastAsia="Times New Roman" w:hAnsi="Times New Roman"/>
          <w:iCs/>
          <w:sz w:val="24"/>
          <w:szCs w:val="24"/>
          <w:lang w:eastAsia="hr-HR"/>
        </w:rPr>
        <w:t>. ovoga članka.“</w:t>
      </w:r>
      <w:r w:rsidR="00D22C6B" w:rsidRPr="000479E9">
        <w:rPr>
          <w:rFonts w:ascii="Times New Roman" w:eastAsia="Times New Roman" w:hAnsi="Times New Roman"/>
          <w:iCs/>
          <w:sz w:val="24"/>
          <w:szCs w:val="24"/>
          <w:lang w:eastAsia="hr-HR"/>
        </w:rPr>
        <w:t>.</w:t>
      </w:r>
    </w:p>
    <w:p w14:paraId="57D8B52F" w14:textId="77777777" w:rsidR="00D22C6B" w:rsidRPr="000479E9" w:rsidRDefault="00D22C6B" w:rsidP="00850A80">
      <w:pPr>
        <w:spacing w:beforeLines="30" w:before="72" w:afterLines="30" w:after="72" w:line="240" w:lineRule="auto"/>
        <w:jc w:val="both"/>
        <w:textAlignment w:val="baseline"/>
        <w:rPr>
          <w:rFonts w:ascii="Times New Roman" w:eastAsia="Times New Roman" w:hAnsi="Times New Roman"/>
          <w:iCs/>
          <w:sz w:val="24"/>
          <w:szCs w:val="24"/>
          <w:lang w:eastAsia="hr-HR"/>
        </w:rPr>
      </w:pPr>
    </w:p>
    <w:p w14:paraId="7746BA62" w14:textId="1DAFE025" w:rsidR="00850A80" w:rsidRPr="000479E9" w:rsidRDefault="002F7318" w:rsidP="00850A80">
      <w:pPr>
        <w:spacing w:beforeLines="30" w:before="72" w:afterLines="30" w:after="72" w:line="240" w:lineRule="auto"/>
        <w:jc w:val="center"/>
        <w:textAlignment w:val="baseline"/>
        <w:rPr>
          <w:rFonts w:ascii="Times New Roman" w:eastAsia="Times New Roman" w:hAnsi="Times New Roman"/>
          <w:b/>
          <w:bCs/>
          <w:iCs/>
          <w:sz w:val="24"/>
          <w:szCs w:val="24"/>
          <w:lang w:eastAsia="hr-HR"/>
        </w:rPr>
      </w:pPr>
      <w:r w:rsidRPr="000479E9">
        <w:rPr>
          <w:rFonts w:ascii="Times New Roman" w:eastAsia="Times New Roman" w:hAnsi="Times New Roman"/>
          <w:b/>
          <w:bCs/>
          <w:iCs/>
          <w:sz w:val="24"/>
          <w:szCs w:val="24"/>
          <w:lang w:eastAsia="hr-HR"/>
        </w:rPr>
        <w:t xml:space="preserve">Članak </w:t>
      </w:r>
      <w:r w:rsidR="00703A0F" w:rsidRPr="000479E9">
        <w:rPr>
          <w:rFonts w:ascii="Times New Roman" w:eastAsia="Times New Roman" w:hAnsi="Times New Roman"/>
          <w:b/>
          <w:bCs/>
          <w:iCs/>
          <w:sz w:val="24"/>
          <w:szCs w:val="24"/>
          <w:lang w:eastAsia="hr-HR"/>
        </w:rPr>
        <w:t>11</w:t>
      </w:r>
      <w:r w:rsidR="00F84BAF">
        <w:rPr>
          <w:rFonts w:ascii="Times New Roman" w:eastAsia="Times New Roman" w:hAnsi="Times New Roman"/>
          <w:b/>
          <w:bCs/>
          <w:iCs/>
          <w:sz w:val="24"/>
          <w:szCs w:val="24"/>
          <w:lang w:eastAsia="hr-HR"/>
        </w:rPr>
        <w:t>2</w:t>
      </w:r>
      <w:r w:rsidRPr="000479E9">
        <w:rPr>
          <w:rFonts w:ascii="Times New Roman" w:eastAsia="Times New Roman" w:hAnsi="Times New Roman"/>
          <w:b/>
          <w:bCs/>
          <w:iCs/>
          <w:sz w:val="24"/>
          <w:szCs w:val="24"/>
          <w:lang w:eastAsia="hr-HR"/>
        </w:rPr>
        <w:t>.</w:t>
      </w:r>
    </w:p>
    <w:p w14:paraId="4B9E1AEB" w14:textId="77777777" w:rsidR="00D22C6B" w:rsidRPr="000479E9" w:rsidRDefault="00D22C6B" w:rsidP="00850A80">
      <w:pPr>
        <w:spacing w:beforeLines="30" w:before="72" w:afterLines="30" w:after="72" w:line="240" w:lineRule="auto"/>
        <w:jc w:val="center"/>
        <w:textAlignment w:val="baseline"/>
        <w:rPr>
          <w:rFonts w:ascii="Times New Roman" w:eastAsia="Times New Roman" w:hAnsi="Times New Roman"/>
          <w:b/>
          <w:bCs/>
          <w:iCs/>
          <w:sz w:val="24"/>
          <w:szCs w:val="24"/>
          <w:lang w:eastAsia="hr-HR"/>
        </w:rPr>
      </w:pPr>
    </w:p>
    <w:p w14:paraId="7D795646" w14:textId="5A303F05" w:rsidR="002F7318" w:rsidRPr="000479E9" w:rsidRDefault="002F7318" w:rsidP="002F7318">
      <w:pPr>
        <w:spacing w:beforeLines="30" w:before="72" w:afterLines="30" w:after="72" w:line="240" w:lineRule="auto"/>
        <w:textAlignment w:val="baseline"/>
        <w:rPr>
          <w:rFonts w:ascii="Times New Roman" w:eastAsia="Times New Roman" w:hAnsi="Times New Roman"/>
          <w:iCs/>
          <w:sz w:val="24"/>
          <w:szCs w:val="24"/>
          <w:lang w:eastAsia="hr-HR"/>
        </w:rPr>
      </w:pPr>
      <w:r w:rsidRPr="000479E9">
        <w:rPr>
          <w:rFonts w:ascii="Times New Roman" w:eastAsia="Times New Roman" w:hAnsi="Times New Roman"/>
          <w:iCs/>
          <w:sz w:val="24"/>
          <w:szCs w:val="24"/>
          <w:lang w:eastAsia="hr-HR"/>
        </w:rPr>
        <w:t>Naslov iznad članka 715. mijenja se i glasi: „Prekršaji fizičke osobe u svezi sa zlouporabom tržišta“.</w:t>
      </w:r>
    </w:p>
    <w:p w14:paraId="0947B37F" w14:textId="2F288EF9" w:rsidR="00850A80" w:rsidRPr="000479E9" w:rsidRDefault="00850A80" w:rsidP="000479E9">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članku 715. broj</w:t>
      </w:r>
      <w:r w:rsidR="002F7318" w:rsidRPr="000479E9">
        <w:rPr>
          <w:rFonts w:ascii="Times New Roman" w:eastAsia="Times New Roman" w:hAnsi="Times New Roman" w:cs="Times New Roman"/>
          <w:bCs/>
          <w:sz w:val="24"/>
          <w:szCs w:val="24"/>
          <w:lang w:eastAsia="hr-HR"/>
        </w:rPr>
        <w:t>: „6630,00“ zamjenjuje se brojem</w:t>
      </w:r>
      <w:r w:rsidR="00D22C6B" w:rsidRPr="000479E9">
        <w:rPr>
          <w:rFonts w:ascii="Times New Roman" w:eastAsia="Times New Roman" w:hAnsi="Times New Roman" w:cs="Times New Roman"/>
          <w:bCs/>
          <w:sz w:val="24"/>
          <w:szCs w:val="24"/>
          <w:lang w:eastAsia="hr-HR"/>
        </w:rPr>
        <w:t>:</w:t>
      </w:r>
      <w:r w:rsidR="002F7318" w:rsidRPr="000479E9">
        <w:rPr>
          <w:rFonts w:ascii="Times New Roman" w:eastAsia="Times New Roman" w:hAnsi="Times New Roman" w:cs="Times New Roman"/>
          <w:bCs/>
          <w:sz w:val="24"/>
          <w:szCs w:val="24"/>
          <w:lang w:eastAsia="hr-HR"/>
        </w:rPr>
        <w:t xml:space="preserve"> „2.500,00“, a broj:</w:t>
      </w:r>
      <w:r w:rsidRPr="000479E9">
        <w:rPr>
          <w:rFonts w:ascii="Times New Roman" w:eastAsia="Times New Roman" w:hAnsi="Times New Roman" w:cs="Times New Roman"/>
          <w:bCs/>
          <w:sz w:val="24"/>
          <w:szCs w:val="24"/>
          <w:lang w:eastAsia="hr-HR"/>
        </w:rPr>
        <w:t xml:space="preserve"> „5.000.000,00“ zamjenjuje se brojem: „</w:t>
      </w:r>
      <w:r w:rsidR="002F7318" w:rsidRPr="000479E9">
        <w:rPr>
          <w:rFonts w:ascii="Times New Roman" w:eastAsia="Times New Roman" w:hAnsi="Times New Roman" w:cs="Times New Roman"/>
          <w:bCs/>
          <w:sz w:val="24"/>
          <w:szCs w:val="24"/>
          <w:lang w:eastAsia="hr-HR"/>
        </w:rPr>
        <w:t>4</w:t>
      </w:r>
      <w:r w:rsidRPr="000479E9">
        <w:rPr>
          <w:rFonts w:ascii="Times New Roman" w:eastAsia="Times New Roman" w:hAnsi="Times New Roman" w:cs="Times New Roman"/>
          <w:bCs/>
          <w:sz w:val="24"/>
          <w:szCs w:val="24"/>
          <w:lang w:eastAsia="hr-HR"/>
        </w:rPr>
        <w:t xml:space="preserve">0.000,00“. </w:t>
      </w:r>
    </w:p>
    <w:p w14:paraId="36664C71" w14:textId="77777777" w:rsidR="00850A80" w:rsidRPr="000479E9" w:rsidRDefault="00850A80" w:rsidP="00483C20">
      <w:pPr>
        <w:spacing w:after="0" w:line="240" w:lineRule="auto"/>
        <w:rPr>
          <w:rFonts w:ascii="Times New Roman" w:eastAsia="Times New Roman" w:hAnsi="Times New Roman" w:cs="Times New Roman"/>
          <w:b/>
          <w:sz w:val="24"/>
          <w:szCs w:val="24"/>
          <w:lang w:eastAsia="hr-HR"/>
        </w:rPr>
      </w:pPr>
    </w:p>
    <w:p w14:paraId="13DD1D26" w14:textId="77777777" w:rsidR="00850A80" w:rsidRPr="000479E9" w:rsidRDefault="00850A80" w:rsidP="007A4987">
      <w:pPr>
        <w:spacing w:after="0" w:line="240" w:lineRule="auto"/>
        <w:jc w:val="center"/>
        <w:rPr>
          <w:rFonts w:ascii="Times New Roman" w:eastAsia="Times New Roman" w:hAnsi="Times New Roman" w:cs="Times New Roman"/>
          <w:b/>
          <w:sz w:val="24"/>
          <w:szCs w:val="24"/>
          <w:lang w:eastAsia="hr-HR"/>
        </w:rPr>
      </w:pPr>
    </w:p>
    <w:p w14:paraId="67F13396" w14:textId="7F36B04C" w:rsidR="00850A80" w:rsidRPr="000479E9" w:rsidRDefault="00850A80" w:rsidP="007A4987">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Članak 1</w:t>
      </w:r>
      <w:r w:rsidR="002F7318"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 xml:space="preserve">. </w:t>
      </w:r>
    </w:p>
    <w:p w14:paraId="66A5B376" w14:textId="77777777" w:rsidR="00850A80" w:rsidRPr="000479E9" w:rsidRDefault="00850A80" w:rsidP="00850A80">
      <w:pPr>
        <w:spacing w:after="0" w:line="240" w:lineRule="auto"/>
        <w:rPr>
          <w:rFonts w:ascii="Times New Roman" w:eastAsia="Times New Roman" w:hAnsi="Times New Roman" w:cs="Times New Roman"/>
          <w:b/>
          <w:sz w:val="24"/>
          <w:szCs w:val="24"/>
          <w:lang w:eastAsia="hr-HR"/>
        </w:rPr>
      </w:pPr>
    </w:p>
    <w:p w14:paraId="620374FD" w14:textId="6E00F524" w:rsidR="00850A80" w:rsidRPr="000479E9" w:rsidRDefault="00850A80" w:rsidP="00850A80">
      <w:pPr>
        <w:spacing w:after="0" w:line="240" w:lineRule="auto"/>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članku 716.</w:t>
      </w:r>
      <w:r w:rsidR="002F7318" w:rsidRPr="000479E9">
        <w:rPr>
          <w:rFonts w:ascii="Times New Roman" w:eastAsia="Times New Roman" w:hAnsi="Times New Roman" w:cs="Times New Roman"/>
          <w:bCs/>
          <w:sz w:val="24"/>
          <w:szCs w:val="24"/>
          <w:lang w:eastAsia="hr-HR"/>
        </w:rPr>
        <w:t xml:space="preserve"> stavku 1.</w:t>
      </w:r>
      <w:r w:rsidRPr="000479E9">
        <w:rPr>
          <w:rFonts w:ascii="Times New Roman" w:eastAsia="Times New Roman" w:hAnsi="Times New Roman" w:cs="Times New Roman"/>
          <w:bCs/>
          <w:sz w:val="24"/>
          <w:szCs w:val="24"/>
          <w:lang w:eastAsia="hr-HR"/>
        </w:rPr>
        <w:t xml:space="preserve"> broj</w:t>
      </w:r>
      <w:r w:rsidR="005D50EE">
        <w:rPr>
          <w:rFonts w:ascii="Times New Roman" w:eastAsia="Times New Roman" w:hAnsi="Times New Roman" w:cs="Times New Roman"/>
          <w:bCs/>
          <w:sz w:val="24"/>
          <w:szCs w:val="24"/>
          <w:lang w:eastAsia="hr-HR"/>
        </w:rPr>
        <w:t>:</w:t>
      </w:r>
      <w:r w:rsidRPr="000479E9">
        <w:rPr>
          <w:rFonts w:ascii="Times New Roman" w:eastAsia="Times New Roman" w:hAnsi="Times New Roman" w:cs="Times New Roman"/>
          <w:bCs/>
          <w:sz w:val="24"/>
          <w:szCs w:val="24"/>
          <w:lang w:eastAsia="hr-HR"/>
        </w:rPr>
        <w:t xml:space="preserve"> „1.000.000,00“ zamjenjuje se brojem: „250.000,00“.</w:t>
      </w:r>
    </w:p>
    <w:p w14:paraId="14EFFF93" w14:textId="77777777" w:rsidR="002F7318" w:rsidRPr="000479E9" w:rsidRDefault="002F7318" w:rsidP="00850A80">
      <w:pPr>
        <w:spacing w:after="0" w:line="240" w:lineRule="auto"/>
        <w:rPr>
          <w:rFonts w:ascii="Times New Roman" w:eastAsia="Times New Roman" w:hAnsi="Times New Roman" w:cs="Times New Roman"/>
          <w:bCs/>
          <w:sz w:val="24"/>
          <w:szCs w:val="24"/>
          <w:lang w:eastAsia="hr-HR"/>
        </w:rPr>
      </w:pPr>
    </w:p>
    <w:p w14:paraId="762F3564" w14:textId="2F2D26E1" w:rsidR="002F7318" w:rsidRPr="000479E9" w:rsidRDefault="002F7318" w:rsidP="002F7318">
      <w:pPr>
        <w:spacing w:after="0" w:line="240" w:lineRule="auto"/>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stavku 2. broj</w:t>
      </w:r>
      <w:r w:rsidR="005D50EE">
        <w:rPr>
          <w:rFonts w:ascii="Times New Roman" w:eastAsia="Times New Roman" w:hAnsi="Times New Roman" w:cs="Times New Roman"/>
          <w:bCs/>
          <w:sz w:val="24"/>
          <w:szCs w:val="24"/>
          <w:lang w:eastAsia="hr-HR"/>
        </w:rPr>
        <w:t>:</w:t>
      </w:r>
      <w:r w:rsidRPr="000479E9">
        <w:rPr>
          <w:rFonts w:ascii="Times New Roman" w:eastAsia="Times New Roman" w:hAnsi="Times New Roman" w:cs="Times New Roman"/>
          <w:bCs/>
          <w:sz w:val="24"/>
          <w:szCs w:val="24"/>
          <w:lang w:eastAsia="hr-HR"/>
        </w:rPr>
        <w:t xml:space="preserve"> „500.000,00“ zamjenjuje se brojem: „125.000,00“.</w:t>
      </w:r>
    </w:p>
    <w:p w14:paraId="4D1B9C49" w14:textId="0C20354B" w:rsidR="002F7318" w:rsidRPr="000479E9" w:rsidRDefault="002F7318" w:rsidP="00850A80">
      <w:pPr>
        <w:spacing w:after="0" w:line="240" w:lineRule="auto"/>
        <w:rPr>
          <w:rFonts w:ascii="Times New Roman" w:eastAsia="Times New Roman" w:hAnsi="Times New Roman" w:cs="Times New Roman"/>
          <w:bCs/>
          <w:sz w:val="24"/>
          <w:szCs w:val="24"/>
          <w:lang w:eastAsia="hr-HR"/>
        </w:rPr>
      </w:pPr>
    </w:p>
    <w:p w14:paraId="628161E1" w14:textId="77777777" w:rsidR="00850A80" w:rsidRPr="000479E9" w:rsidRDefault="00850A80" w:rsidP="00483C20">
      <w:pPr>
        <w:spacing w:after="0" w:line="240" w:lineRule="auto"/>
        <w:rPr>
          <w:rFonts w:ascii="Times New Roman" w:eastAsia="Times New Roman" w:hAnsi="Times New Roman" w:cs="Times New Roman"/>
          <w:b/>
          <w:sz w:val="24"/>
          <w:szCs w:val="24"/>
          <w:lang w:eastAsia="hr-HR"/>
        </w:rPr>
      </w:pPr>
    </w:p>
    <w:p w14:paraId="08E18CC6" w14:textId="70165109" w:rsidR="007A4987" w:rsidRPr="000479E9" w:rsidRDefault="007A4987" w:rsidP="007A4987">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850A80" w:rsidRPr="000479E9">
        <w:rPr>
          <w:rFonts w:ascii="Times New Roman" w:eastAsia="Times New Roman" w:hAnsi="Times New Roman" w:cs="Times New Roman"/>
          <w:b/>
          <w:sz w:val="24"/>
          <w:szCs w:val="24"/>
          <w:lang w:eastAsia="hr-HR"/>
        </w:rPr>
        <w:t>1</w:t>
      </w:r>
      <w:r w:rsidR="002F7318"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4</w:t>
      </w:r>
      <w:r w:rsidR="003F1B2F" w:rsidRPr="000479E9">
        <w:rPr>
          <w:rFonts w:ascii="Times New Roman" w:eastAsia="Times New Roman" w:hAnsi="Times New Roman" w:cs="Times New Roman"/>
          <w:b/>
          <w:sz w:val="24"/>
          <w:szCs w:val="24"/>
          <w:lang w:eastAsia="hr-HR"/>
        </w:rPr>
        <w:t>.</w:t>
      </w:r>
    </w:p>
    <w:p w14:paraId="6CC93006" w14:textId="3CD03EFA" w:rsidR="003F1B2F" w:rsidRPr="000479E9" w:rsidRDefault="003F1B2F" w:rsidP="007A4987">
      <w:pPr>
        <w:spacing w:after="0" w:line="240" w:lineRule="auto"/>
        <w:jc w:val="center"/>
        <w:rPr>
          <w:rFonts w:ascii="Times New Roman" w:eastAsia="Times New Roman" w:hAnsi="Times New Roman" w:cs="Times New Roman"/>
          <w:sz w:val="24"/>
          <w:szCs w:val="24"/>
          <w:lang w:eastAsia="hr-HR"/>
        </w:rPr>
      </w:pPr>
    </w:p>
    <w:p w14:paraId="403470A0" w14:textId="49FE8E46" w:rsidR="003F1B2F" w:rsidRPr="000479E9" w:rsidRDefault="003F1B2F" w:rsidP="003F1B2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717. stavku 1. točk</w:t>
      </w:r>
      <w:r w:rsidR="00CC6E69" w:rsidRPr="000479E9">
        <w:rPr>
          <w:rFonts w:ascii="Times New Roman" w:eastAsia="Times New Roman" w:hAnsi="Times New Roman" w:cs="Times New Roman"/>
          <w:sz w:val="24"/>
          <w:szCs w:val="24"/>
          <w:lang w:eastAsia="hr-HR"/>
        </w:rPr>
        <w:t>i</w:t>
      </w:r>
      <w:r w:rsidRPr="000479E9">
        <w:rPr>
          <w:rFonts w:ascii="Times New Roman" w:eastAsia="Times New Roman" w:hAnsi="Times New Roman" w:cs="Times New Roman"/>
          <w:sz w:val="24"/>
          <w:szCs w:val="24"/>
          <w:lang w:eastAsia="hr-HR"/>
        </w:rPr>
        <w:t xml:space="preserve"> 10. </w:t>
      </w:r>
      <w:r w:rsidR="00031FC4" w:rsidRPr="000479E9">
        <w:rPr>
          <w:rFonts w:ascii="Times New Roman" w:eastAsia="Times New Roman" w:hAnsi="Times New Roman" w:cs="Times New Roman"/>
          <w:sz w:val="24"/>
          <w:szCs w:val="24"/>
          <w:lang w:eastAsia="hr-HR"/>
        </w:rPr>
        <w:t>riječi: „stavk</w:t>
      </w:r>
      <w:r w:rsidR="00CE4135" w:rsidRPr="000479E9">
        <w:rPr>
          <w:rFonts w:ascii="Times New Roman" w:eastAsia="Times New Roman" w:hAnsi="Times New Roman" w:cs="Times New Roman"/>
          <w:sz w:val="24"/>
          <w:szCs w:val="24"/>
          <w:lang w:eastAsia="hr-HR"/>
        </w:rPr>
        <w:t>om 4.“ zamjenjuju se riječima: „stavkom 5.“.</w:t>
      </w:r>
    </w:p>
    <w:p w14:paraId="642CD7D6" w14:textId="61E03C4B" w:rsidR="00AB2835" w:rsidRPr="000479E9" w:rsidRDefault="00AB2835" w:rsidP="003F1B2F">
      <w:pPr>
        <w:spacing w:after="0" w:line="240" w:lineRule="auto"/>
        <w:jc w:val="both"/>
        <w:rPr>
          <w:rFonts w:ascii="Times New Roman" w:eastAsia="Times New Roman" w:hAnsi="Times New Roman" w:cs="Times New Roman"/>
          <w:sz w:val="24"/>
          <w:szCs w:val="24"/>
          <w:lang w:eastAsia="hr-HR"/>
        </w:rPr>
      </w:pPr>
    </w:p>
    <w:p w14:paraId="7275E5C8" w14:textId="232FC92C" w:rsidR="00AB2835" w:rsidRPr="000479E9" w:rsidRDefault="00AB2835" w:rsidP="00AB2835">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850A80" w:rsidRPr="000479E9">
        <w:rPr>
          <w:rFonts w:ascii="Times New Roman" w:eastAsia="Times New Roman" w:hAnsi="Times New Roman" w:cs="Times New Roman"/>
          <w:b/>
          <w:sz w:val="24"/>
          <w:szCs w:val="24"/>
          <w:lang w:eastAsia="hr-HR"/>
        </w:rPr>
        <w:t>1</w:t>
      </w:r>
      <w:r w:rsidR="00C7528F"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w:t>
      </w:r>
    </w:p>
    <w:p w14:paraId="385D8A3A" w14:textId="77777777" w:rsidR="00A23371" w:rsidRPr="000479E9" w:rsidRDefault="00A23371" w:rsidP="00AB2835">
      <w:pPr>
        <w:spacing w:after="0" w:line="240" w:lineRule="auto"/>
        <w:jc w:val="center"/>
        <w:rPr>
          <w:rFonts w:ascii="Times New Roman" w:eastAsia="Times New Roman" w:hAnsi="Times New Roman" w:cs="Times New Roman"/>
          <w:sz w:val="24"/>
          <w:szCs w:val="24"/>
          <w:lang w:eastAsia="hr-HR"/>
        </w:rPr>
      </w:pPr>
    </w:p>
    <w:p w14:paraId="49F13ECD" w14:textId="3C515E92" w:rsidR="00AB2835" w:rsidRPr="000479E9" w:rsidRDefault="00AB2835" w:rsidP="00AB2835">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članku 718. stavku 1. točki </w:t>
      </w:r>
      <w:r w:rsidR="002D669C" w:rsidRPr="000479E9">
        <w:rPr>
          <w:rFonts w:ascii="Times New Roman" w:eastAsia="Times New Roman" w:hAnsi="Times New Roman" w:cs="Times New Roman"/>
          <w:sz w:val="24"/>
          <w:szCs w:val="24"/>
          <w:lang w:eastAsia="hr-HR"/>
        </w:rPr>
        <w:t>7. riječi: „najmanje 30 dana prije njihova upućivanja Agenciji“ zamjenjuju se riječima: „</w:t>
      </w:r>
      <w:r w:rsidR="00E643E5" w:rsidRPr="000479E9">
        <w:rPr>
          <w:rFonts w:ascii="Times New Roman" w:eastAsia="Times New Roman" w:hAnsi="Times New Roman" w:cs="Times New Roman"/>
          <w:sz w:val="24"/>
          <w:szCs w:val="24"/>
          <w:lang w:eastAsia="hr-HR"/>
        </w:rPr>
        <w:t>najkasnije 15 dana prije njihova usvajanja</w:t>
      </w:r>
      <w:r w:rsidR="00097F53" w:rsidRPr="000479E9">
        <w:rPr>
          <w:rFonts w:ascii="Times New Roman" w:eastAsia="Times New Roman" w:hAnsi="Times New Roman" w:cs="Times New Roman"/>
          <w:sz w:val="24"/>
          <w:szCs w:val="24"/>
          <w:lang w:eastAsia="hr-HR"/>
        </w:rPr>
        <w:t>“.</w:t>
      </w:r>
    </w:p>
    <w:p w14:paraId="18A5D14C" w14:textId="77777777" w:rsidR="00C62D4A" w:rsidRPr="000479E9" w:rsidRDefault="00C62D4A" w:rsidP="00AB2835">
      <w:pPr>
        <w:spacing w:after="0" w:line="240" w:lineRule="auto"/>
        <w:jc w:val="both"/>
        <w:rPr>
          <w:rFonts w:ascii="Times New Roman" w:eastAsia="Times New Roman" w:hAnsi="Times New Roman" w:cs="Times New Roman"/>
          <w:sz w:val="24"/>
          <w:szCs w:val="24"/>
          <w:lang w:eastAsia="hr-HR"/>
        </w:rPr>
      </w:pPr>
    </w:p>
    <w:p w14:paraId="17EA3B4A" w14:textId="64FE07F2" w:rsidR="00F2088B" w:rsidRPr="000479E9" w:rsidRDefault="00164C7C" w:rsidP="003F1B2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Točka 8.</w:t>
      </w:r>
      <w:r w:rsidR="007D20C8" w:rsidRPr="000479E9">
        <w:rPr>
          <w:rFonts w:ascii="Times New Roman" w:eastAsia="Times New Roman" w:hAnsi="Times New Roman" w:cs="Times New Roman"/>
          <w:sz w:val="24"/>
          <w:szCs w:val="24"/>
          <w:lang w:eastAsia="hr-HR"/>
        </w:rPr>
        <w:t xml:space="preserve"> briše se.</w:t>
      </w:r>
    </w:p>
    <w:p w14:paraId="2BC2E9C8" w14:textId="0FF13730" w:rsidR="003F1B2F" w:rsidRPr="000479E9" w:rsidRDefault="003F1B2F" w:rsidP="003F1B2F">
      <w:pPr>
        <w:spacing w:after="0" w:line="240" w:lineRule="auto"/>
        <w:jc w:val="both"/>
        <w:rPr>
          <w:rFonts w:ascii="Times New Roman" w:eastAsia="Times New Roman" w:hAnsi="Times New Roman" w:cs="Times New Roman"/>
          <w:sz w:val="24"/>
          <w:szCs w:val="24"/>
          <w:lang w:eastAsia="hr-HR"/>
        </w:rPr>
      </w:pPr>
    </w:p>
    <w:p w14:paraId="74C4FA83" w14:textId="180DDF28" w:rsidR="00397933" w:rsidRDefault="00397933" w:rsidP="003F1B2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w:t>
      </w:r>
      <w:r w:rsidR="005D50EE">
        <w:rPr>
          <w:rFonts w:ascii="Times New Roman" w:eastAsia="Times New Roman" w:hAnsi="Times New Roman" w:cs="Times New Roman"/>
          <w:sz w:val="24"/>
          <w:szCs w:val="24"/>
          <w:lang w:eastAsia="hr-HR"/>
        </w:rPr>
        <w:t xml:space="preserve">dosadašnjoj </w:t>
      </w:r>
      <w:r w:rsidRPr="000479E9">
        <w:rPr>
          <w:rFonts w:ascii="Times New Roman" w:eastAsia="Times New Roman" w:hAnsi="Times New Roman" w:cs="Times New Roman"/>
          <w:sz w:val="24"/>
          <w:szCs w:val="24"/>
          <w:lang w:eastAsia="hr-HR"/>
        </w:rPr>
        <w:t>točki 9.</w:t>
      </w:r>
      <w:r w:rsidR="007F1DC6" w:rsidRPr="000479E9">
        <w:rPr>
          <w:rFonts w:ascii="Times New Roman" w:eastAsia="Times New Roman" w:hAnsi="Times New Roman" w:cs="Times New Roman"/>
          <w:sz w:val="24"/>
          <w:szCs w:val="24"/>
          <w:lang w:eastAsia="hr-HR"/>
        </w:rPr>
        <w:t xml:space="preserve"> </w:t>
      </w:r>
      <w:r w:rsidR="005D50EE">
        <w:rPr>
          <w:rFonts w:ascii="Times New Roman" w:eastAsia="Times New Roman" w:hAnsi="Times New Roman" w:cs="Times New Roman"/>
          <w:sz w:val="24"/>
          <w:szCs w:val="24"/>
          <w:lang w:eastAsia="hr-HR"/>
        </w:rPr>
        <w:t xml:space="preserve">koja postaje točka 8. </w:t>
      </w:r>
      <w:r w:rsidR="000B5252" w:rsidRPr="000479E9">
        <w:rPr>
          <w:rFonts w:ascii="Times New Roman" w:eastAsia="Times New Roman" w:hAnsi="Times New Roman" w:cs="Times New Roman"/>
          <w:sz w:val="24"/>
          <w:szCs w:val="24"/>
          <w:lang w:eastAsia="hr-HR"/>
        </w:rPr>
        <w:t>riječi: „stavkom 10.“ zamjenjuju se riječima: „stavkom 6.“.</w:t>
      </w:r>
    </w:p>
    <w:p w14:paraId="3D1327DE" w14:textId="5BC23943" w:rsidR="005D50EE" w:rsidRDefault="005D50EE" w:rsidP="003F1B2F">
      <w:pPr>
        <w:spacing w:after="0" w:line="240" w:lineRule="auto"/>
        <w:jc w:val="both"/>
        <w:rPr>
          <w:rFonts w:ascii="Times New Roman" w:eastAsia="Times New Roman" w:hAnsi="Times New Roman" w:cs="Times New Roman"/>
          <w:sz w:val="24"/>
          <w:szCs w:val="24"/>
          <w:lang w:eastAsia="hr-HR"/>
        </w:rPr>
      </w:pPr>
    </w:p>
    <w:p w14:paraId="00914753" w14:textId="56E03FEB" w:rsidR="005D50EE" w:rsidRPr="005D50EE" w:rsidRDefault="005D50EE" w:rsidP="005D50EE">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Dosadašnja točka 10. postaje točka 9</w:t>
      </w:r>
      <w:r w:rsidRPr="005D50EE">
        <w:rPr>
          <w:rFonts w:ascii="Times New Roman" w:eastAsia="Times New Roman" w:hAnsi="Times New Roman" w:cs="Times New Roman"/>
          <w:sz w:val="24"/>
          <w:szCs w:val="24"/>
          <w:lang w:eastAsia="hr-HR"/>
        </w:rPr>
        <w:t>.</w:t>
      </w:r>
    </w:p>
    <w:p w14:paraId="451BB2BB" w14:textId="77777777" w:rsidR="005D50EE" w:rsidRPr="000479E9" w:rsidRDefault="005D50EE" w:rsidP="003F1B2F">
      <w:pPr>
        <w:spacing w:after="0" w:line="240" w:lineRule="auto"/>
        <w:jc w:val="both"/>
        <w:rPr>
          <w:rFonts w:ascii="Times New Roman" w:eastAsia="Times New Roman" w:hAnsi="Times New Roman" w:cs="Times New Roman"/>
          <w:sz w:val="24"/>
          <w:szCs w:val="24"/>
          <w:lang w:eastAsia="hr-HR"/>
        </w:rPr>
      </w:pPr>
    </w:p>
    <w:p w14:paraId="063236DC" w14:textId="77777777" w:rsidR="00C52658" w:rsidRPr="000479E9" w:rsidRDefault="00C52658" w:rsidP="003F1B2F">
      <w:pPr>
        <w:spacing w:after="0" w:line="240" w:lineRule="auto"/>
        <w:jc w:val="both"/>
        <w:rPr>
          <w:rFonts w:ascii="Times New Roman" w:eastAsia="Times New Roman" w:hAnsi="Times New Roman" w:cs="Times New Roman"/>
          <w:sz w:val="24"/>
          <w:szCs w:val="24"/>
          <w:lang w:eastAsia="hr-HR"/>
        </w:rPr>
      </w:pPr>
    </w:p>
    <w:p w14:paraId="47CA440F" w14:textId="35A1D78E" w:rsidR="003D5755" w:rsidRPr="000479E9" w:rsidRDefault="003D5755" w:rsidP="003F1B2F">
      <w:pPr>
        <w:spacing w:after="0" w:line="240" w:lineRule="auto"/>
        <w:jc w:val="both"/>
        <w:rPr>
          <w:rFonts w:ascii="Times New Roman" w:eastAsia="Times New Roman" w:hAnsi="Times New Roman" w:cs="Times New Roman"/>
          <w:sz w:val="24"/>
          <w:szCs w:val="24"/>
          <w:lang w:eastAsia="hr-HR"/>
        </w:rPr>
      </w:pPr>
    </w:p>
    <w:p w14:paraId="1CD72FD7" w14:textId="7B455D0B" w:rsidR="003D5755" w:rsidRPr="000479E9" w:rsidRDefault="003D5755" w:rsidP="003D5755">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850A80" w:rsidRPr="000479E9">
        <w:rPr>
          <w:rFonts w:ascii="Times New Roman" w:eastAsia="Times New Roman" w:hAnsi="Times New Roman" w:cs="Times New Roman"/>
          <w:b/>
          <w:sz w:val="24"/>
          <w:szCs w:val="24"/>
          <w:lang w:eastAsia="hr-HR"/>
        </w:rPr>
        <w:t>1</w:t>
      </w:r>
      <w:r w:rsidR="00071C5C"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w:t>
      </w:r>
    </w:p>
    <w:p w14:paraId="4719F802" w14:textId="77777777" w:rsidR="003D5755" w:rsidRPr="000479E9" w:rsidRDefault="003D5755" w:rsidP="003D5755">
      <w:pPr>
        <w:spacing w:after="0" w:line="240" w:lineRule="auto"/>
        <w:jc w:val="both"/>
        <w:rPr>
          <w:rFonts w:ascii="Times New Roman" w:eastAsia="Times New Roman" w:hAnsi="Times New Roman" w:cs="Times New Roman"/>
          <w:sz w:val="24"/>
          <w:szCs w:val="24"/>
          <w:lang w:eastAsia="hr-HR"/>
        </w:rPr>
      </w:pPr>
    </w:p>
    <w:p w14:paraId="76DA04E5" w14:textId="012457B0" w:rsidR="002F7318" w:rsidRPr="000479E9" w:rsidRDefault="005A1EAB"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720.</w:t>
      </w:r>
      <w:r w:rsidR="00474D43" w:rsidRPr="000479E9">
        <w:rPr>
          <w:rFonts w:ascii="Times New Roman" w:eastAsia="Times New Roman" w:hAnsi="Times New Roman" w:cs="Times New Roman"/>
          <w:sz w:val="24"/>
          <w:szCs w:val="24"/>
          <w:lang w:eastAsia="hr-HR"/>
        </w:rPr>
        <w:t xml:space="preserve"> stavku 1. </w:t>
      </w:r>
      <w:r w:rsidR="002F7318" w:rsidRPr="000479E9">
        <w:rPr>
          <w:rFonts w:ascii="Times New Roman" w:eastAsia="Times New Roman" w:hAnsi="Times New Roman" w:cs="Times New Roman"/>
          <w:sz w:val="24"/>
          <w:szCs w:val="24"/>
          <w:lang w:eastAsia="hr-HR"/>
        </w:rPr>
        <w:t>riječi: „1%“ zamjenjuju se riječima: „20.000,00 eura</w:t>
      </w:r>
      <w:r w:rsidR="0025086A" w:rsidRPr="000479E9">
        <w:rPr>
          <w:rFonts w:ascii="Times New Roman" w:eastAsia="Times New Roman" w:hAnsi="Times New Roman" w:cs="Times New Roman"/>
          <w:sz w:val="24"/>
          <w:szCs w:val="24"/>
          <w:lang w:eastAsia="hr-HR"/>
        </w:rPr>
        <w:t>“</w:t>
      </w:r>
      <w:r w:rsidR="00D22C6B" w:rsidRPr="000479E9">
        <w:rPr>
          <w:rFonts w:ascii="Times New Roman" w:eastAsia="Times New Roman" w:hAnsi="Times New Roman" w:cs="Times New Roman"/>
          <w:sz w:val="24"/>
          <w:szCs w:val="24"/>
          <w:lang w:eastAsia="hr-HR"/>
        </w:rPr>
        <w:t>.</w:t>
      </w:r>
    </w:p>
    <w:p w14:paraId="2F899C25" w14:textId="77777777" w:rsidR="002F7318" w:rsidRPr="000479E9" w:rsidRDefault="002F7318" w:rsidP="00617A00">
      <w:pPr>
        <w:spacing w:after="0" w:line="240" w:lineRule="auto"/>
        <w:jc w:val="both"/>
        <w:rPr>
          <w:rFonts w:ascii="Times New Roman" w:eastAsia="Times New Roman" w:hAnsi="Times New Roman" w:cs="Times New Roman"/>
          <w:sz w:val="24"/>
          <w:szCs w:val="24"/>
          <w:lang w:eastAsia="hr-HR"/>
        </w:rPr>
      </w:pPr>
    </w:p>
    <w:p w14:paraId="78BBC7F0" w14:textId="7255BDC3" w:rsidR="00690A7A" w:rsidRPr="000479E9" w:rsidRDefault="002F7318"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Točka </w:t>
      </w:r>
      <w:r w:rsidR="007650BA" w:rsidRPr="000479E9">
        <w:rPr>
          <w:rFonts w:ascii="Times New Roman" w:eastAsia="Times New Roman" w:hAnsi="Times New Roman" w:cs="Times New Roman"/>
          <w:sz w:val="24"/>
          <w:szCs w:val="24"/>
          <w:lang w:eastAsia="hr-HR"/>
        </w:rPr>
        <w:t>2. mijenja se i glasi:</w:t>
      </w:r>
    </w:p>
    <w:p w14:paraId="400F058F" w14:textId="1B551A4A" w:rsidR="00474D43" w:rsidRPr="000479E9" w:rsidRDefault="00474D43" w:rsidP="00617A00">
      <w:pPr>
        <w:spacing w:after="0" w:line="240" w:lineRule="auto"/>
        <w:jc w:val="both"/>
        <w:rPr>
          <w:rFonts w:ascii="Times New Roman" w:eastAsia="Times New Roman" w:hAnsi="Times New Roman" w:cs="Times New Roman"/>
          <w:sz w:val="24"/>
          <w:szCs w:val="24"/>
          <w:lang w:eastAsia="hr-HR"/>
        </w:rPr>
      </w:pPr>
    </w:p>
    <w:p w14:paraId="2ADE4C78" w14:textId="51396324" w:rsidR="00474D43" w:rsidRPr="000479E9" w:rsidRDefault="007650BA"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w:t>
      </w:r>
      <w:r w:rsidR="00474D43" w:rsidRPr="000479E9">
        <w:rPr>
          <w:rFonts w:ascii="Times New Roman" w:eastAsia="Times New Roman" w:hAnsi="Times New Roman" w:cs="Times New Roman"/>
          <w:sz w:val="24"/>
          <w:szCs w:val="24"/>
          <w:lang w:eastAsia="hr-HR"/>
        </w:rPr>
        <w:t>ne dostavi Agenciji</w:t>
      </w:r>
      <w:r w:rsidR="00EF38DA" w:rsidRPr="000479E9">
        <w:rPr>
          <w:rFonts w:ascii="Times New Roman" w:eastAsia="Times New Roman" w:hAnsi="Times New Roman" w:cs="Times New Roman"/>
          <w:sz w:val="24"/>
          <w:szCs w:val="24"/>
          <w:lang w:eastAsia="hr-HR"/>
        </w:rPr>
        <w:t xml:space="preserve"> prijedlog</w:t>
      </w:r>
      <w:r w:rsidR="00474D43" w:rsidRPr="000479E9">
        <w:rPr>
          <w:rFonts w:ascii="Times New Roman" w:eastAsia="Times New Roman" w:hAnsi="Times New Roman" w:cs="Times New Roman"/>
          <w:sz w:val="24"/>
          <w:szCs w:val="24"/>
          <w:lang w:eastAsia="hr-HR"/>
        </w:rPr>
        <w:t xml:space="preserve"> operativn</w:t>
      </w:r>
      <w:r w:rsidR="00EF38DA" w:rsidRPr="000479E9">
        <w:rPr>
          <w:rFonts w:ascii="Times New Roman" w:eastAsia="Times New Roman" w:hAnsi="Times New Roman" w:cs="Times New Roman"/>
          <w:sz w:val="24"/>
          <w:szCs w:val="24"/>
          <w:lang w:eastAsia="hr-HR"/>
        </w:rPr>
        <w:t>ih</w:t>
      </w:r>
      <w:r w:rsidR="00474D43" w:rsidRPr="000479E9">
        <w:rPr>
          <w:rFonts w:ascii="Times New Roman" w:eastAsia="Times New Roman" w:hAnsi="Times New Roman" w:cs="Times New Roman"/>
          <w:sz w:val="24"/>
          <w:szCs w:val="24"/>
          <w:lang w:eastAsia="hr-HR"/>
        </w:rPr>
        <w:t xml:space="preserve"> pravila rada i/ili njihove promjene, u skladu s člankom 566. stavkom </w:t>
      </w:r>
      <w:r w:rsidR="003D459D" w:rsidRPr="000479E9">
        <w:rPr>
          <w:rFonts w:ascii="Times New Roman" w:eastAsia="Times New Roman" w:hAnsi="Times New Roman" w:cs="Times New Roman"/>
          <w:sz w:val="24"/>
          <w:szCs w:val="24"/>
          <w:lang w:eastAsia="hr-HR"/>
        </w:rPr>
        <w:t>2</w:t>
      </w:r>
      <w:r w:rsidR="00474D43" w:rsidRPr="000479E9">
        <w:rPr>
          <w:rFonts w:ascii="Times New Roman" w:eastAsia="Times New Roman" w:hAnsi="Times New Roman" w:cs="Times New Roman"/>
          <w:sz w:val="24"/>
          <w:szCs w:val="24"/>
          <w:lang w:eastAsia="hr-HR"/>
        </w:rPr>
        <w:t>. ovoga Zakona</w:t>
      </w:r>
      <w:r w:rsidR="00AB0592" w:rsidRPr="000479E9">
        <w:rPr>
          <w:rFonts w:ascii="Times New Roman" w:eastAsia="Times New Roman" w:hAnsi="Times New Roman" w:cs="Times New Roman"/>
          <w:sz w:val="24"/>
          <w:szCs w:val="24"/>
          <w:lang w:eastAsia="hr-HR"/>
        </w:rPr>
        <w:t>“</w:t>
      </w:r>
      <w:r w:rsidR="00C52658" w:rsidRPr="000479E9">
        <w:rPr>
          <w:rFonts w:ascii="Times New Roman" w:eastAsia="Times New Roman" w:hAnsi="Times New Roman" w:cs="Times New Roman"/>
          <w:sz w:val="24"/>
          <w:szCs w:val="24"/>
          <w:lang w:eastAsia="hr-HR"/>
        </w:rPr>
        <w:t>.</w:t>
      </w:r>
    </w:p>
    <w:p w14:paraId="3D32BCB9" w14:textId="77777777" w:rsidR="00C52658" w:rsidRPr="000479E9" w:rsidRDefault="00C52658" w:rsidP="00617A00">
      <w:pPr>
        <w:spacing w:after="0" w:line="240" w:lineRule="auto"/>
        <w:jc w:val="both"/>
        <w:rPr>
          <w:rFonts w:ascii="Times New Roman" w:eastAsia="Times New Roman" w:hAnsi="Times New Roman" w:cs="Times New Roman"/>
          <w:sz w:val="24"/>
          <w:szCs w:val="24"/>
          <w:lang w:eastAsia="hr-HR"/>
        </w:rPr>
      </w:pPr>
    </w:p>
    <w:p w14:paraId="3112626C" w14:textId="7AF590BE" w:rsidR="00AB0592" w:rsidRPr="000479E9" w:rsidRDefault="00AB0592"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Iza točke 2. dodaje se točka 2.a koja </w:t>
      </w:r>
      <w:r w:rsidR="00EE1F43" w:rsidRPr="000479E9">
        <w:rPr>
          <w:rFonts w:ascii="Times New Roman" w:eastAsia="Times New Roman" w:hAnsi="Times New Roman" w:cs="Times New Roman"/>
          <w:sz w:val="24"/>
          <w:szCs w:val="24"/>
          <w:lang w:eastAsia="hr-HR"/>
        </w:rPr>
        <w:t>glasi:</w:t>
      </w:r>
    </w:p>
    <w:p w14:paraId="39BEB179" w14:textId="77777777" w:rsidR="00C52658" w:rsidRPr="000479E9" w:rsidRDefault="00C52658" w:rsidP="00617A00">
      <w:pPr>
        <w:spacing w:after="0" w:line="240" w:lineRule="auto"/>
        <w:jc w:val="both"/>
        <w:rPr>
          <w:rFonts w:ascii="Times New Roman" w:eastAsia="Times New Roman" w:hAnsi="Times New Roman" w:cs="Times New Roman"/>
          <w:sz w:val="24"/>
          <w:szCs w:val="24"/>
          <w:lang w:eastAsia="hr-HR"/>
        </w:rPr>
      </w:pPr>
    </w:p>
    <w:p w14:paraId="71DC15A3" w14:textId="77777777" w:rsidR="00F5270C" w:rsidRPr="000479E9" w:rsidRDefault="00EE1F43"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„2.a </w:t>
      </w:r>
      <w:r w:rsidR="007B412A" w:rsidRPr="000479E9">
        <w:rPr>
          <w:rFonts w:ascii="Times New Roman" w:eastAsia="Times New Roman" w:hAnsi="Times New Roman" w:cs="Times New Roman"/>
          <w:sz w:val="24"/>
          <w:szCs w:val="24"/>
          <w:lang w:eastAsia="hr-HR"/>
        </w:rPr>
        <w:t xml:space="preserve">ne obrazloži </w:t>
      </w:r>
      <w:r w:rsidRPr="000479E9">
        <w:rPr>
          <w:rFonts w:ascii="Times New Roman" w:eastAsia="Times New Roman" w:hAnsi="Times New Roman" w:cs="Times New Roman"/>
          <w:sz w:val="24"/>
          <w:szCs w:val="24"/>
          <w:lang w:eastAsia="hr-HR"/>
        </w:rPr>
        <w:t>Agenciji razlog</w:t>
      </w:r>
      <w:r w:rsidR="0097570E" w:rsidRPr="000479E9">
        <w:rPr>
          <w:rFonts w:ascii="Times New Roman" w:eastAsia="Times New Roman" w:hAnsi="Times New Roman" w:cs="Times New Roman"/>
          <w:sz w:val="24"/>
          <w:szCs w:val="24"/>
          <w:lang w:eastAsia="hr-HR"/>
        </w:rPr>
        <w:t>e skraćivanja savjetovanja i hitnost usvajanja izmjena</w:t>
      </w:r>
      <w:r w:rsidR="009E2158" w:rsidRPr="000479E9">
        <w:rPr>
          <w:rFonts w:ascii="Times New Roman" w:eastAsia="Times New Roman" w:hAnsi="Times New Roman" w:cs="Times New Roman"/>
          <w:sz w:val="24"/>
          <w:szCs w:val="24"/>
          <w:lang w:eastAsia="hr-HR"/>
        </w:rPr>
        <w:t xml:space="preserve"> operativnih pravila rada, protivno članku 566. stavku 3. ovoga Zakona“.</w:t>
      </w:r>
    </w:p>
    <w:p w14:paraId="68E6DF50" w14:textId="77777777" w:rsidR="0025086A" w:rsidRPr="000479E9" w:rsidRDefault="0025086A" w:rsidP="00617A00">
      <w:pPr>
        <w:spacing w:after="0" w:line="240" w:lineRule="auto"/>
        <w:jc w:val="both"/>
        <w:rPr>
          <w:rFonts w:ascii="Times New Roman" w:eastAsia="Times New Roman" w:hAnsi="Times New Roman" w:cs="Times New Roman"/>
          <w:sz w:val="24"/>
          <w:szCs w:val="24"/>
          <w:lang w:eastAsia="hr-HR"/>
        </w:rPr>
      </w:pPr>
    </w:p>
    <w:p w14:paraId="27A0FDBF" w14:textId="73951FF8" w:rsidR="0025086A" w:rsidRPr="000479E9" w:rsidRDefault="0025086A"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Stavak 2. briše se. </w:t>
      </w:r>
    </w:p>
    <w:p w14:paraId="3AF85CD0" w14:textId="77777777" w:rsidR="00D22C6B" w:rsidRPr="000479E9" w:rsidRDefault="00D22C6B" w:rsidP="00617A00">
      <w:pPr>
        <w:spacing w:after="0" w:line="240" w:lineRule="auto"/>
        <w:jc w:val="both"/>
        <w:rPr>
          <w:rFonts w:ascii="Times New Roman" w:eastAsia="Times New Roman" w:hAnsi="Times New Roman" w:cs="Times New Roman"/>
          <w:sz w:val="24"/>
          <w:szCs w:val="24"/>
          <w:lang w:eastAsia="hr-HR"/>
        </w:rPr>
      </w:pPr>
    </w:p>
    <w:p w14:paraId="49423B9F" w14:textId="02225B6B" w:rsidR="0025086A" w:rsidRDefault="0025086A"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w:t>
      </w:r>
      <w:r w:rsidR="00F00DC7">
        <w:rPr>
          <w:rFonts w:ascii="Times New Roman" w:eastAsia="Times New Roman" w:hAnsi="Times New Roman" w:cs="Times New Roman"/>
          <w:sz w:val="24"/>
          <w:szCs w:val="24"/>
          <w:lang w:eastAsia="hr-HR"/>
        </w:rPr>
        <w:t xml:space="preserve">dosadašnjem </w:t>
      </w:r>
      <w:r w:rsidRPr="000479E9">
        <w:rPr>
          <w:rFonts w:ascii="Times New Roman" w:eastAsia="Times New Roman" w:hAnsi="Times New Roman" w:cs="Times New Roman"/>
          <w:sz w:val="24"/>
          <w:szCs w:val="24"/>
          <w:lang w:eastAsia="hr-HR"/>
        </w:rPr>
        <w:t xml:space="preserve">stavku 3. </w:t>
      </w:r>
      <w:r w:rsidR="00F00DC7">
        <w:rPr>
          <w:rFonts w:ascii="Times New Roman" w:eastAsia="Times New Roman" w:hAnsi="Times New Roman" w:cs="Times New Roman"/>
          <w:sz w:val="24"/>
          <w:szCs w:val="24"/>
          <w:lang w:eastAsia="hr-HR"/>
        </w:rPr>
        <w:t xml:space="preserve">koji postaje stavak 2. </w:t>
      </w:r>
      <w:r w:rsidRPr="000479E9">
        <w:rPr>
          <w:rFonts w:ascii="Times New Roman" w:eastAsia="Times New Roman" w:hAnsi="Times New Roman" w:cs="Times New Roman"/>
          <w:sz w:val="24"/>
          <w:szCs w:val="24"/>
          <w:lang w:eastAsia="hr-HR"/>
        </w:rPr>
        <w:t>riječi: „stavaka 1. i 2.“ zamjenjuju se riječima: „stavka 1.“</w:t>
      </w:r>
      <w:r w:rsidR="00D22C6B" w:rsidRPr="000479E9">
        <w:rPr>
          <w:rFonts w:ascii="Times New Roman" w:eastAsia="Times New Roman" w:hAnsi="Times New Roman" w:cs="Times New Roman"/>
          <w:sz w:val="24"/>
          <w:szCs w:val="24"/>
          <w:lang w:eastAsia="hr-HR"/>
        </w:rPr>
        <w:t>.</w:t>
      </w:r>
    </w:p>
    <w:p w14:paraId="7B19C0A1" w14:textId="2E882471" w:rsidR="00F00DC7" w:rsidRDefault="00F00DC7" w:rsidP="00617A00">
      <w:pPr>
        <w:spacing w:after="0" w:line="240" w:lineRule="auto"/>
        <w:jc w:val="both"/>
        <w:rPr>
          <w:rFonts w:ascii="Times New Roman" w:eastAsia="Times New Roman" w:hAnsi="Times New Roman" w:cs="Times New Roman"/>
          <w:sz w:val="24"/>
          <w:szCs w:val="24"/>
          <w:lang w:eastAsia="hr-HR"/>
        </w:rPr>
      </w:pPr>
    </w:p>
    <w:p w14:paraId="37EAC729" w14:textId="585FB22E" w:rsidR="00F00DC7" w:rsidRPr="000479E9" w:rsidRDefault="00F00DC7" w:rsidP="00617A00">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Dosadašnji stavak 4. postaje stavak 3.</w:t>
      </w:r>
    </w:p>
    <w:p w14:paraId="62FBC1F1" w14:textId="3293F99F" w:rsidR="005A1EAB" w:rsidRPr="000479E9" w:rsidRDefault="0097570E"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 </w:t>
      </w:r>
      <w:r w:rsidR="00EE1F43" w:rsidRPr="000479E9">
        <w:rPr>
          <w:rFonts w:ascii="Times New Roman" w:eastAsia="Times New Roman" w:hAnsi="Times New Roman" w:cs="Times New Roman"/>
          <w:sz w:val="24"/>
          <w:szCs w:val="24"/>
          <w:lang w:eastAsia="hr-HR"/>
        </w:rPr>
        <w:t xml:space="preserve"> </w:t>
      </w:r>
    </w:p>
    <w:p w14:paraId="58EA21A2" w14:textId="2F0F7AD0" w:rsidR="005A1EAB" w:rsidRPr="000479E9" w:rsidRDefault="005A1EAB" w:rsidP="005A1EAB">
      <w:pPr>
        <w:spacing w:after="0" w:line="240" w:lineRule="auto"/>
        <w:jc w:val="cente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Članak </w:t>
      </w:r>
      <w:r w:rsidR="00850A80" w:rsidRPr="000479E9">
        <w:rPr>
          <w:rFonts w:ascii="Times New Roman" w:eastAsia="Times New Roman" w:hAnsi="Times New Roman" w:cs="Times New Roman"/>
          <w:b/>
          <w:sz w:val="24"/>
          <w:szCs w:val="24"/>
          <w:lang w:eastAsia="hr-HR"/>
        </w:rPr>
        <w:t>1</w:t>
      </w:r>
      <w:r w:rsidR="00071C5C"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w:t>
      </w:r>
    </w:p>
    <w:p w14:paraId="243D384A" w14:textId="5BA53C95" w:rsidR="005A1EAB" w:rsidRPr="000479E9" w:rsidRDefault="005A1EAB" w:rsidP="005A1EAB">
      <w:pPr>
        <w:spacing w:after="0" w:line="240" w:lineRule="auto"/>
        <w:jc w:val="center"/>
        <w:rPr>
          <w:rFonts w:ascii="Times New Roman" w:eastAsia="Times New Roman" w:hAnsi="Times New Roman" w:cs="Times New Roman"/>
          <w:sz w:val="24"/>
          <w:szCs w:val="24"/>
          <w:lang w:eastAsia="hr-HR"/>
        </w:rPr>
      </w:pPr>
    </w:p>
    <w:p w14:paraId="02DD04FD" w14:textId="77777777" w:rsidR="005D0E57" w:rsidRPr="000479E9" w:rsidRDefault="005A1EAB" w:rsidP="005A1EAB">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721.</w:t>
      </w:r>
      <w:r w:rsidR="005D0E57" w:rsidRPr="000479E9">
        <w:rPr>
          <w:rFonts w:ascii="Times New Roman" w:eastAsia="Times New Roman" w:hAnsi="Times New Roman" w:cs="Times New Roman"/>
          <w:sz w:val="24"/>
          <w:szCs w:val="24"/>
          <w:lang w:eastAsia="hr-HR"/>
        </w:rPr>
        <w:t xml:space="preserve"> stavku 1.</w:t>
      </w:r>
      <w:r w:rsidR="002D40D4" w:rsidRPr="000479E9">
        <w:rPr>
          <w:rFonts w:ascii="Times New Roman" w:eastAsia="Times New Roman" w:hAnsi="Times New Roman" w:cs="Times New Roman"/>
          <w:sz w:val="24"/>
          <w:szCs w:val="24"/>
          <w:lang w:eastAsia="hr-HR"/>
        </w:rPr>
        <w:t xml:space="preserve"> </w:t>
      </w:r>
      <w:r w:rsidR="005D0E57" w:rsidRPr="000479E9">
        <w:rPr>
          <w:rFonts w:ascii="Times New Roman" w:eastAsia="Times New Roman" w:hAnsi="Times New Roman" w:cs="Times New Roman"/>
          <w:sz w:val="24"/>
          <w:szCs w:val="24"/>
          <w:lang w:eastAsia="hr-HR"/>
        </w:rPr>
        <w:t>točka 1. mijenja se i glasi:</w:t>
      </w:r>
    </w:p>
    <w:p w14:paraId="39721D9C" w14:textId="77777777" w:rsidR="005D0E57" w:rsidRPr="000479E9" w:rsidRDefault="005D0E57" w:rsidP="005A1EAB">
      <w:pPr>
        <w:spacing w:after="0" w:line="240" w:lineRule="auto"/>
        <w:jc w:val="both"/>
        <w:rPr>
          <w:rFonts w:ascii="Times New Roman" w:eastAsia="Times New Roman" w:hAnsi="Times New Roman" w:cs="Times New Roman"/>
          <w:sz w:val="24"/>
          <w:szCs w:val="24"/>
          <w:lang w:eastAsia="hr-HR"/>
        </w:rPr>
      </w:pPr>
    </w:p>
    <w:p w14:paraId="3CC885DB" w14:textId="006D84D8" w:rsidR="005D0E57" w:rsidRPr="000479E9" w:rsidRDefault="005D0E57" w:rsidP="005A1EAB">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ne postupi po rješenju kojim Agencija nalaže usvajanje izmjena prijedloga promjene operativnih pravila rada, protivno članku 566. stavku </w:t>
      </w:r>
      <w:r w:rsidR="003D459D" w:rsidRPr="000479E9">
        <w:rPr>
          <w:rFonts w:ascii="Times New Roman" w:eastAsia="Times New Roman" w:hAnsi="Times New Roman" w:cs="Times New Roman"/>
          <w:sz w:val="24"/>
          <w:szCs w:val="24"/>
          <w:lang w:eastAsia="hr-HR"/>
        </w:rPr>
        <w:t>5</w:t>
      </w:r>
      <w:r w:rsidRPr="000479E9">
        <w:rPr>
          <w:rFonts w:ascii="Times New Roman" w:eastAsia="Times New Roman" w:hAnsi="Times New Roman" w:cs="Times New Roman"/>
          <w:sz w:val="24"/>
          <w:szCs w:val="24"/>
          <w:lang w:eastAsia="hr-HR"/>
        </w:rPr>
        <w:t>. ovoga Zakona“.</w:t>
      </w:r>
    </w:p>
    <w:p w14:paraId="70737010" w14:textId="77777777" w:rsidR="005D0E57" w:rsidRPr="000479E9" w:rsidRDefault="005D0E57" w:rsidP="005A1EAB">
      <w:pPr>
        <w:spacing w:after="0" w:line="240" w:lineRule="auto"/>
        <w:jc w:val="both"/>
        <w:rPr>
          <w:rFonts w:ascii="Times New Roman" w:eastAsia="Times New Roman" w:hAnsi="Times New Roman" w:cs="Times New Roman"/>
          <w:sz w:val="24"/>
          <w:szCs w:val="24"/>
          <w:lang w:eastAsia="hr-HR"/>
        </w:rPr>
      </w:pPr>
    </w:p>
    <w:p w14:paraId="20A9693B" w14:textId="2422D675" w:rsidR="00314088" w:rsidRPr="000479E9" w:rsidRDefault="005D0E57" w:rsidP="005D0E5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t</w:t>
      </w:r>
      <w:r w:rsidR="002D40D4" w:rsidRPr="000479E9">
        <w:rPr>
          <w:rFonts w:ascii="Times New Roman" w:eastAsia="Times New Roman" w:hAnsi="Times New Roman" w:cs="Times New Roman"/>
          <w:sz w:val="24"/>
          <w:szCs w:val="24"/>
          <w:lang w:eastAsia="hr-HR"/>
        </w:rPr>
        <w:t>očk</w:t>
      </w:r>
      <w:r w:rsidRPr="000479E9">
        <w:rPr>
          <w:rFonts w:ascii="Times New Roman" w:eastAsia="Times New Roman" w:hAnsi="Times New Roman" w:cs="Times New Roman"/>
          <w:sz w:val="24"/>
          <w:szCs w:val="24"/>
          <w:lang w:eastAsia="hr-HR"/>
        </w:rPr>
        <w:t>i</w:t>
      </w:r>
      <w:r w:rsidR="002D40D4" w:rsidRPr="000479E9">
        <w:rPr>
          <w:rFonts w:ascii="Times New Roman" w:eastAsia="Times New Roman" w:hAnsi="Times New Roman" w:cs="Times New Roman"/>
          <w:sz w:val="24"/>
          <w:szCs w:val="24"/>
          <w:lang w:eastAsia="hr-HR"/>
        </w:rPr>
        <w:t xml:space="preserve"> </w:t>
      </w:r>
      <w:r w:rsidR="00C66891" w:rsidRPr="000479E9">
        <w:rPr>
          <w:rFonts w:ascii="Times New Roman" w:eastAsia="Times New Roman" w:hAnsi="Times New Roman" w:cs="Times New Roman"/>
          <w:sz w:val="24"/>
          <w:szCs w:val="24"/>
          <w:lang w:eastAsia="hr-HR"/>
        </w:rPr>
        <w:t>2</w:t>
      </w:r>
      <w:r w:rsidR="002D40D4" w:rsidRPr="000479E9">
        <w:rPr>
          <w:rFonts w:ascii="Times New Roman" w:eastAsia="Times New Roman" w:hAnsi="Times New Roman" w:cs="Times New Roman"/>
          <w:sz w:val="24"/>
          <w:szCs w:val="24"/>
          <w:lang w:eastAsia="hr-HR"/>
        </w:rPr>
        <w:t>.</w:t>
      </w:r>
      <w:r w:rsidR="00314088" w:rsidRPr="000479E9">
        <w:rPr>
          <w:rFonts w:ascii="Times New Roman" w:eastAsia="Times New Roman" w:hAnsi="Times New Roman" w:cs="Times New Roman"/>
          <w:sz w:val="24"/>
          <w:szCs w:val="24"/>
          <w:lang w:eastAsia="hr-HR"/>
        </w:rPr>
        <w:t xml:space="preserve"> riječi: „najmanje 30 dana prije njihova upućivanja Agenciji“ zamjenjuju se riječima: „</w:t>
      </w:r>
      <w:r w:rsidR="00D62323" w:rsidRPr="000479E9">
        <w:rPr>
          <w:rFonts w:ascii="Times New Roman" w:eastAsia="Times New Roman" w:hAnsi="Times New Roman" w:cs="Times New Roman"/>
          <w:sz w:val="24"/>
          <w:szCs w:val="24"/>
          <w:lang w:eastAsia="hr-HR"/>
        </w:rPr>
        <w:t>najkasnije 15 dana prije njihova usvajanja“.</w:t>
      </w:r>
    </w:p>
    <w:p w14:paraId="11D71BD8" w14:textId="77777777" w:rsidR="00C52658" w:rsidRPr="000479E9" w:rsidRDefault="00C52658" w:rsidP="005A1EAB">
      <w:pPr>
        <w:spacing w:after="0" w:line="240" w:lineRule="auto"/>
        <w:jc w:val="both"/>
        <w:rPr>
          <w:rFonts w:ascii="Times New Roman" w:eastAsia="Times New Roman" w:hAnsi="Times New Roman" w:cs="Times New Roman"/>
          <w:sz w:val="24"/>
          <w:szCs w:val="24"/>
          <w:lang w:eastAsia="hr-HR"/>
        </w:rPr>
      </w:pPr>
    </w:p>
    <w:p w14:paraId="707040A4" w14:textId="048E0533" w:rsidR="00CD15A8" w:rsidRPr="000479E9" w:rsidRDefault="00CD15A8" w:rsidP="005A1EAB">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U točki 3. riječi: „stavkom 9.“ zamjenjuju se riječima: „stavkom </w:t>
      </w:r>
      <w:r w:rsidR="003D459D" w:rsidRPr="000479E9">
        <w:rPr>
          <w:rFonts w:ascii="Times New Roman" w:eastAsia="Times New Roman" w:hAnsi="Times New Roman" w:cs="Times New Roman"/>
          <w:sz w:val="24"/>
          <w:szCs w:val="24"/>
          <w:lang w:eastAsia="hr-HR"/>
        </w:rPr>
        <w:t>7</w:t>
      </w:r>
      <w:r w:rsidR="009771A3" w:rsidRPr="000479E9">
        <w:rPr>
          <w:rFonts w:ascii="Times New Roman" w:eastAsia="Times New Roman" w:hAnsi="Times New Roman" w:cs="Times New Roman"/>
          <w:sz w:val="24"/>
          <w:szCs w:val="24"/>
          <w:lang w:eastAsia="hr-HR"/>
        </w:rPr>
        <w:t>.“.</w:t>
      </w:r>
    </w:p>
    <w:p w14:paraId="0FBCB99B" w14:textId="77777777" w:rsidR="0025086A" w:rsidRPr="000479E9" w:rsidRDefault="0025086A" w:rsidP="005A1EAB">
      <w:pPr>
        <w:spacing w:after="0" w:line="240" w:lineRule="auto"/>
        <w:jc w:val="both"/>
        <w:rPr>
          <w:rFonts w:ascii="Times New Roman" w:eastAsia="Times New Roman" w:hAnsi="Times New Roman" w:cs="Times New Roman"/>
          <w:sz w:val="24"/>
          <w:szCs w:val="24"/>
          <w:lang w:eastAsia="hr-HR"/>
        </w:rPr>
      </w:pPr>
    </w:p>
    <w:p w14:paraId="6B613B62" w14:textId="7FE7554D" w:rsidR="0025086A" w:rsidRPr="000479E9" w:rsidRDefault="0025086A" w:rsidP="00483C2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Članak 11</w:t>
      </w:r>
      <w:r w:rsidR="00F84BAF">
        <w:rPr>
          <w:rFonts w:ascii="Times New Roman" w:eastAsia="Times New Roman" w:hAnsi="Times New Roman" w:cs="Times New Roman"/>
          <w:b/>
          <w:bCs/>
          <w:sz w:val="24"/>
          <w:szCs w:val="24"/>
          <w:lang w:eastAsia="hr-HR"/>
        </w:rPr>
        <w:t>8</w:t>
      </w:r>
      <w:r w:rsidRPr="000479E9">
        <w:rPr>
          <w:rFonts w:ascii="Times New Roman" w:eastAsia="Times New Roman" w:hAnsi="Times New Roman" w:cs="Times New Roman"/>
          <w:b/>
          <w:bCs/>
          <w:sz w:val="24"/>
          <w:szCs w:val="24"/>
          <w:lang w:eastAsia="hr-HR"/>
        </w:rPr>
        <w:t>.</w:t>
      </w:r>
    </w:p>
    <w:p w14:paraId="15CBB5C8" w14:textId="77777777" w:rsidR="009771A3" w:rsidRPr="000479E9" w:rsidRDefault="009771A3" w:rsidP="005A1EAB">
      <w:pPr>
        <w:spacing w:after="0" w:line="240" w:lineRule="auto"/>
        <w:jc w:val="both"/>
        <w:rPr>
          <w:rFonts w:ascii="Times New Roman" w:eastAsia="Times New Roman" w:hAnsi="Times New Roman" w:cs="Times New Roman"/>
          <w:sz w:val="24"/>
          <w:szCs w:val="24"/>
          <w:lang w:eastAsia="hr-HR"/>
        </w:rPr>
      </w:pPr>
    </w:p>
    <w:p w14:paraId="1CC8EABB" w14:textId="13460D8B" w:rsidR="0025086A" w:rsidRPr="000479E9" w:rsidRDefault="0025086A" w:rsidP="005A1EAB">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Naslovi iznad članka i članci 723. i 724. brišu se.</w:t>
      </w:r>
    </w:p>
    <w:p w14:paraId="1839BF11" w14:textId="77777777" w:rsidR="002D40D4" w:rsidRPr="000479E9" w:rsidRDefault="002D40D4" w:rsidP="005A1EAB">
      <w:pPr>
        <w:spacing w:after="0" w:line="240" w:lineRule="auto"/>
        <w:jc w:val="both"/>
        <w:rPr>
          <w:rFonts w:ascii="Times New Roman" w:eastAsia="Times New Roman" w:hAnsi="Times New Roman" w:cs="Times New Roman"/>
          <w:sz w:val="24"/>
          <w:szCs w:val="24"/>
          <w:lang w:eastAsia="hr-HR"/>
        </w:rPr>
      </w:pPr>
    </w:p>
    <w:p w14:paraId="4763FBF3" w14:textId="6F9039BE" w:rsidR="001E615F" w:rsidRPr="000479E9" w:rsidRDefault="001E615F" w:rsidP="00617A00">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PRIJELAZNE I ZAVRŠNE ODREDBE</w:t>
      </w:r>
    </w:p>
    <w:p w14:paraId="61C57B48" w14:textId="77777777" w:rsidR="001E615F" w:rsidRPr="000479E9" w:rsidRDefault="001E615F" w:rsidP="00617A00">
      <w:pPr>
        <w:spacing w:after="0" w:line="240" w:lineRule="auto"/>
        <w:jc w:val="center"/>
        <w:rPr>
          <w:rFonts w:ascii="Times New Roman" w:eastAsia="Times New Roman" w:hAnsi="Times New Roman" w:cs="Times New Roman"/>
          <w:sz w:val="24"/>
          <w:szCs w:val="24"/>
          <w:lang w:eastAsia="hr-HR"/>
        </w:rPr>
      </w:pPr>
    </w:p>
    <w:p w14:paraId="6A28CE11" w14:textId="68C05FB5" w:rsidR="006F029E" w:rsidRPr="000479E9" w:rsidRDefault="006F029E"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850A80" w:rsidRPr="000479E9">
        <w:rPr>
          <w:rFonts w:ascii="Times New Roman" w:eastAsia="Times New Roman" w:hAnsi="Times New Roman" w:cs="Times New Roman"/>
          <w:b/>
          <w:bCs/>
          <w:sz w:val="24"/>
          <w:szCs w:val="24"/>
          <w:lang w:eastAsia="hr-HR"/>
        </w:rPr>
        <w:t>1</w:t>
      </w:r>
      <w:r w:rsidR="00F84BAF">
        <w:rPr>
          <w:rFonts w:ascii="Times New Roman" w:eastAsia="Times New Roman" w:hAnsi="Times New Roman" w:cs="Times New Roman"/>
          <w:b/>
          <w:bCs/>
          <w:sz w:val="24"/>
          <w:szCs w:val="24"/>
          <w:lang w:eastAsia="hr-HR"/>
        </w:rPr>
        <w:t>19</w:t>
      </w:r>
      <w:r w:rsidRPr="000479E9">
        <w:rPr>
          <w:rFonts w:ascii="Times New Roman" w:eastAsia="Times New Roman" w:hAnsi="Times New Roman" w:cs="Times New Roman"/>
          <w:b/>
          <w:bCs/>
          <w:sz w:val="24"/>
          <w:szCs w:val="24"/>
          <w:lang w:eastAsia="hr-HR"/>
        </w:rPr>
        <w:t xml:space="preserve">. </w:t>
      </w:r>
    </w:p>
    <w:p w14:paraId="10D5BBCC" w14:textId="77777777" w:rsidR="006F029E" w:rsidRPr="000479E9" w:rsidRDefault="006F029E" w:rsidP="006F029E">
      <w:pPr>
        <w:spacing w:after="0" w:line="240" w:lineRule="auto"/>
        <w:jc w:val="both"/>
        <w:rPr>
          <w:rFonts w:ascii="Times New Roman" w:eastAsia="Times New Roman" w:hAnsi="Times New Roman" w:cs="Times New Roman"/>
          <w:b/>
          <w:bCs/>
          <w:sz w:val="24"/>
          <w:szCs w:val="24"/>
          <w:lang w:eastAsia="hr-HR"/>
        </w:rPr>
      </w:pPr>
    </w:p>
    <w:p w14:paraId="4BB00A22" w14:textId="7CBE16F2" w:rsidR="006F029E" w:rsidRPr="000479E9" w:rsidRDefault="00F85982" w:rsidP="006F029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w:t>
      </w:r>
      <w:r w:rsidR="006F029E" w:rsidRPr="000479E9">
        <w:rPr>
          <w:rFonts w:ascii="Times New Roman" w:eastAsia="Times New Roman" w:hAnsi="Times New Roman" w:cs="Times New Roman"/>
          <w:sz w:val="24"/>
          <w:szCs w:val="24"/>
          <w:lang w:eastAsia="hr-HR"/>
        </w:rPr>
        <w:t>Postupci pokrenuti pred Agencijom do dana stupanja na snagu ovoga Zakona dovršit će se primjenom odredaba Zakona o tržištu kapitala (</w:t>
      </w:r>
      <w:r w:rsidR="00DA4C25" w:rsidRPr="000479E9">
        <w:rPr>
          <w:rFonts w:ascii="Times New Roman" w:eastAsia="Times New Roman" w:hAnsi="Times New Roman" w:cs="Times New Roman"/>
          <w:sz w:val="24"/>
          <w:szCs w:val="24"/>
          <w:lang w:eastAsia="hr-HR"/>
        </w:rPr>
        <w:t>„</w:t>
      </w:r>
      <w:r w:rsidR="006F029E" w:rsidRPr="000479E9">
        <w:rPr>
          <w:rFonts w:ascii="Times New Roman" w:eastAsia="Times New Roman" w:hAnsi="Times New Roman" w:cs="Times New Roman"/>
          <w:sz w:val="24"/>
          <w:szCs w:val="24"/>
          <w:lang w:eastAsia="hr-HR"/>
        </w:rPr>
        <w:t>Narodne novine</w:t>
      </w:r>
      <w:r w:rsidR="00DA4C25" w:rsidRPr="000479E9">
        <w:rPr>
          <w:rFonts w:ascii="Times New Roman" w:eastAsia="Times New Roman" w:hAnsi="Times New Roman" w:cs="Times New Roman"/>
          <w:sz w:val="24"/>
          <w:szCs w:val="24"/>
          <w:lang w:eastAsia="hr-HR"/>
        </w:rPr>
        <w:t>“</w:t>
      </w:r>
      <w:r w:rsidR="006F029E" w:rsidRPr="000479E9">
        <w:rPr>
          <w:rFonts w:ascii="Times New Roman" w:eastAsia="Times New Roman" w:hAnsi="Times New Roman" w:cs="Times New Roman"/>
          <w:sz w:val="24"/>
          <w:szCs w:val="24"/>
          <w:lang w:eastAsia="hr-HR"/>
        </w:rPr>
        <w:t>, br. 65/18., 17/20., 83/21., 151/22.</w:t>
      </w:r>
      <w:r w:rsidR="00803527" w:rsidRPr="000479E9">
        <w:rPr>
          <w:rFonts w:ascii="Times New Roman" w:eastAsia="Times New Roman" w:hAnsi="Times New Roman" w:cs="Times New Roman"/>
          <w:sz w:val="24"/>
          <w:szCs w:val="24"/>
          <w:lang w:eastAsia="hr-HR"/>
        </w:rPr>
        <w:t xml:space="preserve">, </w:t>
      </w:r>
      <w:r w:rsidR="006F029E" w:rsidRPr="000479E9">
        <w:rPr>
          <w:rFonts w:ascii="Times New Roman" w:eastAsia="Times New Roman" w:hAnsi="Times New Roman" w:cs="Times New Roman"/>
          <w:sz w:val="24"/>
          <w:szCs w:val="24"/>
          <w:lang w:eastAsia="hr-HR"/>
        </w:rPr>
        <w:t>85/24.</w:t>
      </w:r>
      <w:r w:rsidR="00803527" w:rsidRPr="000479E9">
        <w:rPr>
          <w:rFonts w:ascii="Times New Roman" w:eastAsia="Times New Roman" w:hAnsi="Times New Roman" w:cs="Times New Roman"/>
          <w:sz w:val="24"/>
          <w:szCs w:val="24"/>
          <w:lang w:eastAsia="hr-HR"/>
        </w:rPr>
        <w:t>, 126/25. i 45/26.</w:t>
      </w:r>
      <w:r w:rsidR="006F029E" w:rsidRPr="000479E9">
        <w:rPr>
          <w:rFonts w:ascii="Times New Roman" w:eastAsia="Times New Roman" w:hAnsi="Times New Roman" w:cs="Times New Roman"/>
          <w:sz w:val="24"/>
          <w:szCs w:val="24"/>
          <w:lang w:eastAsia="hr-HR"/>
        </w:rPr>
        <w:t>).</w:t>
      </w:r>
    </w:p>
    <w:p w14:paraId="0C86E594" w14:textId="77777777" w:rsidR="00B96559" w:rsidRPr="000479E9" w:rsidRDefault="00B96559" w:rsidP="006F029E">
      <w:pPr>
        <w:spacing w:after="0" w:line="240" w:lineRule="auto"/>
        <w:jc w:val="both"/>
        <w:rPr>
          <w:rFonts w:ascii="Times New Roman" w:eastAsia="Times New Roman" w:hAnsi="Times New Roman" w:cs="Times New Roman"/>
          <w:sz w:val="24"/>
          <w:szCs w:val="24"/>
          <w:lang w:eastAsia="hr-HR"/>
        </w:rPr>
      </w:pPr>
    </w:p>
    <w:p w14:paraId="4A1D40B8" w14:textId="238334EE" w:rsidR="00F85982" w:rsidRPr="000479E9" w:rsidRDefault="00F85982" w:rsidP="00F8598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Postupci pokrenuti pred Burzom </w:t>
      </w:r>
      <w:r w:rsidR="004226EE" w:rsidRPr="000479E9">
        <w:rPr>
          <w:rFonts w:ascii="Times New Roman" w:eastAsia="Times New Roman" w:hAnsi="Times New Roman" w:cs="Times New Roman"/>
          <w:sz w:val="24"/>
          <w:szCs w:val="24"/>
          <w:lang w:eastAsia="hr-HR"/>
        </w:rPr>
        <w:t>do stupanja na snagu</w:t>
      </w:r>
      <w:r w:rsidRPr="000479E9">
        <w:rPr>
          <w:rFonts w:ascii="Times New Roman" w:eastAsia="Times New Roman" w:hAnsi="Times New Roman" w:cs="Times New Roman"/>
          <w:sz w:val="24"/>
          <w:szCs w:val="24"/>
          <w:lang w:eastAsia="hr-HR"/>
        </w:rPr>
        <w:t xml:space="preserve"> ovoga </w:t>
      </w:r>
      <w:r w:rsidR="001E6A7D" w:rsidRPr="000479E9">
        <w:rPr>
          <w:rFonts w:ascii="Times New Roman" w:eastAsia="Times New Roman" w:hAnsi="Times New Roman" w:cs="Times New Roman"/>
          <w:sz w:val="24"/>
          <w:szCs w:val="24"/>
          <w:lang w:eastAsia="hr-HR"/>
        </w:rPr>
        <w:t xml:space="preserve">Zakona </w:t>
      </w:r>
      <w:r w:rsidRPr="000479E9">
        <w:rPr>
          <w:rFonts w:ascii="Times New Roman" w:eastAsia="Times New Roman" w:hAnsi="Times New Roman" w:cs="Times New Roman"/>
          <w:sz w:val="24"/>
          <w:szCs w:val="24"/>
          <w:lang w:eastAsia="hr-HR"/>
        </w:rPr>
        <w:t>dovršit će se primjenom odredaba Zakona o tržištu kapitala (</w:t>
      </w:r>
      <w:r w:rsidR="00DA4C25"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Narodne novine</w:t>
      </w:r>
      <w:r w:rsidR="00DA4C25"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br. 65/18., 17/20., 83/21., 151/22.</w:t>
      </w:r>
      <w:r w:rsidR="00803527"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85/24.</w:t>
      </w:r>
      <w:r w:rsidR="00715E64" w:rsidRPr="000479E9">
        <w:rPr>
          <w:rFonts w:ascii="Times New Roman" w:eastAsia="Times New Roman" w:hAnsi="Times New Roman" w:cs="Times New Roman"/>
          <w:sz w:val="24"/>
          <w:szCs w:val="24"/>
          <w:lang w:eastAsia="hr-HR"/>
        </w:rPr>
        <w:t>,</w:t>
      </w:r>
      <w:r w:rsidR="00803527" w:rsidRPr="000479E9">
        <w:rPr>
          <w:rFonts w:ascii="Times New Roman" w:eastAsia="Times New Roman" w:hAnsi="Times New Roman" w:cs="Times New Roman"/>
          <w:sz w:val="24"/>
          <w:szCs w:val="24"/>
          <w:lang w:eastAsia="hr-HR"/>
        </w:rPr>
        <w:t xml:space="preserve"> 126/25. i 45/26.</w:t>
      </w:r>
      <w:r w:rsidRPr="000479E9">
        <w:rPr>
          <w:rFonts w:ascii="Times New Roman" w:eastAsia="Times New Roman" w:hAnsi="Times New Roman" w:cs="Times New Roman"/>
          <w:sz w:val="24"/>
          <w:szCs w:val="24"/>
          <w:lang w:eastAsia="hr-HR"/>
        </w:rPr>
        <w:t>).</w:t>
      </w:r>
    </w:p>
    <w:p w14:paraId="6D66CB8F" w14:textId="1F28A962" w:rsidR="4E43D754" w:rsidRPr="000479E9" w:rsidRDefault="4E43D754" w:rsidP="4E43D754">
      <w:pPr>
        <w:spacing w:after="0" w:line="240" w:lineRule="auto"/>
        <w:jc w:val="both"/>
        <w:rPr>
          <w:rFonts w:ascii="Times New Roman" w:eastAsia="Times New Roman" w:hAnsi="Times New Roman" w:cs="Times New Roman"/>
          <w:sz w:val="24"/>
          <w:szCs w:val="24"/>
          <w:lang w:eastAsia="hr-HR"/>
        </w:rPr>
      </w:pPr>
    </w:p>
    <w:p w14:paraId="4C3C489C" w14:textId="29FDE881" w:rsidR="5B466CC2" w:rsidRPr="000479E9" w:rsidRDefault="5B466CC2" w:rsidP="4E43D754">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(3) Do stupanja na snagu pravilnika iz članka </w:t>
      </w:r>
      <w:r w:rsidR="00DD35E6" w:rsidRPr="000479E9">
        <w:rPr>
          <w:rFonts w:ascii="Times New Roman" w:eastAsia="Times New Roman" w:hAnsi="Times New Roman" w:cs="Times New Roman"/>
          <w:sz w:val="24"/>
          <w:szCs w:val="24"/>
          <w:lang w:eastAsia="hr-HR"/>
        </w:rPr>
        <w:t>2</w:t>
      </w:r>
      <w:r w:rsidR="000B130A" w:rsidRPr="000479E9">
        <w:rPr>
          <w:rFonts w:ascii="Times New Roman" w:eastAsia="Times New Roman" w:hAnsi="Times New Roman" w:cs="Times New Roman"/>
          <w:sz w:val="24"/>
          <w:szCs w:val="24"/>
          <w:lang w:eastAsia="hr-HR"/>
        </w:rPr>
        <w:t>6</w:t>
      </w:r>
      <w:r w:rsidR="3E7BA100" w:rsidRPr="000479E9">
        <w:rPr>
          <w:rFonts w:ascii="Times New Roman" w:eastAsia="Times New Roman" w:hAnsi="Times New Roman" w:cs="Times New Roman"/>
          <w:sz w:val="24"/>
          <w:szCs w:val="24"/>
          <w:lang w:eastAsia="hr-HR"/>
        </w:rPr>
        <w:t xml:space="preserve">. ovoga Zakona </w:t>
      </w:r>
      <w:r w:rsidR="005839D9" w:rsidRPr="000479E9">
        <w:rPr>
          <w:rFonts w:ascii="Times New Roman" w:eastAsia="Times New Roman" w:hAnsi="Times New Roman" w:cs="Times New Roman"/>
          <w:sz w:val="24"/>
          <w:szCs w:val="24"/>
          <w:lang w:eastAsia="hr-HR"/>
        </w:rPr>
        <w:t>ostaje na snazi</w:t>
      </w:r>
      <w:r w:rsidR="21457B38" w:rsidRPr="000479E9">
        <w:rPr>
          <w:rFonts w:ascii="Times New Roman" w:eastAsia="Times New Roman" w:hAnsi="Times New Roman" w:cs="Times New Roman"/>
          <w:sz w:val="24"/>
          <w:szCs w:val="24"/>
          <w:lang w:eastAsia="hr-HR"/>
        </w:rPr>
        <w:t xml:space="preserve"> Pravilnik o redovitom doprinosu članova, načinu raspolaganja sredstvima i financijskim izvještajima Fonda za zaštitu ulagatelja (</w:t>
      </w:r>
      <w:r w:rsidR="00C52658" w:rsidRPr="000479E9">
        <w:rPr>
          <w:rFonts w:ascii="Times New Roman" w:eastAsia="Times New Roman" w:hAnsi="Times New Roman" w:cs="Times New Roman"/>
          <w:sz w:val="24"/>
          <w:szCs w:val="24"/>
          <w:lang w:eastAsia="hr-HR"/>
        </w:rPr>
        <w:t>„</w:t>
      </w:r>
      <w:r w:rsidR="21457B38" w:rsidRPr="000479E9">
        <w:rPr>
          <w:rFonts w:ascii="Times New Roman" w:eastAsia="Times New Roman" w:hAnsi="Times New Roman" w:cs="Times New Roman"/>
          <w:sz w:val="24"/>
          <w:szCs w:val="24"/>
          <w:lang w:eastAsia="hr-HR"/>
        </w:rPr>
        <w:t>Narodne novine</w:t>
      </w:r>
      <w:r w:rsidR="00C52658" w:rsidRPr="000479E9">
        <w:rPr>
          <w:rFonts w:ascii="Times New Roman" w:eastAsia="Times New Roman" w:hAnsi="Times New Roman" w:cs="Times New Roman"/>
          <w:sz w:val="24"/>
          <w:szCs w:val="24"/>
          <w:lang w:eastAsia="hr-HR"/>
        </w:rPr>
        <w:t>“</w:t>
      </w:r>
      <w:r w:rsidR="00F00DC7">
        <w:rPr>
          <w:rFonts w:ascii="Times New Roman" w:eastAsia="Times New Roman" w:hAnsi="Times New Roman" w:cs="Times New Roman"/>
          <w:sz w:val="24"/>
          <w:szCs w:val="24"/>
          <w:lang w:eastAsia="hr-HR"/>
        </w:rPr>
        <w:t>,</w:t>
      </w:r>
      <w:r w:rsidR="47D374B9" w:rsidRPr="000479E9">
        <w:rPr>
          <w:rFonts w:ascii="Times New Roman" w:eastAsia="Times New Roman" w:hAnsi="Times New Roman" w:cs="Times New Roman"/>
          <w:sz w:val="24"/>
          <w:szCs w:val="24"/>
          <w:lang w:eastAsia="hr-HR"/>
        </w:rPr>
        <w:t xml:space="preserve"> br</w:t>
      </w:r>
      <w:r w:rsidR="00C52658" w:rsidRPr="000479E9">
        <w:rPr>
          <w:rFonts w:ascii="Times New Roman" w:eastAsia="Times New Roman" w:hAnsi="Times New Roman" w:cs="Times New Roman"/>
          <w:sz w:val="24"/>
          <w:szCs w:val="24"/>
          <w:lang w:eastAsia="hr-HR"/>
        </w:rPr>
        <w:t>.</w:t>
      </w:r>
      <w:r w:rsidR="47D374B9" w:rsidRPr="000479E9">
        <w:rPr>
          <w:rFonts w:ascii="Times New Roman" w:eastAsia="Times New Roman" w:hAnsi="Times New Roman" w:cs="Times New Roman"/>
          <w:sz w:val="24"/>
          <w:szCs w:val="24"/>
          <w:lang w:eastAsia="hr-HR"/>
        </w:rPr>
        <w:t xml:space="preserve"> 66/19., 132/20. i 142/22.)</w:t>
      </w:r>
      <w:r w:rsidR="000B130A" w:rsidRPr="000479E9">
        <w:rPr>
          <w:rFonts w:ascii="Times New Roman" w:eastAsia="Times New Roman" w:hAnsi="Times New Roman" w:cs="Times New Roman"/>
          <w:sz w:val="24"/>
          <w:szCs w:val="24"/>
          <w:lang w:eastAsia="hr-HR"/>
        </w:rPr>
        <w:t>.</w:t>
      </w:r>
    </w:p>
    <w:p w14:paraId="5D178F74" w14:textId="421765D0" w:rsidR="000B130A" w:rsidRPr="000479E9" w:rsidRDefault="000B130A" w:rsidP="4E43D754">
      <w:pPr>
        <w:spacing w:after="0" w:line="240" w:lineRule="auto"/>
        <w:jc w:val="both"/>
        <w:rPr>
          <w:rFonts w:ascii="Times New Roman" w:eastAsia="Times New Roman" w:hAnsi="Times New Roman" w:cs="Times New Roman"/>
          <w:sz w:val="24"/>
          <w:szCs w:val="24"/>
          <w:lang w:eastAsia="hr-HR"/>
        </w:rPr>
      </w:pPr>
    </w:p>
    <w:p w14:paraId="45967A98" w14:textId="77777777" w:rsidR="000B130A" w:rsidRPr="000479E9" w:rsidRDefault="000B130A" w:rsidP="000B130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Članak 90. ovoga Zakona, primjenjuje se i na prekršaje počinjene prije stupanja na snagu ovoga Zakona ako Agencija do dana stupanja na snagu ovoga Zakona nije podnijela optužni prijedlog.</w:t>
      </w:r>
    </w:p>
    <w:p w14:paraId="16A9B19C" w14:textId="77777777" w:rsidR="000B130A" w:rsidRPr="000479E9" w:rsidRDefault="000B130A" w:rsidP="4E43D754">
      <w:pPr>
        <w:spacing w:after="0" w:line="240" w:lineRule="auto"/>
        <w:jc w:val="both"/>
        <w:rPr>
          <w:rFonts w:ascii="Times New Roman" w:eastAsia="Times New Roman" w:hAnsi="Times New Roman" w:cs="Times New Roman"/>
          <w:sz w:val="24"/>
          <w:szCs w:val="24"/>
          <w:lang w:eastAsia="hr-HR"/>
        </w:rPr>
      </w:pPr>
    </w:p>
    <w:p w14:paraId="70176979" w14:textId="3724A2F5" w:rsidR="001E615F" w:rsidRPr="000479E9" w:rsidRDefault="001E615F" w:rsidP="006F029E">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B130A" w:rsidRPr="000479E9">
        <w:rPr>
          <w:rFonts w:ascii="Times New Roman" w:eastAsia="Times New Roman" w:hAnsi="Times New Roman" w:cs="Times New Roman"/>
          <w:b/>
          <w:bCs/>
          <w:sz w:val="24"/>
          <w:szCs w:val="24"/>
          <w:lang w:eastAsia="hr-HR"/>
        </w:rPr>
        <w:t>12</w:t>
      </w:r>
      <w:r w:rsidR="00F84BAF">
        <w:rPr>
          <w:rFonts w:ascii="Times New Roman" w:eastAsia="Times New Roman" w:hAnsi="Times New Roman" w:cs="Times New Roman"/>
          <w:b/>
          <w:bCs/>
          <w:sz w:val="24"/>
          <w:szCs w:val="24"/>
          <w:lang w:eastAsia="hr-HR"/>
        </w:rPr>
        <w:t>0</w:t>
      </w:r>
      <w:r w:rsidR="00850A80" w:rsidRPr="000479E9">
        <w:rPr>
          <w:rFonts w:ascii="Times New Roman" w:eastAsia="Times New Roman" w:hAnsi="Times New Roman" w:cs="Times New Roman"/>
          <w:b/>
          <w:bCs/>
          <w:sz w:val="24"/>
          <w:szCs w:val="24"/>
          <w:lang w:eastAsia="hr-HR"/>
        </w:rPr>
        <w:t>.</w:t>
      </w:r>
    </w:p>
    <w:p w14:paraId="20A77792" w14:textId="77777777" w:rsidR="000B130A" w:rsidRPr="000479E9" w:rsidRDefault="000B130A" w:rsidP="006F029E">
      <w:pPr>
        <w:spacing w:after="0" w:line="240" w:lineRule="auto"/>
        <w:jc w:val="center"/>
        <w:rPr>
          <w:rFonts w:ascii="Times New Roman" w:eastAsia="Times New Roman" w:hAnsi="Times New Roman" w:cs="Times New Roman"/>
          <w:b/>
          <w:bCs/>
          <w:sz w:val="24"/>
          <w:szCs w:val="24"/>
          <w:lang w:eastAsia="hr-HR"/>
        </w:rPr>
      </w:pPr>
    </w:p>
    <w:p w14:paraId="1B011B27" w14:textId="77777777" w:rsidR="000B130A" w:rsidRPr="000479E9" w:rsidRDefault="000B130A" w:rsidP="000B130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Investicijsko društvo dužno je sporazume s pružateljima usluga istraživanja sklopljene prije dana stupanja na snagu ovoga Zakona uskladiti sa zahtjevima iz članka 17. ovoga Zakona, u roku od 30 dana od dana stupanja na snagu ovoga Zakona.</w:t>
      </w:r>
    </w:p>
    <w:p w14:paraId="2E9E797E" w14:textId="77777777" w:rsidR="000B130A" w:rsidRPr="000479E9" w:rsidRDefault="000B130A" w:rsidP="00617A00">
      <w:pPr>
        <w:spacing w:after="0" w:line="240" w:lineRule="auto"/>
        <w:jc w:val="both"/>
        <w:rPr>
          <w:rFonts w:ascii="Times New Roman" w:eastAsia="Times New Roman" w:hAnsi="Times New Roman" w:cs="Times New Roman"/>
          <w:sz w:val="24"/>
          <w:szCs w:val="24"/>
          <w:lang w:eastAsia="hr-HR"/>
        </w:rPr>
      </w:pPr>
    </w:p>
    <w:p w14:paraId="60D58641" w14:textId="3E417FF3" w:rsidR="005349D6" w:rsidRPr="000479E9" w:rsidRDefault="005349D6"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0B130A"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 xml:space="preserve">) </w:t>
      </w:r>
      <w:r w:rsidR="001E615F" w:rsidRPr="000479E9">
        <w:rPr>
          <w:rFonts w:ascii="Times New Roman" w:eastAsia="Times New Roman" w:hAnsi="Times New Roman" w:cs="Times New Roman"/>
          <w:sz w:val="24"/>
          <w:szCs w:val="24"/>
          <w:lang w:eastAsia="hr-HR"/>
        </w:rPr>
        <w:t xml:space="preserve">Burza </w:t>
      </w:r>
      <w:r w:rsidR="006F029E" w:rsidRPr="000479E9">
        <w:rPr>
          <w:rFonts w:ascii="Times New Roman" w:eastAsia="Times New Roman" w:hAnsi="Times New Roman" w:cs="Times New Roman"/>
          <w:sz w:val="24"/>
          <w:szCs w:val="24"/>
          <w:lang w:eastAsia="hr-HR"/>
        </w:rPr>
        <w:t>je dužna svoja p</w:t>
      </w:r>
      <w:r w:rsidR="00F85982" w:rsidRPr="000479E9">
        <w:rPr>
          <w:rFonts w:ascii="Times New Roman" w:eastAsia="Times New Roman" w:hAnsi="Times New Roman" w:cs="Times New Roman"/>
          <w:sz w:val="24"/>
          <w:szCs w:val="24"/>
          <w:lang w:eastAsia="hr-HR"/>
        </w:rPr>
        <w:t>ravila</w:t>
      </w:r>
      <w:r w:rsidR="001E615F" w:rsidRPr="000479E9">
        <w:rPr>
          <w:rFonts w:ascii="Times New Roman" w:eastAsia="Times New Roman" w:hAnsi="Times New Roman" w:cs="Times New Roman"/>
          <w:sz w:val="24"/>
          <w:szCs w:val="24"/>
          <w:lang w:eastAsia="hr-HR"/>
        </w:rPr>
        <w:t xml:space="preserve"> uskladiti s odredbama članaka </w:t>
      </w:r>
      <w:r w:rsidR="00071C5C" w:rsidRPr="000479E9">
        <w:rPr>
          <w:rFonts w:ascii="Times New Roman" w:eastAsia="Times New Roman" w:hAnsi="Times New Roman" w:cs="Times New Roman"/>
          <w:sz w:val="24"/>
          <w:szCs w:val="24"/>
          <w:lang w:eastAsia="hr-HR"/>
        </w:rPr>
        <w:t>3</w:t>
      </w:r>
      <w:r w:rsidR="000B130A" w:rsidRPr="000479E9">
        <w:rPr>
          <w:rFonts w:ascii="Times New Roman" w:eastAsia="Times New Roman" w:hAnsi="Times New Roman" w:cs="Times New Roman"/>
          <w:sz w:val="24"/>
          <w:szCs w:val="24"/>
          <w:lang w:eastAsia="hr-HR"/>
        </w:rPr>
        <w:t>5</w:t>
      </w:r>
      <w:r w:rsidR="001E615F" w:rsidRPr="000479E9">
        <w:rPr>
          <w:rFonts w:ascii="Times New Roman" w:eastAsia="Times New Roman" w:hAnsi="Times New Roman" w:cs="Times New Roman"/>
          <w:sz w:val="24"/>
          <w:szCs w:val="24"/>
          <w:lang w:eastAsia="hr-HR"/>
        </w:rPr>
        <w:t xml:space="preserve">. </w:t>
      </w:r>
      <w:r w:rsidR="00A962E2" w:rsidRPr="000479E9">
        <w:rPr>
          <w:rFonts w:ascii="Times New Roman" w:eastAsia="Times New Roman" w:hAnsi="Times New Roman" w:cs="Times New Roman"/>
          <w:sz w:val="24"/>
          <w:szCs w:val="24"/>
          <w:lang w:eastAsia="hr-HR"/>
        </w:rPr>
        <w:t>do</w:t>
      </w:r>
      <w:r w:rsidR="008F30AE" w:rsidRPr="000479E9">
        <w:rPr>
          <w:rFonts w:ascii="Times New Roman" w:eastAsia="Times New Roman" w:hAnsi="Times New Roman" w:cs="Times New Roman"/>
          <w:sz w:val="24"/>
          <w:szCs w:val="24"/>
          <w:lang w:eastAsia="hr-HR"/>
        </w:rPr>
        <w:t xml:space="preserve"> </w:t>
      </w:r>
      <w:r w:rsidR="00050C0B" w:rsidRPr="000479E9">
        <w:rPr>
          <w:rFonts w:ascii="Times New Roman" w:eastAsia="Times New Roman" w:hAnsi="Times New Roman" w:cs="Times New Roman"/>
          <w:sz w:val="24"/>
          <w:szCs w:val="24"/>
          <w:lang w:eastAsia="hr-HR"/>
        </w:rPr>
        <w:t>3</w:t>
      </w:r>
      <w:r w:rsidR="000B130A" w:rsidRPr="000479E9">
        <w:rPr>
          <w:rFonts w:ascii="Times New Roman" w:eastAsia="Times New Roman" w:hAnsi="Times New Roman" w:cs="Times New Roman"/>
          <w:sz w:val="24"/>
          <w:szCs w:val="24"/>
          <w:lang w:eastAsia="hr-HR"/>
        </w:rPr>
        <w:t>8</w:t>
      </w:r>
      <w:r w:rsidR="00D710E9" w:rsidRPr="000479E9">
        <w:rPr>
          <w:rFonts w:ascii="Times New Roman" w:eastAsia="Times New Roman" w:hAnsi="Times New Roman" w:cs="Times New Roman"/>
          <w:sz w:val="24"/>
          <w:szCs w:val="24"/>
          <w:lang w:eastAsia="hr-HR"/>
        </w:rPr>
        <w:t>.</w:t>
      </w:r>
      <w:r w:rsidR="00A962E2" w:rsidRPr="000479E9">
        <w:rPr>
          <w:rFonts w:ascii="Times New Roman" w:eastAsia="Times New Roman" w:hAnsi="Times New Roman" w:cs="Times New Roman"/>
          <w:sz w:val="24"/>
          <w:szCs w:val="24"/>
          <w:lang w:eastAsia="hr-HR"/>
        </w:rPr>
        <w:t xml:space="preserve"> te član</w:t>
      </w:r>
      <w:r w:rsidR="00C52658" w:rsidRPr="000479E9">
        <w:rPr>
          <w:rFonts w:ascii="Times New Roman" w:eastAsia="Times New Roman" w:hAnsi="Times New Roman" w:cs="Times New Roman"/>
          <w:sz w:val="24"/>
          <w:szCs w:val="24"/>
          <w:lang w:eastAsia="hr-HR"/>
        </w:rPr>
        <w:t>a</w:t>
      </w:r>
      <w:r w:rsidR="00A962E2" w:rsidRPr="000479E9">
        <w:rPr>
          <w:rFonts w:ascii="Times New Roman" w:eastAsia="Times New Roman" w:hAnsi="Times New Roman" w:cs="Times New Roman"/>
          <w:sz w:val="24"/>
          <w:szCs w:val="24"/>
          <w:lang w:eastAsia="hr-HR"/>
        </w:rPr>
        <w:t>ka</w:t>
      </w:r>
      <w:r w:rsidR="00D710E9" w:rsidRPr="000479E9">
        <w:rPr>
          <w:rFonts w:ascii="Times New Roman" w:eastAsia="Times New Roman" w:hAnsi="Times New Roman" w:cs="Times New Roman"/>
          <w:sz w:val="24"/>
          <w:szCs w:val="24"/>
          <w:lang w:eastAsia="hr-HR"/>
        </w:rPr>
        <w:t xml:space="preserve"> </w:t>
      </w:r>
      <w:r w:rsidR="000B130A" w:rsidRPr="000479E9">
        <w:rPr>
          <w:rFonts w:ascii="Times New Roman" w:eastAsia="Times New Roman" w:hAnsi="Times New Roman" w:cs="Times New Roman"/>
          <w:sz w:val="24"/>
          <w:szCs w:val="24"/>
          <w:lang w:eastAsia="hr-HR"/>
        </w:rPr>
        <w:t>40</w:t>
      </w:r>
      <w:r w:rsidR="001E615F" w:rsidRPr="000479E9">
        <w:rPr>
          <w:rFonts w:ascii="Times New Roman" w:eastAsia="Times New Roman" w:hAnsi="Times New Roman" w:cs="Times New Roman"/>
          <w:sz w:val="24"/>
          <w:szCs w:val="24"/>
          <w:lang w:eastAsia="hr-HR"/>
        </w:rPr>
        <w:t>.</w:t>
      </w:r>
      <w:r w:rsidR="00005F1F" w:rsidRPr="000479E9">
        <w:rPr>
          <w:rFonts w:ascii="Times New Roman" w:eastAsia="Times New Roman" w:hAnsi="Times New Roman" w:cs="Times New Roman"/>
          <w:sz w:val="24"/>
          <w:szCs w:val="24"/>
          <w:lang w:eastAsia="hr-HR"/>
        </w:rPr>
        <w:t xml:space="preserve">, </w:t>
      </w:r>
      <w:r w:rsidR="000B130A" w:rsidRPr="000479E9">
        <w:rPr>
          <w:rFonts w:ascii="Times New Roman" w:eastAsia="Times New Roman" w:hAnsi="Times New Roman" w:cs="Times New Roman"/>
          <w:sz w:val="24"/>
          <w:szCs w:val="24"/>
          <w:lang w:eastAsia="hr-HR"/>
        </w:rPr>
        <w:t>41</w:t>
      </w:r>
      <w:r w:rsidR="00005F1F" w:rsidRPr="000479E9">
        <w:rPr>
          <w:rFonts w:ascii="Times New Roman" w:eastAsia="Times New Roman" w:hAnsi="Times New Roman" w:cs="Times New Roman"/>
          <w:sz w:val="24"/>
          <w:szCs w:val="24"/>
          <w:lang w:eastAsia="hr-HR"/>
        </w:rPr>
        <w:t>.</w:t>
      </w:r>
      <w:r w:rsidR="202EBBD5" w:rsidRPr="000479E9">
        <w:rPr>
          <w:rFonts w:ascii="Times New Roman" w:eastAsia="Times New Roman" w:hAnsi="Times New Roman" w:cs="Times New Roman"/>
          <w:sz w:val="24"/>
          <w:szCs w:val="24"/>
          <w:lang w:eastAsia="hr-HR"/>
        </w:rPr>
        <w:t>,</w:t>
      </w:r>
      <w:r w:rsidR="00005F1F" w:rsidRPr="000479E9">
        <w:rPr>
          <w:rFonts w:ascii="Times New Roman" w:eastAsia="Times New Roman" w:hAnsi="Times New Roman" w:cs="Times New Roman"/>
          <w:sz w:val="24"/>
          <w:szCs w:val="24"/>
          <w:lang w:eastAsia="hr-HR"/>
        </w:rPr>
        <w:t xml:space="preserve"> </w:t>
      </w:r>
      <w:r w:rsidR="000B130A" w:rsidRPr="000479E9">
        <w:rPr>
          <w:rFonts w:ascii="Times New Roman" w:eastAsia="Times New Roman" w:hAnsi="Times New Roman" w:cs="Times New Roman"/>
          <w:sz w:val="24"/>
          <w:szCs w:val="24"/>
          <w:lang w:eastAsia="hr-HR"/>
        </w:rPr>
        <w:t>42</w:t>
      </w:r>
      <w:r w:rsidR="00A962E2" w:rsidRPr="000479E9">
        <w:rPr>
          <w:rFonts w:ascii="Times New Roman" w:eastAsia="Times New Roman" w:hAnsi="Times New Roman" w:cs="Times New Roman"/>
          <w:sz w:val="24"/>
          <w:szCs w:val="24"/>
          <w:lang w:eastAsia="hr-HR"/>
        </w:rPr>
        <w:t>.</w:t>
      </w:r>
      <w:r w:rsidR="00050C0B" w:rsidRPr="000479E9">
        <w:rPr>
          <w:rFonts w:ascii="Times New Roman" w:eastAsia="Times New Roman" w:hAnsi="Times New Roman" w:cs="Times New Roman"/>
          <w:sz w:val="24"/>
          <w:szCs w:val="24"/>
          <w:lang w:eastAsia="hr-HR"/>
        </w:rPr>
        <w:t xml:space="preserve">, </w:t>
      </w:r>
      <w:r w:rsidR="00DD35E6" w:rsidRPr="000479E9">
        <w:rPr>
          <w:rFonts w:ascii="Times New Roman" w:eastAsia="Times New Roman" w:hAnsi="Times New Roman" w:cs="Times New Roman"/>
          <w:sz w:val="24"/>
          <w:szCs w:val="24"/>
          <w:lang w:eastAsia="hr-HR"/>
        </w:rPr>
        <w:t>4</w:t>
      </w:r>
      <w:r w:rsidR="000B130A" w:rsidRPr="000479E9">
        <w:rPr>
          <w:rFonts w:ascii="Times New Roman" w:eastAsia="Times New Roman" w:hAnsi="Times New Roman" w:cs="Times New Roman"/>
          <w:sz w:val="24"/>
          <w:szCs w:val="24"/>
          <w:lang w:eastAsia="hr-HR"/>
        </w:rPr>
        <w:t>3</w:t>
      </w:r>
      <w:r w:rsidR="00050C0B" w:rsidRPr="000479E9">
        <w:rPr>
          <w:rFonts w:ascii="Times New Roman" w:eastAsia="Times New Roman" w:hAnsi="Times New Roman" w:cs="Times New Roman"/>
          <w:sz w:val="24"/>
          <w:szCs w:val="24"/>
          <w:lang w:eastAsia="hr-HR"/>
        </w:rPr>
        <w:t>.</w:t>
      </w:r>
      <w:r w:rsidR="78211C9A" w:rsidRPr="000479E9">
        <w:rPr>
          <w:rFonts w:ascii="Times New Roman" w:eastAsia="Times New Roman" w:hAnsi="Times New Roman" w:cs="Times New Roman"/>
          <w:sz w:val="24"/>
          <w:szCs w:val="24"/>
          <w:lang w:eastAsia="hr-HR"/>
        </w:rPr>
        <w:t xml:space="preserve"> i </w:t>
      </w:r>
      <w:r w:rsidR="00050C0B" w:rsidRPr="000479E9">
        <w:rPr>
          <w:rFonts w:ascii="Times New Roman" w:eastAsia="Times New Roman" w:hAnsi="Times New Roman" w:cs="Times New Roman"/>
          <w:sz w:val="24"/>
          <w:szCs w:val="24"/>
          <w:lang w:eastAsia="hr-HR"/>
        </w:rPr>
        <w:t>4</w:t>
      </w:r>
      <w:r w:rsidR="000B130A" w:rsidRPr="000479E9">
        <w:rPr>
          <w:rFonts w:ascii="Times New Roman" w:eastAsia="Times New Roman" w:hAnsi="Times New Roman" w:cs="Times New Roman"/>
          <w:sz w:val="24"/>
          <w:szCs w:val="24"/>
          <w:lang w:eastAsia="hr-HR"/>
        </w:rPr>
        <w:t>5</w:t>
      </w:r>
      <w:r w:rsidR="00005F1F" w:rsidRPr="000479E9">
        <w:rPr>
          <w:rFonts w:ascii="Times New Roman" w:eastAsia="Times New Roman" w:hAnsi="Times New Roman" w:cs="Times New Roman"/>
          <w:sz w:val="24"/>
          <w:szCs w:val="24"/>
          <w:lang w:eastAsia="hr-HR"/>
        </w:rPr>
        <w:t>.</w:t>
      </w:r>
      <w:r w:rsidR="001E615F" w:rsidRPr="000479E9">
        <w:rPr>
          <w:rFonts w:ascii="Times New Roman" w:eastAsia="Times New Roman" w:hAnsi="Times New Roman" w:cs="Times New Roman"/>
          <w:sz w:val="24"/>
          <w:szCs w:val="24"/>
          <w:lang w:eastAsia="hr-HR"/>
        </w:rPr>
        <w:t xml:space="preserve"> ovoga Zakona do 1. siječnja 2027.</w:t>
      </w:r>
    </w:p>
    <w:p w14:paraId="26405045" w14:textId="77777777" w:rsidR="00B96559" w:rsidRPr="000479E9" w:rsidRDefault="00B96559" w:rsidP="00617A00">
      <w:pPr>
        <w:spacing w:after="0" w:line="240" w:lineRule="auto"/>
        <w:jc w:val="both"/>
        <w:rPr>
          <w:rFonts w:ascii="Times New Roman" w:eastAsia="Times New Roman" w:hAnsi="Times New Roman" w:cs="Times New Roman"/>
          <w:sz w:val="24"/>
          <w:szCs w:val="24"/>
          <w:lang w:eastAsia="hr-HR"/>
        </w:rPr>
      </w:pPr>
    </w:p>
    <w:p w14:paraId="32301170" w14:textId="49C015C0" w:rsidR="001E615F" w:rsidRPr="000479E9" w:rsidRDefault="005349D6"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0B130A" w:rsidRPr="000479E9">
        <w:rPr>
          <w:rFonts w:ascii="Times New Roman" w:eastAsia="Times New Roman" w:hAnsi="Times New Roman" w:cs="Times New Roman"/>
          <w:sz w:val="24"/>
          <w:szCs w:val="24"/>
          <w:lang w:eastAsia="hr-HR"/>
        </w:rPr>
        <w:t>3</w:t>
      </w:r>
      <w:r w:rsidRPr="000479E9">
        <w:rPr>
          <w:rFonts w:ascii="Times New Roman" w:eastAsia="Times New Roman" w:hAnsi="Times New Roman" w:cs="Times New Roman"/>
          <w:sz w:val="24"/>
          <w:szCs w:val="24"/>
          <w:lang w:eastAsia="hr-HR"/>
        </w:rPr>
        <w:t xml:space="preserve">) Burza je dužna svoj cjenik uskladiti s odredbama članka </w:t>
      </w:r>
      <w:r w:rsidR="000B130A" w:rsidRPr="000479E9">
        <w:rPr>
          <w:rFonts w:ascii="Times New Roman" w:eastAsia="Times New Roman" w:hAnsi="Times New Roman" w:cs="Times New Roman"/>
          <w:sz w:val="24"/>
          <w:szCs w:val="24"/>
          <w:lang w:eastAsia="hr-HR"/>
        </w:rPr>
        <w:t>33</w:t>
      </w:r>
      <w:r w:rsidRPr="000479E9">
        <w:rPr>
          <w:rFonts w:ascii="Times New Roman" w:eastAsia="Times New Roman" w:hAnsi="Times New Roman" w:cs="Times New Roman"/>
          <w:sz w:val="24"/>
          <w:szCs w:val="24"/>
          <w:lang w:eastAsia="hr-HR"/>
        </w:rPr>
        <w:t xml:space="preserve">. ovoga Zakona do 1. siječnja 2027. </w:t>
      </w:r>
      <w:r w:rsidR="001E615F" w:rsidRPr="000479E9">
        <w:rPr>
          <w:rFonts w:ascii="Times New Roman" w:eastAsia="Times New Roman" w:hAnsi="Times New Roman" w:cs="Times New Roman"/>
          <w:sz w:val="24"/>
          <w:szCs w:val="24"/>
          <w:lang w:eastAsia="hr-HR"/>
        </w:rPr>
        <w:t xml:space="preserve"> </w:t>
      </w:r>
    </w:p>
    <w:p w14:paraId="09E3A357" w14:textId="77777777" w:rsidR="000B130A" w:rsidRPr="000479E9" w:rsidRDefault="000B130A" w:rsidP="000B130A">
      <w:pPr>
        <w:spacing w:after="0" w:line="240" w:lineRule="auto"/>
        <w:jc w:val="both"/>
        <w:rPr>
          <w:rFonts w:ascii="Times New Roman" w:eastAsia="Times New Roman" w:hAnsi="Times New Roman" w:cs="Times New Roman"/>
          <w:sz w:val="24"/>
          <w:szCs w:val="24"/>
          <w:lang w:eastAsia="hr-HR"/>
        </w:rPr>
      </w:pPr>
    </w:p>
    <w:p w14:paraId="393BF592" w14:textId="5F84EF77" w:rsidR="000B130A" w:rsidRPr="000479E9" w:rsidRDefault="000B130A" w:rsidP="000B130A">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Središnji depozitorij dužan je svoja operativna pravila i cjenik uskladiti s odredbama članka 83. ovoga Zakona u roku od šest mjeseci od dana stupanja na snagu ovoga Zakona.</w:t>
      </w:r>
    </w:p>
    <w:p w14:paraId="7919CF26" w14:textId="75314C31" w:rsidR="001E615F" w:rsidRPr="000479E9" w:rsidRDefault="001E615F" w:rsidP="00617A00">
      <w:pPr>
        <w:spacing w:after="0" w:line="240" w:lineRule="auto"/>
        <w:jc w:val="both"/>
        <w:rPr>
          <w:rFonts w:ascii="Times New Roman" w:eastAsia="Times New Roman" w:hAnsi="Times New Roman" w:cs="Times New Roman"/>
          <w:sz w:val="24"/>
          <w:szCs w:val="24"/>
          <w:lang w:eastAsia="hr-HR"/>
        </w:rPr>
      </w:pPr>
    </w:p>
    <w:p w14:paraId="7F44E683" w14:textId="77777777" w:rsidR="000B130A" w:rsidRPr="000479E9" w:rsidRDefault="000B130A" w:rsidP="00617A00">
      <w:pPr>
        <w:spacing w:after="0" w:line="240" w:lineRule="auto"/>
        <w:jc w:val="both"/>
        <w:rPr>
          <w:rFonts w:ascii="Times New Roman" w:eastAsia="Times New Roman" w:hAnsi="Times New Roman" w:cs="Times New Roman"/>
          <w:sz w:val="24"/>
          <w:szCs w:val="24"/>
          <w:lang w:eastAsia="hr-HR"/>
        </w:rPr>
      </w:pPr>
    </w:p>
    <w:p w14:paraId="6E2CE05C" w14:textId="138C62AE"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0B130A" w:rsidRPr="000479E9">
        <w:rPr>
          <w:rFonts w:ascii="Times New Roman" w:eastAsia="Times New Roman" w:hAnsi="Times New Roman" w:cs="Times New Roman"/>
          <w:b/>
          <w:bCs/>
          <w:sz w:val="24"/>
          <w:szCs w:val="24"/>
          <w:lang w:eastAsia="hr-HR"/>
        </w:rPr>
        <w:t>12</w:t>
      </w:r>
      <w:r w:rsidR="00F84BAF">
        <w:rPr>
          <w:rFonts w:ascii="Times New Roman" w:eastAsia="Times New Roman" w:hAnsi="Times New Roman" w:cs="Times New Roman"/>
          <w:b/>
          <w:bCs/>
          <w:sz w:val="24"/>
          <w:szCs w:val="24"/>
          <w:lang w:eastAsia="hr-HR"/>
        </w:rPr>
        <w:t>1</w:t>
      </w:r>
      <w:r w:rsidR="00170D6E" w:rsidRPr="000479E9">
        <w:rPr>
          <w:rFonts w:ascii="Times New Roman" w:eastAsia="Times New Roman" w:hAnsi="Times New Roman" w:cs="Times New Roman"/>
          <w:b/>
          <w:bCs/>
          <w:sz w:val="24"/>
          <w:szCs w:val="24"/>
          <w:lang w:eastAsia="hr-HR"/>
        </w:rPr>
        <w:t>.</w:t>
      </w:r>
    </w:p>
    <w:p w14:paraId="4AA8177E" w14:textId="506398E4" w:rsidR="001E615F" w:rsidRPr="000479E9" w:rsidRDefault="001E615F" w:rsidP="00617A00">
      <w:pPr>
        <w:spacing w:after="0" w:line="240" w:lineRule="auto"/>
        <w:jc w:val="center"/>
        <w:rPr>
          <w:rFonts w:ascii="Times New Roman" w:eastAsia="Times New Roman" w:hAnsi="Times New Roman" w:cs="Times New Roman"/>
          <w:b/>
          <w:bCs/>
          <w:sz w:val="24"/>
          <w:szCs w:val="24"/>
          <w:lang w:eastAsia="hr-HR"/>
        </w:rPr>
      </w:pPr>
    </w:p>
    <w:p w14:paraId="2075E748" w14:textId="77777777" w:rsidR="00895493" w:rsidRPr="000479E9" w:rsidRDefault="00D22C6B"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0963B2" w:rsidRPr="000479E9">
        <w:rPr>
          <w:rFonts w:ascii="Times New Roman" w:eastAsia="Times New Roman" w:hAnsi="Times New Roman" w:cs="Times New Roman"/>
          <w:sz w:val="24"/>
          <w:szCs w:val="24"/>
          <w:lang w:eastAsia="hr-HR"/>
        </w:rPr>
        <w:t>1</w:t>
      </w:r>
      <w:r w:rsidR="00F85982" w:rsidRPr="000479E9">
        <w:rPr>
          <w:rFonts w:ascii="Times New Roman" w:eastAsia="Times New Roman" w:hAnsi="Times New Roman" w:cs="Times New Roman"/>
          <w:sz w:val="24"/>
          <w:szCs w:val="24"/>
          <w:lang w:eastAsia="hr-HR"/>
        </w:rPr>
        <w:t xml:space="preserve">) </w:t>
      </w:r>
      <w:r w:rsidR="00F851B9" w:rsidRPr="000479E9">
        <w:rPr>
          <w:rFonts w:ascii="Times New Roman" w:eastAsia="Times New Roman" w:hAnsi="Times New Roman" w:cs="Times New Roman"/>
          <w:sz w:val="24"/>
          <w:szCs w:val="24"/>
          <w:lang w:eastAsia="hr-HR"/>
        </w:rPr>
        <w:t>Upravno vijeće Agencije uskladit će</w:t>
      </w:r>
      <w:r w:rsidR="00895493" w:rsidRPr="000479E9">
        <w:rPr>
          <w:rFonts w:ascii="Times New Roman" w:eastAsia="Times New Roman" w:hAnsi="Times New Roman" w:cs="Times New Roman"/>
          <w:sz w:val="24"/>
          <w:szCs w:val="24"/>
          <w:lang w:eastAsia="hr-HR"/>
        </w:rPr>
        <w:t xml:space="preserve"> sljedeće</w:t>
      </w:r>
      <w:r w:rsidR="00F851B9" w:rsidRPr="000479E9">
        <w:rPr>
          <w:rFonts w:ascii="Times New Roman" w:eastAsia="Times New Roman" w:hAnsi="Times New Roman" w:cs="Times New Roman"/>
          <w:sz w:val="24"/>
          <w:szCs w:val="24"/>
          <w:lang w:eastAsia="hr-HR"/>
        </w:rPr>
        <w:t xml:space="preserve"> pravilnike donesene na temelju </w:t>
      </w:r>
      <w:r w:rsidR="00E5682B" w:rsidRPr="000479E9">
        <w:rPr>
          <w:rFonts w:ascii="Times New Roman" w:eastAsia="Times New Roman" w:hAnsi="Times New Roman" w:cs="Times New Roman"/>
          <w:sz w:val="24"/>
          <w:szCs w:val="24"/>
          <w:lang w:eastAsia="hr-HR"/>
        </w:rPr>
        <w:t>Zakona o tr</w:t>
      </w:r>
      <w:r w:rsidR="0034460A" w:rsidRPr="000479E9">
        <w:rPr>
          <w:rFonts w:ascii="Times New Roman" w:eastAsia="Times New Roman" w:hAnsi="Times New Roman" w:cs="Times New Roman"/>
          <w:sz w:val="24"/>
          <w:szCs w:val="24"/>
          <w:lang w:eastAsia="hr-HR"/>
        </w:rPr>
        <w:t>žištu kapitala</w:t>
      </w:r>
      <w:r w:rsidR="00F851B9" w:rsidRPr="000479E9">
        <w:rPr>
          <w:rFonts w:ascii="Times New Roman" w:eastAsia="Times New Roman" w:hAnsi="Times New Roman" w:cs="Times New Roman"/>
          <w:sz w:val="24"/>
          <w:szCs w:val="24"/>
          <w:lang w:eastAsia="hr-HR"/>
        </w:rPr>
        <w:t xml:space="preserve"> </w:t>
      </w:r>
      <w:r w:rsidR="00E5682B" w:rsidRPr="000479E9">
        <w:rPr>
          <w:rFonts w:ascii="Times New Roman" w:eastAsia="Times New Roman" w:hAnsi="Times New Roman" w:cs="Times New Roman"/>
          <w:sz w:val="24"/>
          <w:szCs w:val="24"/>
          <w:lang w:eastAsia="hr-HR"/>
        </w:rPr>
        <w:t>(„Narodne novine“, br. 65/18., 17/20., 83/21., 151/22., 85/24., 126/25. i 45/26.</w:t>
      </w:r>
      <w:r w:rsidR="0034460A" w:rsidRPr="000479E9">
        <w:rPr>
          <w:rFonts w:ascii="Times New Roman" w:eastAsia="Times New Roman" w:hAnsi="Times New Roman" w:cs="Times New Roman"/>
          <w:sz w:val="24"/>
          <w:szCs w:val="24"/>
          <w:lang w:eastAsia="hr-HR"/>
        </w:rPr>
        <w:t>)</w:t>
      </w:r>
      <w:r w:rsidR="00F851B9" w:rsidRPr="000479E9">
        <w:rPr>
          <w:rFonts w:ascii="Times New Roman" w:eastAsia="Times New Roman" w:hAnsi="Times New Roman" w:cs="Times New Roman"/>
          <w:sz w:val="24"/>
          <w:szCs w:val="24"/>
          <w:lang w:eastAsia="hr-HR"/>
        </w:rPr>
        <w:t xml:space="preserve"> s odredbama ovoga Zakona u roku od šest mjeseci od dana stupanja na snagu ovoga Zakona</w:t>
      </w:r>
      <w:r w:rsidR="00895493" w:rsidRPr="000479E9">
        <w:rPr>
          <w:rFonts w:ascii="Times New Roman" w:eastAsia="Times New Roman" w:hAnsi="Times New Roman" w:cs="Times New Roman"/>
          <w:sz w:val="24"/>
          <w:szCs w:val="24"/>
          <w:lang w:eastAsia="hr-HR"/>
        </w:rPr>
        <w:t>:</w:t>
      </w:r>
    </w:p>
    <w:p w14:paraId="6806FDF1" w14:textId="6507F5DA" w:rsidR="00895493" w:rsidRPr="000479E9" w:rsidRDefault="00895493" w:rsidP="0089549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 Pravilnik o izdavanju suglasnosti za imenovanje članova uprave te za stjecanje kvalificiranog odnosno kontrolnog udjela i kriterijima za procjenu primjerenosti članova nadzornog odbora, nositelja ključnih funkcija i višeg rukovodstva („Narodne novine“, br. 36/21., 48/22., 142/22. i 155/2025.)</w:t>
      </w:r>
    </w:p>
    <w:p w14:paraId="2F41E839" w14:textId="3EF762F9" w:rsidR="00933B61" w:rsidRPr="000479E9" w:rsidRDefault="00895493" w:rsidP="0089549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Pravilnik o organizacijskim zahtjevima i pravilima poslovnog ponašanja za obavljanje investicijskih usluga i aktivnosti („Narodne novine“, br. 89/18. i 65/22.</w:t>
      </w:r>
      <w:r w:rsidR="00933B61"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w:t>
      </w:r>
    </w:p>
    <w:p w14:paraId="2447492D" w14:textId="7D6FAAE5" w:rsidR="00747D37" w:rsidRPr="000479E9" w:rsidRDefault="00933B61" w:rsidP="00895493">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Pravilnik o planu oporavka, kriterijima značajnosti i pokazateljima trenda koji ukazuju na nemogućnost kontinuiranog ispunjavanja uvjeta za rad i izdvajanju značajnih aktivnosti i procesa središnje druge ugovorne strane („Narodne novine“, br. 77/19. i 79/22.)</w:t>
      </w:r>
      <w:r w:rsidR="004A300A" w:rsidRPr="000479E9">
        <w:rPr>
          <w:rFonts w:ascii="Times New Roman" w:eastAsia="Times New Roman" w:hAnsi="Times New Roman" w:cs="Times New Roman"/>
          <w:sz w:val="24"/>
          <w:szCs w:val="24"/>
          <w:lang w:eastAsia="hr-HR"/>
        </w:rPr>
        <w:t>.</w:t>
      </w:r>
    </w:p>
    <w:p w14:paraId="57EFF98C" w14:textId="77777777" w:rsidR="00C52658" w:rsidRPr="000479E9" w:rsidRDefault="00C52658" w:rsidP="00617A00">
      <w:pPr>
        <w:spacing w:after="0" w:line="240" w:lineRule="auto"/>
        <w:jc w:val="both"/>
        <w:rPr>
          <w:rFonts w:ascii="Times New Roman" w:eastAsia="Times New Roman" w:hAnsi="Times New Roman" w:cs="Times New Roman"/>
          <w:sz w:val="24"/>
          <w:szCs w:val="24"/>
          <w:lang w:eastAsia="hr-HR"/>
        </w:rPr>
      </w:pPr>
    </w:p>
    <w:p w14:paraId="69E816EA" w14:textId="2BBA135A" w:rsidR="00747D37" w:rsidRPr="000479E9" w:rsidRDefault="00747D37" w:rsidP="00617A00">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w:t>
      </w:r>
      <w:r w:rsidR="000963B2" w:rsidRPr="000479E9">
        <w:rPr>
          <w:rFonts w:ascii="Times New Roman" w:eastAsia="Times New Roman" w:hAnsi="Times New Roman" w:cs="Times New Roman"/>
          <w:sz w:val="24"/>
          <w:szCs w:val="24"/>
          <w:lang w:eastAsia="hr-HR"/>
        </w:rPr>
        <w:t>2</w:t>
      </w:r>
      <w:r w:rsidRPr="000479E9">
        <w:rPr>
          <w:rFonts w:ascii="Times New Roman" w:eastAsia="Times New Roman" w:hAnsi="Times New Roman" w:cs="Times New Roman"/>
          <w:sz w:val="24"/>
          <w:szCs w:val="24"/>
          <w:lang w:eastAsia="hr-HR"/>
        </w:rPr>
        <w:t xml:space="preserve">) </w:t>
      </w:r>
      <w:r w:rsidR="00596094" w:rsidRPr="000479E9">
        <w:rPr>
          <w:rFonts w:ascii="Times New Roman" w:eastAsia="Times New Roman" w:hAnsi="Times New Roman" w:cs="Times New Roman"/>
          <w:sz w:val="24"/>
          <w:szCs w:val="24"/>
          <w:lang w:eastAsia="hr-HR"/>
        </w:rPr>
        <w:t xml:space="preserve">Upravno vijeće </w:t>
      </w:r>
      <w:r w:rsidRPr="000479E9">
        <w:rPr>
          <w:rFonts w:ascii="Times New Roman" w:eastAsia="Times New Roman" w:hAnsi="Times New Roman" w:cs="Times New Roman"/>
          <w:sz w:val="24"/>
          <w:szCs w:val="24"/>
          <w:lang w:eastAsia="hr-HR"/>
        </w:rPr>
        <w:t>Agencij</w:t>
      </w:r>
      <w:r w:rsidR="00596094" w:rsidRPr="000479E9">
        <w:rPr>
          <w:rFonts w:ascii="Times New Roman" w:eastAsia="Times New Roman" w:hAnsi="Times New Roman" w:cs="Times New Roman"/>
          <w:sz w:val="24"/>
          <w:szCs w:val="24"/>
          <w:lang w:eastAsia="hr-HR"/>
        </w:rPr>
        <w:t>e</w:t>
      </w:r>
      <w:r w:rsidRPr="000479E9">
        <w:rPr>
          <w:rFonts w:ascii="Times New Roman" w:eastAsia="Times New Roman" w:hAnsi="Times New Roman" w:cs="Times New Roman"/>
          <w:sz w:val="24"/>
          <w:szCs w:val="24"/>
          <w:lang w:eastAsia="hr-HR"/>
        </w:rPr>
        <w:t xml:space="preserve"> će u roku od šest mjeseci od stupanja na snagu ovoga Zakona donijeti</w:t>
      </w:r>
      <w:r w:rsidR="00CC07EA" w:rsidRPr="000479E9">
        <w:rPr>
          <w:rFonts w:ascii="Times New Roman" w:eastAsia="Times New Roman" w:hAnsi="Times New Roman" w:cs="Times New Roman"/>
          <w:sz w:val="24"/>
          <w:szCs w:val="24"/>
          <w:lang w:eastAsia="hr-HR"/>
        </w:rPr>
        <w:t xml:space="preserve"> </w:t>
      </w:r>
      <w:r w:rsidR="0034460A" w:rsidRPr="000479E9">
        <w:rPr>
          <w:rFonts w:ascii="Times New Roman" w:eastAsia="Times New Roman" w:hAnsi="Times New Roman" w:cs="Times New Roman"/>
          <w:sz w:val="24"/>
          <w:szCs w:val="24"/>
          <w:lang w:eastAsia="hr-HR"/>
        </w:rPr>
        <w:t>pravilnike iz članka</w:t>
      </w:r>
      <w:r w:rsidR="003C42EE" w:rsidRPr="000479E9">
        <w:rPr>
          <w:rFonts w:ascii="Times New Roman" w:eastAsia="Times New Roman" w:hAnsi="Times New Roman" w:cs="Times New Roman"/>
          <w:sz w:val="24"/>
          <w:szCs w:val="24"/>
          <w:lang w:eastAsia="hr-HR"/>
        </w:rPr>
        <w:t xml:space="preserve"> </w:t>
      </w:r>
      <w:r w:rsidR="000B130A" w:rsidRPr="000479E9">
        <w:rPr>
          <w:rFonts w:ascii="Times New Roman" w:eastAsia="Times New Roman" w:hAnsi="Times New Roman" w:cs="Times New Roman"/>
          <w:sz w:val="24"/>
          <w:szCs w:val="24"/>
          <w:lang w:eastAsia="hr-HR"/>
        </w:rPr>
        <w:t>18</w:t>
      </w:r>
      <w:r w:rsidR="003C42EE" w:rsidRPr="000479E9">
        <w:rPr>
          <w:rFonts w:ascii="Times New Roman" w:eastAsia="Times New Roman" w:hAnsi="Times New Roman" w:cs="Times New Roman"/>
          <w:sz w:val="24"/>
          <w:szCs w:val="24"/>
          <w:lang w:eastAsia="hr-HR"/>
        </w:rPr>
        <w:t>.,</w:t>
      </w:r>
      <w:r w:rsidR="00E233A8" w:rsidRPr="000479E9">
        <w:rPr>
          <w:rFonts w:ascii="Times New Roman" w:eastAsia="Times New Roman" w:hAnsi="Times New Roman" w:cs="Times New Roman"/>
          <w:sz w:val="24"/>
          <w:szCs w:val="24"/>
          <w:lang w:eastAsia="hr-HR"/>
        </w:rPr>
        <w:t xml:space="preserve"> </w:t>
      </w:r>
      <w:r w:rsidR="000955B2" w:rsidRPr="000479E9">
        <w:rPr>
          <w:rFonts w:ascii="Times New Roman" w:eastAsia="Times New Roman" w:hAnsi="Times New Roman" w:cs="Times New Roman"/>
          <w:sz w:val="24"/>
          <w:szCs w:val="24"/>
          <w:lang w:eastAsia="hr-HR"/>
        </w:rPr>
        <w:t xml:space="preserve">članka 26., </w:t>
      </w:r>
      <w:r w:rsidR="003C42EE" w:rsidRPr="000479E9">
        <w:rPr>
          <w:rFonts w:ascii="Times New Roman" w:eastAsia="Times New Roman" w:hAnsi="Times New Roman" w:cs="Times New Roman"/>
          <w:sz w:val="24"/>
          <w:szCs w:val="24"/>
          <w:lang w:eastAsia="hr-HR"/>
        </w:rPr>
        <w:t>članka</w:t>
      </w:r>
      <w:r w:rsidR="0034460A" w:rsidRPr="000479E9">
        <w:rPr>
          <w:rFonts w:ascii="Times New Roman" w:eastAsia="Times New Roman" w:hAnsi="Times New Roman" w:cs="Times New Roman"/>
          <w:sz w:val="24"/>
          <w:szCs w:val="24"/>
          <w:lang w:eastAsia="hr-HR"/>
        </w:rPr>
        <w:t xml:space="preserve"> </w:t>
      </w:r>
      <w:r w:rsidR="00DD35E6" w:rsidRPr="000479E9">
        <w:rPr>
          <w:rFonts w:ascii="Times New Roman" w:eastAsia="Times New Roman" w:hAnsi="Times New Roman" w:cs="Times New Roman"/>
          <w:sz w:val="24"/>
          <w:szCs w:val="24"/>
          <w:lang w:eastAsia="hr-HR"/>
        </w:rPr>
        <w:t>5</w:t>
      </w:r>
      <w:r w:rsidR="000B130A" w:rsidRPr="000479E9">
        <w:rPr>
          <w:rFonts w:ascii="Times New Roman" w:eastAsia="Times New Roman" w:hAnsi="Times New Roman" w:cs="Times New Roman"/>
          <w:sz w:val="24"/>
          <w:szCs w:val="24"/>
          <w:lang w:eastAsia="hr-HR"/>
        </w:rPr>
        <w:t>4</w:t>
      </w:r>
      <w:r w:rsidR="005922BF" w:rsidRPr="000479E9">
        <w:rPr>
          <w:rFonts w:ascii="Times New Roman" w:eastAsia="Times New Roman" w:hAnsi="Times New Roman" w:cs="Times New Roman"/>
          <w:sz w:val="24"/>
          <w:szCs w:val="24"/>
          <w:lang w:eastAsia="hr-HR"/>
        </w:rPr>
        <w:t>.</w:t>
      </w:r>
      <w:r w:rsidR="00970E19" w:rsidRPr="000479E9">
        <w:rPr>
          <w:rFonts w:ascii="Times New Roman" w:eastAsia="Times New Roman" w:hAnsi="Times New Roman" w:cs="Times New Roman"/>
          <w:sz w:val="24"/>
          <w:szCs w:val="24"/>
          <w:lang w:eastAsia="hr-HR"/>
        </w:rPr>
        <w:t xml:space="preserve"> i</w:t>
      </w:r>
      <w:r w:rsidR="005922BF" w:rsidRPr="000479E9">
        <w:rPr>
          <w:rFonts w:ascii="Times New Roman" w:eastAsia="Times New Roman" w:hAnsi="Times New Roman" w:cs="Times New Roman"/>
          <w:sz w:val="24"/>
          <w:szCs w:val="24"/>
          <w:lang w:eastAsia="hr-HR"/>
        </w:rPr>
        <w:t xml:space="preserve"> članka </w:t>
      </w:r>
      <w:r w:rsidR="00DD35E6" w:rsidRPr="000479E9">
        <w:rPr>
          <w:rFonts w:ascii="Times New Roman" w:eastAsia="Times New Roman" w:hAnsi="Times New Roman" w:cs="Times New Roman"/>
          <w:sz w:val="24"/>
          <w:szCs w:val="24"/>
          <w:lang w:eastAsia="hr-HR"/>
        </w:rPr>
        <w:t>6</w:t>
      </w:r>
      <w:r w:rsidR="000B130A" w:rsidRPr="000479E9">
        <w:rPr>
          <w:rFonts w:ascii="Times New Roman" w:eastAsia="Times New Roman" w:hAnsi="Times New Roman" w:cs="Times New Roman"/>
          <w:sz w:val="24"/>
          <w:szCs w:val="24"/>
          <w:lang w:eastAsia="hr-HR"/>
        </w:rPr>
        <w:t>8</w:t>
      </w:r>
      <w:r w:rsidR="0034460A" w:rsidRPr="000479E9">
        <w:rPr>
          <w:rFonts w:ascii="Times New Roman" w:eastAsia="Times New Roman" w:hAnsi="Times New Roman" w:cs="Times New Roman"/>
          <w:sz w:val="24"/>
          <w:szCs w:val="24"/>
          <w:lang w:eastAsia="hr-HR"/>
        </w:rPr>
        <w:t>. ovoga Zakon</w:t>
      </w:r>
      <w:r w:rsidR="00970E19" w:rsidRPr="000479E9">
        <w:rPr>
          <w:rFonts w:ascii="Times New Roman" w:eastAsia="Times New Roman" w:hAnsi="Times New Roman" w:cs="Times New Roman"/>
          <w:sz w:val="24"/>
          <w:szCs w:val="24"/>
          <w:lang w:eastAsia="hr-HR"/>
        </w:rPr>
        <w:t>a.</w:t>
      </w:r>
    </w:p>
    <w:p w14:paraId="0AC35E52" w14:textId="77777777" w:rsidR="005349D6" w:rsidRPr="000479E9" w:rsidRDefault="005349D6" w:rsidP="00617A00">
      <w:pPr>
        <w:spacing w:after="0" w:line="240" w:lineRule="auto"/>
        <w:jc w:val="both"/>
        <w:rPr>
          <w:rFonts w:ascii="Times New Roman" w:eastAsia="Times New Roman" w:hAnsi="Times New Roman" w:cs="Times New Roman"/>
          <w:sz w:val="24"/>
          <w:szCs w:val="24"/>
          <w:lang w:eastAsia="hr-HR"/>
        </w:rPr>
      </w:pPr>
    </w:p>
    <w:p w14:paraId="0A6B21D5" w14:textId="0BB2603E" w:rsidR="001E615F" w:rsidRPr="000479E9" w:rsidRDefault="000963B2" w:rsidP="000963B2">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850A80" w:rsidRPr="000479E9">
        <w:rPr>
          <w:rFonts w:ascii="Times New Roman" w:eastAsia="Times New Roman" w:hAnsi="Times New Roman" w:cs="Times New Roman"/>
          <w:b/>
          <w:bCs/>
          <w:sz w:val="24"/>
          <w:szCs w:val="24"/>
          <w:lang w:eastAsia="hr-HR"/>
        </w:rPr>
        <w:t>1</w:t>
      </w:r>
      <w:r w:rsidR="007043D9" w:rsidRPr="000479E9">
        <w:rPr>
          <w:rFonts w:ascii="Times New Roman" w:eastAsia="Times New Roman" w:hAnsi="Times New Roman" w:cs="Times New Roman"/>
          <w:b/>
          <w:bCs/>
          <w:sz w:val="24"/>
          <w:szCs w:val="24"/>
          <w:lang w:eastAsia="hr-HR"/>
        </w:rPr>
        <w:t>2</w:t>
      </w:r>
      <w:r w:rsidR="00F84BAF">
        <w:rPr>
          <w:rFonts w:ascii="Times New Roman" w:eastAsia="Times New Roman" w:hAnsi="Times New Roman" w:cs="Times New Roman"/>
          <w:b/>
          <w:bCs/>
          <w:sz w:val="24"/>
          <w:szCs w:val="24"/>
          <w:lang w:eastAsia="hr-HR"/>
        </w:rPr>
        <w:t>2</w:t>
      </w:r>
      <w:r w:rsidRPr="000479E9">
        <w:rPr>
          <w:rFonts w:ascii="Times New Roman" w:eastAsia="Times New Roman" w:hAnsi="Times New Roman" w:cs="Times New Roman"/>
          <w:b/>
          <w:bCs/>
          <w:sz w:val="24"/>
          <w:szCs w:val="24"/>
          <w:lang w:eastAsia="hr-HR"/>
        </w:rPr>
        <w:t xml:space="preserve">. </w:t>
      </w:r>
    </w:p>
    <w:p w14:paraId="33BF8F2A" w14:textId="77777777" w:rsidR="000963B2" w:rsidRPr="000479E9" w:rsidRDefault="000963B2" w:rsidP="000963B2">
      <w:pPr>
        <w:spacing w:after="0" w:line="240" w:lineRule="auto"/>
        <w:jc w:val="center"/>
        <w:rPr>
          <w:rFonts w:ascii="Times New Roman" w:eastAsia="Times New Roman" w:hAnsi="Times New Roman" w:cs="Times New Roman"/>
          <w:sz w:val="24"/>
          <w:szCs w:val="24"/>
          <w:lang w:eastAsia="hr-HR"/>
        </w:rPr>
      </w:pPr>
    </w:p>
    <w:p w14:paraId="38301C84" w14:textId="50323C3B" w:rsidR="000963B2" w:rsidRPr="000479E9" w:rsidRDefault="000963B2" w:rsidP="000963B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Stupanjem na snagu ovoga Zakona prestaju važiti:</w:t>
      </w:r>
    </w:p>
    <w:p w14:paraId="28C2D3F0" w14:textId="77777777" w:rsidR="000963B2" w:rsidRPr="000479E9" w:rsidRDefault="000963B2" w:rsidP="000963B2">
      <w:pPr>
        <w:spacing w:after="0" w:line="240" w:lineRule="auto"/>
        <w:jc w:val="both"/>
        <w:rPr>
          <w:rFonts w:ascii="Times New Roman" w:eastAsia="Times New Roman" w:hAnsi="Times New Roman" w:cs="Times New Roman"/>
          <w:sz w:val="24"/>
          <w:szCs w:val="24"/>
          <w:lang w:eastAsia="hr-HR"/>
        </w:rPr>
      </w:pPr>
    </w:p>
    <w:p w14:paraId="55496BD0" w14:textId="77777777" w:rsidR="000963B2" w:rsidRPr="000479E9" w:rsidRDefault="000963B2" w:rsidP="000963B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Pravilnik o minimalnom obliku i sadržaju informacijskog dokumenta kod iznimke od obveze objave prospekta („Narodne novine“, broj 87/20.)</w:t>
      </w:r>
    </w:p>
    <w:p w14:paraId="7CB9EB4B" w14:textId="0AB1FBD5" w:rsidR="000963B2" w:rsidRPr="000479E9" w:rsidRDefault="000963B2" w:rsidP="000963B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Pravilnik o sadržaju i strukturi izvještaja izdavatelja za razdoblja tijekom godine te obliku i načinu njihovog dostavljanja Hrvatskoj agenciji za nadzor financijskih usluga (</w:t>
      </w:r>
      <w:r w:rsidR="002076D9"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Narodne novine</w:t>
      </w:r>
      <w:r w:rsidR="002076D9"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br. 114/18., 27/21., 26/22. i 31/23.)</w:t>
      </w:r>
    </w:p>
    <w:p w14:paraId="03848932" w14:textId="5522D262" w:rsidR="000963B2" w:rsidRPr="000479E9" w:rsidRDefault="000963B2" w:rsidP="000963B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Pravilnik o stečaju i sanaciji središnjeg depozitorija (</w:t>
      </w:r>
      <w:r w:rsidR="002076D9"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Narodne novine</w:t>
      </w:r>
      <w:r w:rsidR="002076D9"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br</w:t>
      </w:r>
      <w:r w:rsidR="00F00DC7">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45/23. i 65/24.).</w:t>
      </w:r>
    </w:p>
    <w:p w14:paraId="0E8FFAD7" w14:textId="76AC04F4" w:rsidR="000963B2" w:rsidRPr="000479E9" w:rsidRDefault="002076D9" w:rsidP="000963B2">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Pravilnik o sadržaju i strukturi godišnjeg izvještaja izdavatelja te obliku i načinu njegovog dostavljanja Hrvatskoj agenciji za nadzor financijskih usluga („Narodne novine“</w:t>
      </w:r>
      <w:r w:rsidR="00F00DC7">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br. 114/18., 132/20. i 144/25.).</w:t>
      </w:r>
    </w:p>
    <w:p w14:paraId="2333A793" w14:textId="77777777" w:rsidR="000963B2" w:rsidRPr="000479E9" w:rsidRDefault="000963B2" w:rsidP="00617A00">
      <w:pPr>
        <w:spacing w:after="0" w:line="240" w:lineRule="auto"/>
        <w:jc w:val="both"/>
        <w:rPr>
          <w:rFonts w:ascii="Times New Roman" w:eastAsia="Times New Roman" w:hAnsi="Times New Roman" w:cs="Times New Roman"/>
          <w:sz w:val="24"/>
          <w:szCs w:val="24"/>
          <w:lang w:eastAsia="hr-HR"/>
        </w:rPr>
      </w:pPr>
    </w:p>
    <w:p w14:paraId="4AFDA48C" w14:textId="77777777" w:rsidR="001E615F" w:rsidRPr="000479E9" w:rsidRDefault="001E615F" w:rsidP="001E615F">
      <w:pPr>
        <w:spacing w:after="0" w:line="240" w:lineRule="auto"/>
        <w:jc w:val="center"/>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STUPANJE NA SNAGU</w:t>
      </w:r>
    </w:p>
    <w:p w14:paraId="7F9E633A" w14:textId="77777777"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7A519623" w14:textId="33EDEBB8" w:rsidR="001E615F" w:rsidRPr="000479E9" w:rsidRDefault="001E615F" w:rsidP="001E615F">
      <w:pPr>
        <w:spacing w:after="0" w:line="240" w:lineRule="auto"/>
        <w:jc w:val="center"/>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Članak </w:t>
      </w:r>
      <w:r w:rsidR="00850A80" w:rsidRPr="000479E9">
        <w:rPr>
          <w:rFonts w:ascii="Times New Roman" w:eastAsia="Times New Roman" w:hAnsi="Times New Roman" w:cs="Times New Roman"/>
          <w:b/>
          <w:bCs/>
          <w:sz w:val="24"/>
          <w:szCs w:val="24"/>
          <w:lang w:eastAsia="hr-HR"/>
        </w:rPr>
        <w:t>1</w:t>
      </w:r>
      <w:r w:rsidR="007043D9" w:rsidRPr="000479E9">
        <w:rPr>
          <w:rFonts w:ascii="Times New Roman" w:eastAsia="Times New Roman" w:hAnsi="Times New Roman" w:cs="Times New Roman"/>
          <w:b/>
          <w:bCs/>
          <w:sz w:val="24"/>
          <w:szCs w:val="24"/>
          <w:lang w:eastAsia="hr-HR"/>
        </w:rPr>
        <w:t>2</w:t>
      </w:r>
      <w:r w:rsidR="00F84BAF">
        <w:rPr>
          <w:rFonts w:ascii="Times New Roman" w:eastAsia="Times New Roman" w:hAnsi="Times New Roman" w:cs="Times New Roman"/>
          <w:b/>
          <w:bCs/>
          <w:sz w:val="24"/>
          <w:szCs w:val="24"/>
          <w:lang w:eastAsia="hr-HR"/>
        </w:rPr>
        <w:t>3</w:t>
      </w:r>
      <w:r w:rsidR="00850A80" w:rsidRPr="000479E9">
        <w:rPr>
          <w:rFonts w:ascii="Times New Roman" w:eastAsia="Times New Roman" w:hAnsi="Times New Roman" w:cs="Times New Roman"/>
          <w:b/>
          <w:bCs/>
          <w:sz w:val="24"/>
          <w:szCs w:val="24"/>
          <w:lang w:eastAsia="hr-HR"/>
        </w:rPr>
        <w:t>.</w:t>
      </w:r>
    </w:p>
    <w:p w14:paraId="26F9B67A" w14:textId="77777777" w:rsidR="001E615F" w:rsidRPr="000479E9" w:rsidRDefault="001E615F" w:rsidP="001E615F">
      <w:pPr>
        <w:spacing w:after="0" w:line="240" w:lineRule="auto"/>
        <w:jc w:val="center"/>
        <w:rPr>
          <w:rFonts w:ascii="Times New Roman" w:eastAsia="Times New Roman" w:hAnsi="Times New Roman" w:cs="Times New Roman"/>
          <w:b/>
          <w:bCs/>
          <w:sz w:val="24"/>
          <w:szCs w:val="24"/>
          <w:lang w:eastAsia="hr-HR"/>
        </w:rPr>
      </w:pPr>
    </w:p>
    <w:p w14:paraId="70936D56" w14:textId="05FF5B4F" w:rsidR="002076D9" w:rsidRPr="000479E9" w:rsidRDefault="001E615F" w:rsidP="002076D9">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Ovaj Zakon stupa na snagu osmoga dana od dana objave u „Narodnim novinama“</w:t>
      </w:r>
      <w:r w:rsidR="00F00DC7">
        <w:rPr>
          <w:rFonts w:ascii="Times New Roman" w:eastAsia="Times New Roman" w:hAnsi="Times New Roman" w:cs="Times New Roman"/>
          <w:sz w:val="24"/>
          <w:szCs w:val="24"/>
          <w:lang w:eastAsia="hr-HR"/>
        </w:rPr>
        <w:t>,</w:t>
      </w:r>
      <w:r w:rsidR="002076D9" w:rsidRPr="000479E9">
        <w:rPr>
          <w:rFonts w:ascii="Times New Roman" w:eastAsia="Times New Roman" w:hAnsi="Times New Roman" w:cs="Times New Roman"/>
          <w:sz w:val="24"/>
          <w:szCs w:val="24"/>
          <w:lang w:eastAsia="hr-HR"/>
        </w:rPr>
        <w:t xml:space="preserve"> osim odredbi članka 87.a stavaka 2. do 4. Zakona o tržištu kapitala, dodane člankom 15. ovoga Zakona, koje stupaju na snagu od dana početka primjene regulatornih tehničkih standarda iz članka 24. stavka 3.c Direktive 2014/65/EU kojima se uspostavlja EU kodeks ponašanja za istraživanja koja financira izdavatelj.</w:t>
      </w:r>
    </w:p>
    <w:p w14:paraId="62D679AC" w14:textId="77777777" w:rsidR="002076D9" w:rsidRPr="000479E9" w:rsidRDefault="002076D9" w:rsidP="002076D9">
      <w:pPr>
        <w:spacing w:after="0" w:line="240" w:lineRule="auto"/>
        <w:jc w:val="both"/>
        <w:rPr>
          <w:rFonts w:ascii="Times New Roman" w:eastAsia="Times New Roman" w:hAnsi="Times New Roman" w:cs="Times New Roman"/>
          <w:sz w:val="24"/>
          <w:szCs w:val="24"/>
          <w:lang w:eastAsia="hr-HR"/>
        </w:rPr>
      </w:pPr>
    </w:p>
    <w:p w14:paraId="54DA203D" w14:textId="742C4FE3" w:rsidR="001E615F" w:rsidRPr="000479E9" w:rsidRDefault="001E615F" w:rsidP="001E615F">
      <w:pPr>
        <w:spacing w:after="0" w:line="240" w:lineRule="auto"/>
        <w:jc w:val="both"/>
        <w:rPr>
          <w:rFonts w:ascii="Times New Roman" w:eastAsia="Times New Roman" w:hAnsi="Times New Roman" w:cs="Times New Roman"/>
          <w:sz w:val="24"/>
          <w:szCs w:val="24"/>
          <w:lang w:eastAsia="hr-HR"/>
        </w:rPr>
      </w:pPr>
    </w:p>
    <w:p w14:paraId="772F2014" w14:textId="65EE9487" w:rsidR="00F43F92" w:rsidRPr="000479E9" w:rsidRDefault="00F43F92" w:rsidP="009703B1">
      <w:pPr>
        <w:spacing w:line="240" w:lineRule="auto"/>
        <w:jc w:val="both"/>
        <w:rPr>
          <w:rFonts w:ascii="Times New Roman" w:eastAsia="Times New Roman" w:hAnsi="Times New Roman" w:cs="Times New Roman"/>
          <w:sz w:val="24"/>
          <w:szCs w:val="24"/>
          <w:lang w:eastAsia="hr-HR"/>
        </w:rPr>
      </w:pPr>
    </w:p>
    <w:p w14:paraId="3A00A733" w14:textId="1F3C78A2" w:rsidR="00F053FD" w:rsidRPr="000479E9" w:rsidRDefault="00F053FD">
      <w:pPr>
        <w:rPr>
          <w:rFonts w:ascii="Times New Roman" w:hAnsi="Times New Roman" w:cs="Times New Roman"/>
          <w:sz w:val="24"/>
          <w:szCs w:val="24"/>
        </w:rPr>
      </w:pPr>
      <w:r w:rsidRPr="000479E9">
        <w:rPr>
          <w:rFonts w:ascii="Times New Roman" w:hAnsi="Times New Roman" w:cs="Times New Roman"/>
          <w:sz w:val="24"/>
          <w:szCs w:val="24"/>
        </w:rPr>
        <w:br w:type="page"/>
      </w:r>
    </w:p>
    <w:p w14:paraId="31D84BC9" w14:textId="77777777" w:rsidR="00070EEC" w:rsidRPr="000479E9" w:rsidRDefault="00070EEC" w:rsidP="00070EEC">
      <w:pPr>
        <w:pStyle w:val="NormalWeb"/>
        <w:tabs>
          <w:tab w:val="left" w:pos="426"/>
        </w:tabs>
        <w:spacing w:before="0" w:beforeAutospacing="0" w:after="0" w:afterAutospacing="0"/>
        <w:ind w:left="426" w:hanging="426"/>
        <w:jc w:val="center"/>
        <w:rPr>
          <w:b/>
        </w:rPr>
      </w:pPr>
      <w:r w:rsidRPr="000479E9">
        <w:rPr>
          <w:b/>
        </w:rPr>
        <w:lastRenderedPageBreak/>
        <w:t>OBRAZLOŽENJE</w:t>
      </w:r>
    </w:p>
    <w:p w14:paraId="51E02E91" w14:textId="77777777" w:rsidR="00070EEC" w:rsidRPr="000479E9" w:rsidRDefault="00070EEC" w:rsidP="00070EEC">
      <w:pPr>
        <w:pStyle w:val="NormalWeb"/>
        <w:spacing w:before="0" w:beforeAutospacing="0" w:after="0" w:afterAutospacing="0"/>
        <w:ind w:left="426" w:hanging="426"/>
        <w:jc w:val="both"/>
        <w:rPr>
          <w:b/>
        </w:rPr>
      </w:pPr>
    </w:p>
    <w:p w14:paraId="206754A2" w14:textId="41252393" w:rsidR="00070EEC" w:rsidRPr="000479E9" w:rsidRDefault="00070EEC" w:rsidP="00070EEC">
      <w:pPr>
        <w:tabs>
          <w:tab w:val="left" w:pos="426"/>
        </w:tabs>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I. </w:t>
      </w:r>
      <w:r w:rsidRPr="000479E9">
        <w:rPr>
          <w:rFonts w:ascii="Times New Roman" w:hAnsi="Times New Roman" w:cs="Times New Roman"/>
          <w:b/>
          <w:sz w:val="24"/>
          <w:szCs w:val="24"/>
        </w:rPr>
        <w:tab/>
        <w:t>RAZLOZI ZBOG KOJIH SE ZAKON DONOSI I PITANJA KOJA SE ZAKONOM RJEŠAVAJU</w:t>
      </w:r>
    </w:p>
    <w:p w14:paraId="48D283A3" w14:textId="77777777" w:rsidR="00070EEC" w:rsidRPr="000479E9" w:rsidRDefault="00070EEC" w:rsidP="00070EEC">
      <w:pPr>
        <w:tabs>
          <w:tab w:val="left" w:pos="426"/>
        </w:tabs>
        <w:spacing w:after="0" w:line="240" w:lineRule="auto"/>
        <w:jc w:val="both"/>
        <w:rPr>
          <w:rFonts w:ascii="Times New Roman" w:hAnsi="Times New Roman" w:cs="Times New Roman"/>
          <w:b/>
          <w:sz w:val="24"/>
          <w:szCs w:val="24"/>
        </w:rPr>
      </w:pPr>
    </w:p>
    <w:p w14:paraId="341CAF6F" w14:textId="4978BDD2" w:rsidR="00070EEC" w:rsidRPr="000479E9" w:rsidRDefault="00070EEC" w:rsidP="00070EEC">
      <w:pPr>
        <w:pStyle w:val="NormalWeb"/>
        <w:spacing w:before="0" w:beforeAutospacing="0" w:after="0" w:afterAutospacing="0"/>
        <w:jc w:val="both"/>
        <w:rPr>
          <w:rFonts w:eastAsiaTheme="minorHAnsi"/>
          <w:lang w:eastAsia="en-US"/>
        </w:rPr>
      </w:pPr>
      <w:r w:rsidRPr="000479E9">
        <w:rPr>
          <w:rFonts w:eastAsiaTheme="minorHAnsi"/>
          <w:lang w:eastAsia="en-US"/>
        </w:rPr>
        <w:t>Zakon o tržištu kapitala („</w:t>
      </w:r>
      <w:r w:rsidRPr="000479E9">
        <w:rPr>
          <w:rFonts w:eastAsia="Times New Roman"/>
        </w:rPr>
        <w:t xml:space="preserve">Narodne novine“, </w:t>
      </w:r>
      <w:r w:rsidRPr="000479E9">
        <w:rPr>
          <w:rFonts w:eastAsia="Calibri"/>
        </w:rPr>
        <w:t>br.</w:t>
      </w:r>
      <w:r w:rsidRPr="000479E9">
        <w:rPr>
          <w:rFonts w:eastAsia="Times New Roman"/>
        </w:rPr>
        <w:t xml:space="preserve"> 65/18., 17/20., 83/21., 151/22., 85/24., 126/25. i 45/26.</w:t>
      </w:r>
      <w:r w:rsidRPr="000479E9">
        <w:rPr>
          <w:rFonts w:eastAsiaTheme="minorHAnsi"/>
          <w:lang w:eastAsia="en-US"/>
        </w:rPr>
        <w:t>; u daljnjem tekstu:</w:t>
      </w:r>
      <w:r w:rsidRPr="000479E9">
        <w:t xml:space="preserve"> važeći Zakon</w:t>
      </w:r>
      <w:r w:rsidRPr="000479E9">
        <w:rPr>
          <w:rFonts w:eastAsiaTheme="minorHAnsi"/>
          <w:lang w:eastAsia="en-US"/>
        </w:rPr>
        <w:t xml:space="preserve">) zajedno s pripadajućim podzakonskim aktima, u potpunosti je usklađen s trenutno važećom pravnom stečevinom Europske </w:t>
      </w:r>
      <w:r w:rsidRPr="000479E9">
        <w:t xml:space="preserve">unije u području </w:t>
      </w:r>
      <w:r w:rsidRPr="000479E9">
        <w:rPr>
          <w:rFonts w:eastAsiaTheme="minorHAnsi"/>
          <w:lang w:eastAsia="en-US"/>
        </w:rPr>
        <w:t xml:space="preserve">tržišta kapitala. </w:t>
      </w:r>
    </w:p>
    <w:p w14:paraId="4B830D37" w14:textId="77777777" w:rsidR="00070EEC" w:rsidRPr="000479E9" w:rsidRDefault="00070EEC" w:rsidP="00070EEC">
      <w:pPr>
        <w:pStyle w:val="NormalWeb"/>
        <w:spacing w:before="0" w:beforeAutospacing="0" w:after="0" w:afterAutospacing="0"/>
        <w:jc w:val="both"/>
        <w:rPr>
          <w:rFonts w:eastAsiaTheme="minorHAnsi"/>
          <w:lang w:eastAsia="en-US"/>
        </w:rPr>
      </w:pPr>
    </w:p>
    <w:p w14:paraId="7D9ED34A" w14:textId="5EB211F4" w:rsidR="00070EEC" w:rsidRPr="000479E9" w:rsidRDefault="00070EEC" w:rsidP="00070EEC">
      <w:pPr>
        <w:pStyle w:val="NormalWeb"/>
        <w:spacing w:before="0" w:beforeAutospacing="0" w:after="0" w:afterAutospacing="0"/>
        <w:jc w:val="both"/>
        <w:rPr>
          <w:rFonts w:eastAsiaTheme="minorHAnsi"/>
          <w:lang w:eastAsia="en-US"/>
        </w:rPr>
      </w:pPr>
      <w:r w:rsidRPr="000479E9">
        <w:rPr>
          <w:rFonts w:eastAsiaTheme="minorHAnsi"/>
          <w:lang w:eastAsia="en-US"/>
        </w:rPr>
        <w:t>Novine i dorade koje donosi Konačni prijedlog zakona o izmjenama i dopunama Zakona o tržištu kapitala (u daljnjem tekstu: Konačni prijedlog zakona) u odnosu na važeći Zakon, prvenstveno su vezane uz daljnje usklađivanje hrvatskog regulatornog okvira za tržište kapitala s pravnom stečevinom Europske unije.</w:t>
      </w:r>
    </w:p>
    <w:p w14:paraId="511CB5B1" w14:textId="77777777" w:rsidR="00070EEC" w:rsidRPr="000479E9" w:rsidRDefault="00070EEC" w:rsidP="00070EEC">
      <w:pPr>
        <w:pStyle w:val="NormalWeb"/>
        <w:spacing w:before="0" w:beforeAutospacing="0" w:after="0" w:afterAutospacing="0"/>
        <w:jc w:val="both"/>
        <w:rPr>
          <w:rFonts w:eastAsiaTheme="minorHAnsi"/>
          <w:lang w:eastAsia="en-US"/>
        </w:rPr>
      </w:pPr>
    </w:p>
    <w:p w14:paraId="55733239" w14:textId="17A385B2"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Ovim Konačnim prijedlogom zakona provodi se daljnje usklađivanje hrvatskog regulatornog okvira za tržište kapitala s paketom zakonodavnih mjera Europske unije,</w:t>
      </w:r>
      <w:r w:rsidRPr="000479E9">
        <w:t xml:space="preserve"> </w:t>
      </w:r>
      <w:r w:rsidRPr="000479E9">
        <w:rPr>
          <w:rFonts w:ascii="Times New Roman" w:hAnsi="Times New Roman" w:cs="Times New Roman"/>
          <w:sz w:val="24"/>
        </w:rPr>
        <w:t>tzv. Aktom o uvrštenju (engl. Listing Act)</w:t>
      </w:r>
      <w:r w:rsidRPr="000479E9">
        <w:rPr>
          <w:rFonts w:ascii="Times New Roman" w:hAnsi="Times New Roman" w:cs="Times New Roman"/>
          <w:sz w:val="24"/>
          <w:szCs w:val="24"/>
        </w:rPr>
        <w:t xml:space="preserve">, objavljenim u Službenom listu Europske unije 14. studenoga 2024. </w:t>
      </w:r>
    </w:p>
    <w:p w14:paraId="3F5A9644" w14:textId="77777777" w:rsidR="00070EEC" w:rsidRPr="000479E9" w:rsidRDefault="00070EEC" w:rsidP="00070EEC">
      <w:pPr>
        <w:spacing w:after="0" w:line="240" w:lineRule="auto"/>
        <w:jc w:val="both"/>
        <w:rPr>
          <w:rFonts w:ascii="Times New Roman" w:hAnsi="Times New Roman" w:cs="Times New Roman"/>
          <w:sz w:val="24"/>
          <w:szCs w:val="24"/>
        </w:rPr>
      </w:pPr>
    </w:p>
    <w:p w14:paraId="11437537"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Akt o uvrštenju uključuje:</w:t>
      </w:r>
    </w:p>
    <w:p w14:paraId="63F46F88" w14:textId="77777777" w:rsidR="00070EEC" w:rsidRPr="000479E9" w:rsidRDefault="00070EEC" w:rsidP="000C6DC5">
      <w:pPr>
        <w:pStyle w:val="ListParagraph"/>
        <w:numPr>
          <w:ilvl w:val="0"/>
          <w:numId w:val="1"/>
        </w:numPr>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Uredbu (EU) 2024/2809 Europskog parlamenta i Vijeća od 23. listopada 2024. o izmjeni uredaba (EU) 2017/1129, (EU) br. 596/2014 i (EU) br. 600/2014 radi povećanja privlačnosti javnih tržišta kapitala u Uniji za poduzeća i olakšavanja pristupa kapitalu za mala i srednja poduzeća (Tekst značajan za EGP) (SL L, 2024/2809, 14. 11. 2024.)</w:t>
      </w:r>
    </w:p>
    <w:p w14:paraId="3367A938" w14:textId="77777777" w:rsidR="00070EEC" w:rsidRPr="000479E9" w:rsidRDefault="00070EEC" w:rsidP="000C6DC5">
      <w:pPr>
        <w:pStyle w:val="ListParagraph"/>
        <w:numPr>
          <w:ilvl w:val="0"/>
          <w:numId w:val="1"/>
        </w:numPr>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Direktivu (EU) 2024/2810 Europskog parlamenta i Vijeća od 23. listopada 2024. o strukturama dionica s višestrukim pravom glasa u društvima koja traže uvrštenje svojih dionica za trgovanje na multilateralnoj trgovinskoj platformi (Tekst značajan za EGP) (SL L, 2024/2810, 14. 11. 2024.) i</w:t>
      </w:r>
    </w:p>
    <w:p w14:paraId="2AD3AA01" w14:textId="77777777" w:rsidR="00070EEC" w:rsidRPr="000479E9" w:rsidRDefault="00070EEC" w:rsidP="000C6DC5">
      <w:pPr>
        <w:pStyle w:val="ListParagraph"/>
        <w:numPr>
          <w:ilvl w:val="0"/>
          <w:numId w:val="1"/>
        </w:numPr>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 xml:space="preserve">Direktivu (EU) 2024/2811 Europskog parlamenta i Vijeća od 23. listopada 2024. o izmjeni Direktive 2014/65/EU radi povećanja privlačnosti javnih tržišta kapitala u Uniji za društva i olakšavanja pristupa kapitalu za mala i srednja poduzeća i o stavljanju izvan snage Direktive 2001/34/EZ (Tekst značajan za EGP) (SL L, 2024/2811, 14. 11. 2024.). </w:t>
      </w:r>
    </w:p>
    <w:p w14:paraId="152DA7FB" w14:textId="77777777" w:rsidR="00070EEC" w:rsidRPr="000479E9" w:rsidRDefault="00070EEC" w:rsidP="00070EEC">
      <w:pPr>
        <w:spacing w:after="0" w:line="240" w:lineRule="auto"/>
        <w:jc w:val="both"/>
        <w:rPr>
          <w:rFonts w:ascii="Times New Roman" w:hAnsi="Times New Roman" w:cs="Times New Roman"/>
          <w:sz w:val="24"/>
          <w:szCs w:val="24"/>
        </w:rPr>
      </w:pPr>
    </w:p>
    <w:p w14:paraId="139203D4"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Ovaj paket zakonodavnih mjera obuhvaća izmjene ključnih pravnih akata u području tržišta kapitala, uključujući:</w:t>
      </w:r>
    </w:p>
    <w:p w14:paraId="63A9A5F8" w14:textId="77777777" w:rsidR="00070EEC" w:rsidRPr="000479E9" w:rsidRDefault="00070EEC" w:rsidP="000C6DC5">
      <w:pPr>
        <w:pStyle w:val="ListParagraph"/>
        <w:numPr>
          <w:ilvl w:val="0"/>
          <w:numId w:val="2"/>
        </w:numPr>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 xml:space="preserve">Uredbu (EU) 2017/1129 Europskog parlamenta i Vijeća od 14. lipnja 2017. o prospektu koji je potrebno objaviti prilikom javne ponude vrijednosnih papira ili prilikom uvrštavanja za trgovanje na uređenom tržištu te stavljanju izvan snage Direktive 2003/71/EZ (Tekst značajan za EGP) (SL L 168, 30. 6. 2017.) (u daljnjem tekstu: Uredba o prospektu) </w:t>
      </w:r>
    </w:p>
    <w:p w14:paraId="7E50FFA5" w14:textId="77777777" w:rsidR="00070EEC" w:rsidRPr="000479E9" w:rsidRDefault="00070EEC" w:rsidP="000C6DC5">
      <w:pPr>
        <w:pStyle w:val="ListParagraph"/>
        <w:numPr>
          <w:ilvl w:val="0"/>
          <w:numId w:val="2"/>
        </w:numPr>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 xml:space="preserve">Uredbu (EU) br. 596/2014 Europskog parlamenta i Vijeća od 16. travnja 2014. o zlouporabi tržišta (Uredba o zlouporabi tržišta) te stavljanju izvan snage Direktive </w:t>
      </w:r>
      <w:r w:rsidRPr="000479E9">
        <w:rPr>
          <w:rFonts w:ascii="Times New Roman" w:hAnsi="Times New Roman" w:cs="Times New Roman"/>
          <w:sz w:val="24"/>
          <w:szCs w:val="24"/>
        </w:rPr>
        <w:lastRenderedPageBreak/>
        <w:t>2003/6/EZ Europskog parlamenta i Vijeća i direktiva Komisije 2003/124/EZ, 2003/125/EZ i 2004/72/EZ (Tekst značajan za EGP) (SL L 173, 12. 6. 2014.) (u daljnjem tekstu: Uredba o zlouporabi tržišta (MAR))</w:t>
      </w:r>
    </w:p>
    <w:p w14:paraId="046C5402" w14:textId="77777777" w:rsidR="00070EEC" w:rsidRPr="000479E9" w:rsidRDefault="00070EEC" w:rsidP="000C6DC5">
      <w:pPr>
        <w:pStyle w:val="ListParagraph"/>
        <w:numPr>
          <w:ilvl w:val="0"/>
          <w:numId w:val="2"/>
        </w:numPr>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Uredbu (EU) br. 600/2014 Europskog parlamenta i Vijeća od 15. svibnja 2014. o tržištima financijskih instrumenata i izmjeni Uredbe (EU) br. 648/2012 (Tekst značajan za EGP) (SL L 173, 12. 6. 2014.) (u daljnjem tekstu: MiFIR) i</w:t>
      </w:r>
    </w:p>
    <w:p w14:paraId="4ADF75F7" w14:textId="77777777" w:rsidR="00070EEC" w:rsidRPr="000479E9" w:rsidRDefault="00070EEC" w:rsidP="000C6DC5">
      <w:pPr>
        <w:pStyle w:val="ListParagraph"/>
        <w:numPr>
          <w:ilvl w:val="0"/>
          <w:numId w:val="2"/>
        </w:numPr>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 xml:space="preserve">Direktivu 2014/65/EU Europskog parlamenta i Vijeća od 15. svibnja 2014. o tržištu financijskih instrumenata i izmjeni Direktive 2002/92/EZ i Direktive 2011/61/EU (preinačena) (Tekst značajan za EGP) (SL L 173, 12. 6. 2014.) (u daljnjem tekstu: MiFID II). </w:t>
      </w:r>
    </w:p>
    <w:p w14:paraId="79BD6922" w14:textId="77777777" w:rsidR="00070EEC" w:rsidRPr="000479E9" w:rsidRDefault="00070EEC" w:rsidP="00070EEC">
      <w:pPr>
        <w:spacing w:after="0" w:line="240" w:lineRule="auto"/>
        <w:jc w:val="both"/>
        <w:rPr>
          <w:rFonts w:ascii="Times New Roman" w:hAnsi="Times New Roman" w:cs="Times New Roman"/>
          <w:sz w:val="24"/>
          <w:szCs w:val="24"/>
        </w:rPr>
      </w:pPr>
    </w:p>
    <w:p w14:paraId="72772679"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Izmjene i dopune u važećem Zakonu nužne su radi potpune provedbe obveza iz navedenih Direktiva te osiguranja dosljedne primjene Uredbi, koje su izravno obvezujuće u pravnom poretku Republike Hrvatske.</w:t>
      </w:r>
    </w:p>
    <w:p w14:paraId="600BEA2A" w14:textId="77777777" w:rsidR="00070EEC" w:rsidRPr="000479E9" w:rsidRDefault="00070EEC" w:rsidP="00070EEC">
      <w:pPr>
        <w:spacing w:after="0" w:line="240" w:lineRule="auto"/>
        <w:jc w:val="both"/>
        <w:rPr>
          <w:rFonts w:ascii="Times New Roman" w:hAnsi="Times New Roman" w:cs="Times New Roman"/>
          <w:sz w:val="24"/>
          <w:szCs w:val="24"/>
        </w:rPr>
      </w:pPr>
    </w:p>
    <w:p w14:paraId="442330FD" w14:textId="14576C71"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Akt o uvrštenju predstavlja dio sveobuhvatnih napora Europske komisije za jačanje Unije tržišta kapitala (eng. Capital Markets Union) te povećanje konkurentnosti europskih tržišta, osobito omogućavanjem jednostavnijeg i </w:t>
      </w:r>
      <w:r w:rsidR="00CE1A33" w:rsidRPr="000479E9">
        <w:rPr>
          <w:rFonts w:ascii="Times New Roman" w:hAnsi="Times New Roman" w:cs="Times New Roman"/>
          <w:sz w:val="24"/>
          <w:szCs w:val="24"/>
        </w:rPr>
        <w:t xml:space="preserve">povoljnijeg </w:t>
      </w:r>
      <w:r w:rsidRPr="000479E9">
        <w:rPr>
          <w:rFonts w:ascii="Times New Roman" w:hAnsi="Times New Roman" w:cs="Times New Roman"/>
          <w:sz w:val="24"/>
          <w:szCs w:val="24"/>
        </w:rPr>
        <w:t xml:space="preserve">pristupa tržišnom financiranju. Reformom se smanjuje administrativno opterećenje izdavatelja, unapređuje pravna sigurnost te poboljšava transparentnost i dostupnost tržišnih informacija radi zaštite ulagatelja. </w:t>
      </w:r>
    </w:p>
    <w:p w14:paraId="151B2AB0" w14:textId="77777777" w:rsidR="00070EEC" w:rsidRPr="000479E9" w:rsidRDefault="00070EEC" w:rsidP="00070EEC">
      <w:pPr>
        <w:spacing w:after="0" w:line="240" w:lineRule="auto"/>
        <w:jc w:val="both"/>
        <w:outlineLvl w:val="2"/>
        <w:rPr>
          <w:rFonts w:ascii="Times New Roman" w:hAnsi="Times New Roman" w:cs="Times New Roman"/>
          <w:sz w:val="24"/>
          <w:szCs w:val="24"/>
        </w:rPr>
      </w:pPr>
    </w:p>
    <w:p w14:paraId="4E414E12" w14:textId="78E7EE42" w:rsidR="00070EEC" w:rsidRPr="000479E9" w:rsidRDefault="00070EEC" w:rsidP="00070EEC">
      <w:pPr>
        <w:spacing w:after="0" w:line="240" w:lineRule="auto"/>
        <w:jc w:val="both"/>
        <w:outlineLvl w:val="2"/>
        <w:rPr>
          <w:rFonts w:ascii="Times New Roman" w:hAnsi="Times New Roman" w:cs="Times New Roman"/>
          <w:sz w:val="24"/>
          <w:szCs w:val="24"/>
        </w:rPr>
      </w:pPr>
      <w:r w:rsidRPr="000479E9">
        <w:rPr>
          <w:rFonts w:ascii="Times New Roman" w:hAnsi="Times New Roman" w:cs="Times New Roman"/>
          <w:sz w:val="24"/>
          <w:szCs w:val="24"/>
        </w:rPr>
        <w:t xml:space="preserve">U glavnim značajkama, </w:t>
      </w:r>
      <w:r w:rsidR="0054636E" w:rsidRPr="000479E9">
        <w:rPr>
          <w:rFonts w:ascii="Times New Roman" w:hAnsi="Times New Roman" w:cs="Times New Roman"/>
          <w:sz w:val="24"/>
          <w:szCs w:val="24"/>
        </w:rPr>
        <w:t xml:space="preserve">predmetni </w:t>
      </w:r>
      <w:r w:rsidRPr="000479E9">
        <w:rPr>
          <w:rFonts w:ascii="Times New Roman" w:hAnsi="Times New Roman" w:cs="Times New Roman"/>
          <w:sz w:val="24"/>
          <w:szCs w:val="24"/>
        </w:rPr>
        <w:t>paket zakonodavnih mjera donosi sljedeće novosti:</w:t>
      </w:r>
    </w:p>
    <w:p w14:paraId="3A5CE1DB" w14:textId="77777777" w:rsidR="00070EEC" w:rsidRPr="000479E9" w:rsidRDefault="00070EEC" w:rsidP="00070EEC">
      <w:pPr>
        <w:spacing w:after="0" w:line="240" w:lineRule="auto"/>
        <w:jc w:val="both"/>
        <w:outlineLvl w:val="2"/>
        <w:rPr>
          <w:rFonts w:ascii="Times New Roman" w:hAnsi="Times New Roman" w:cs="Times New Roman"/>
          <w:sz w:val="24"/>
          <w:szCs w:val="24"/>
        </w:rPr>
      </w:pPr>
    </w:p>
    <w:p w14:paraId="185155D1" w14:textId="77777777" w:rsidR="00070EEC" w:rsidRPr="000479E9" w:rsidRDefault="00070EEC" w:rsidP="00070EEC">
      <w:pPr>
        <w:spacing w:after="0" w:line="240" w:lineRule="auto"/>
        <w:jc w:val="both"/>
        <w:outlineLvl w:val="2"/>
        <w:rPr>
          <w:rFonts w:ascii="Times New Roman" w:hAnsi="Times New Roman" w:cs="Times New Roman"/>
          <w:sz w:val="24"/>
          <w:szCs w:val="24"/>
        </w:rPr>
      </w:pPr>
      <w:r w:rsidRPr="000479E9">
        <w:rPr>
          <w:rFonts w:ascii="Times New Roman" w:hAnsi="Times New Roman" w:cs="Times New Roman"/>
          <w:sz w:val="24"/>
          <w:szCs w:val="24"/>
        </w:rPr>
        <w:t>1. Izmjene Uredbe o prospektu</w:t>
      </w:r>
    </w:p>
    <w:p w14:paraId="035602CE" w14:textId="77777777" w:rsidR="00070EEC" w:rsidRPr="000479E9" w:rsidRDefault="00070EEC" w:rsidP="00070EEC">
      <w:pPr>
        <w:spacing w:after="0" w:line="240" w:lineRule="auto"/>
        <w:jc w:val="both"/>
        <w:outlineLvl w:val="2"/>
        <w:rPr>
          <w:rFonts w:ascii="Times New Roman" w:hAnsi="Times New Roman" w:cs="Times New Roman"/>
          <w:sz w:val="24"/>
          <w:szCs w:val="24"/>
        </w:rPr>
      </w:pPr>
    </w:p>
    <w:p w14:paraId="15B63E14"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Izmjene Uredbe o prospektu uvode značajna pojednostavljenja i veću fleksibilnost u primjeni pravila vezanih uz prospektnu dokumentaciju. Ključne izmjene obuhvaćaju:</w:t>
      </w:r>
    </w:p>
    <w:p w14:paraId="0B78434F" w14:textId="77777777" w:rsidR="00070EEC" w:rsidRPr="000479E9" w:rsidRDefault="00070EEC" w:rsidP="000C6DC5">
      <w:pPr>
        <w:numPr>
          <w:ilvl w:val="0"/>
          <w:numId w:val="3"/>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povećanje praga za izuzeće od obveze izrade prospekta s 20 % na 30 % vrijednosnih papira istog razreda u roku od 12 mjeseci</w:t>
      </w:r>
    </w:p>
    <w:p w14:paraId="1FBAF076" w14:textId="77777777" w:rsidR="00070EEC" w:rsidRPr="000479E9" w:rsidRDefault="00070EEC" w:rsidP="000C6DC5">
      <w:pPr>
        <w:numPr>
          <w:ilvl w:val="0"/>
          <w:numId w:val="3"/>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uvođenje sažetih dokumenata koji se podnose samo na uvid nadležnom tijelu, bez odobravanja</w:t>
      </w:r>
    </w:p>
    <w:p w14:paraId="61A7B2A3" w14:textId="77777777" w:rsidR="00070EEC" w:rsidRPr="000479E9" w:rsidRDefault="00070EEC" w:rsidP="000C6DC5">
      <w:pPr>
        <w:numPr>
          <w:ilvl w:val="0"/>
          <w:numId w:val="3"/>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povećanje praga vrijednosti ponude iznad koje je potreban prospekt na 12 milijuna eura, s mogućnošću da države članice prag spuste na 5 milijuna eura</w:t>
      </w:r>
    </w:p>
    <w:p w14:paraId="797CF3E6" w14:textId="77777777" w:rsidR="00070EEC" w:rsidRPr="000479E9" w:rsidRDefault="00070EEC" w:rsidP="000C6DC5">
      <w:pPr>
        <w:numPr>
          <w:ilvl w:val="0"/>
          <w:numId w:val="3"/>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 xml:space="preserve">skraćivanje minimalnog trajanja javne ponude i redefiniranje prava na povlačenje ulagatelja. </w:t>
      </w:r>
    </w:p>
    <w:p w14:paraId="49A5B2D8" w14:textId="77777777" w:rsidR="00070EEC" w:rsidRPr="000479E9" w:rsidRDefault="00070EEC" w:rsidP="00070EEC">
      <w:pPr>
        <w:spacing w:after="0" w:line="240" w:lineRule="auto"/>
        <w:ind w:left="720"/>
        <w:jc w:val="both"/>
        <w:rPr>
          <w:rFonts w:ascii="Times New Roman" w:hAnsi="Times New Roman" w:cs="Times New Roman"/>
          <w:sz w:val="24"/>
          <w:szCs w:val="24"/>
        </w:rPr>
      </w:pPr>
    </w:p>
    <w:p w14:paraId="74CADEB5"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Prema procjenama Europske komisije, ovim izmjenama bi izdavatelji godišnje mogli ostvariti znatne uštede zahvaljujući jednostavnijoj prospektnoj dokumentaciji. </w:t>
      </w:r>
    </w:p>
    <w:p w14:paraId="25CEC895" w14:textId="77777777" w:rsidR="00070EEC" w:rsidRPr="000479E9" w:rsidRDefault="00070EEC" w:rsidP="00070EEC">
      <w:pPr>
        <w:spacing w:after="0" w:line="240" w:lineRule="auto"/>
        <w:jc w:val="both"/>
        <w:rPr>
          <w:rFonts w:ascii="Times New Roman" w:hAnsi="Times New Roman" w:cs="Times New Roman"/>
          <w:sz w:val="24"/>
          <w:szCs w:val="24"/>
        </w:rPr>
      </w:pPr>
    </w:p>
    <w:p w14:paraId="08F1B54E" w14:textId="77777777" w:rsidR="00070EEC" w:rsidRPr="000479E9" w:rsidRDefault="00070EEC" w:rsidP="00070EEC">
      <w:pPr>
        <w:spacing w:after="0" w:line="240" w:lineRule="auto"/>
        <w:jc w:val="both"/>
        <w:outlineLvl w:val="2"/>
        <w:rPr>
          <w:rFonts w:ascii="Times New Roman" w:hAnsi="Times New Roman" w:cs="Times New Roman"/>
          <w:sz w:val="24"/>
          <w:szCs w:val="24"/>
        </w:rPr>
      </w:pPr>
      <w:r w:rsidRPr="000479E9">
        <w:rPr>
          <w:rFonts w:ascii="Times New Roman" w:hAnsi="Times New Roman" w:cs="Times New Roman"/>
          <w:sz w:val="24"/>
          <w:szCs w:val="24"/>
        </w:rPr>
        <w:t>2. Izmjene Uredbe o zlouporabi tržišta (MAR)</w:t>
      </w:r>
    </w:p>
    <w:p w14:paraId="3BC51527" w14:textId="77777777" w:rsidR="00070EEC" w:rsidRPr="000479E9" w:rsidRDefault="00070EEC" w:rsidP="00070EEC">
      <w:pPr>
        <w:spacing w:after="0" w:line="240" w:lineRule="auto"/>
        <w:jc w:val="both"/>
        <w:outlineLvl w:val="2"/>
        <w:rPr>
          <w:rFonts w:ascii="Times New Roman" w:hAnsi="Times New Roman" w:cs="Times New Roman"/>
          <w:sz w:val="24"/>
          <w:szCs w:val="24"/>
        </w:rPr>
      </w:pPr>
    </w:p>
    <w:p w14:paraId="12C94C44"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Cilj izmjena Uredbe o zlouporabi tržišta (MAR) je povećati pravnu jasnoću i proporcionalnost regulatornih zahtjeva, uz očuvanje integriteta tržišta. Izmjene se odnose na:</w:t>
      </w:r>
    </w:p>
    <w:p w14:paraId="4F7F910A" w14:textId="77777777" w:rsidR="00070EEC" w:rsidRPr="000479E9" w:rsidRDefault="00070EEC" w:rsidP="000C6DC5">
      <w:pPr>
        <w:numPr>
          <w:ilvl w:val="0"/>
          <w:numId w:val="4"/>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jasnije utvrđivanje obveze objave povlaštenih informacija, uključujući preciznije definicije faza procesa</w:t>
      </w:r>
    </w:p>
    <w:p w14:paraId="6BEBF948" w14:textId="640952FC" w:rsidR="00070EEC" w:rsidRPr="000479E9" w:rsidRDefault="00070EEC" w:rsidP="000C6DC5">
      <w:pPr>
        <w:numPr>
          <w:ilvl w:val="0"/>
          <w:numId w:val="4"/>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povećanje praga za prijavu transakcija osoba koje obavljaju rukovoditeljske dužnosti ili osoba koje su s njima usko povezane na 20.000</w:t>
      </w:r>
      <w:r w:rsidR="00F00DC7">
        <w:rPr>
          <w:rFonts w:ascii="Times New Roman" w:hAnsi="Times New Roman" w:cs="Times New Roman"/>
          <w:sz w:val="24"/>
          <w:szCs w:val="24"/>
        </w:rPr>
        <w:t>,00</w:t>
      </w:r>
      <w:r w:rsidRPr="000479E9">
        <w:rPr>
          <w:rFonts w:ascii="Times New Roman" w:hAnsi="Times New Roman" w:cs="Times New Roman"/>
          <w:sz w:val="24"/>
          <w:szCs w:val="24"/>
        </w:rPr>
        <w:t xml:space="preserve"> eura godišnje</w:t>
      </w:r>
    </w:p>
    <w:p w14:paraId="56C73864" w14:textId="77777777" w:rsidR="00070EEC" w:rsidRPr="000479E9" w:rsidRDefault="00070EEC" w:rsidP="000C6DC5">
      <w:pPr>
        <w:numPr>
          <w:ilvl w:val="0"/>
          <w:numId w:val="4"/>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proširenje izuzeća od zabrana trgovanja u zatvorenim razdobljima</w:t>
      </w:r>
    </w:p>
    <w:p w14:paraId="33CB2A46" w14:textId="77777777" w:rsidR="00070EEC" w:rsidRPr="000479E9" w:rsidRDefault="00070EEC" w:rsidP="000C6DC5">
      <w:pPr>
        <w:numPr>
          <w:ilvl w:val="0"/>
          <w:numId w:val="4"/>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pojednostavljenje pravila o programima otkupa vlastitih dionica</w:t>
      </w:r>
    </w:p>
    <w:p w14:paraId="14218005" w14:textId="77777777" w:rsidR="00070EEC" w:rsidRPr="000479E9" w:rsidRDefault="00070EEC" w:rsidP="000C6DC5">
      <w:pPr>
        <w:numPr>
          <w:ilvl w:val="0"/>
          <w:numId w:val="4"/>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 xml:space="preserve">preciziranje režima market sounding postupaka. </w:t>
      </w:r>
    </w:p>
    <w:p w14:paraId="64390952" w14:textId="77777777" w:rsidR="00070EEC" w:rsidRPr="000479E9" w:rsidRDefault="00070EEC" w:rsidP="00070EEC">
      <w:pPr>
        <w:spacing w:after="0" w:line="240" w:lineRule="auto"/>
        <w:jc w:val="both"/>
        <w:rPr>
          <w:rFonts w:ascii="Times New Roman" w:hAnsi="Times New Roman" w:cs="Times New Roman"/>
          <w:sz w:val="24"/>
          <w:szCs w:val="24"/>
        </w:rPr>
      </w:pPr>
    </w:p>
    <w:p w14:paraId="7B276FE5" w14:textId="77777777" w:rsidR="00070EEC" w:rsidRPr="000479E9" w:rsidRDefault="00070EEC" w:rsidP="00070EEC">
      <w:pPr>
        <w:spacing w:after="0" w:line="240" w:lineRule="auto"/>
        <w:jc w:val="both"/>
        <w:outlineLvl w:val="2"/>
        <w:rPr>
          <w:rFonts w:ascii="Times New Roman" w:hAnsi="Times New Roman" w:cs="Times New Roman"/>
          <w:sz w:val="24"/>
          <w:szCs w:val="24"/>
        </w:rPr>
      </w:pPr>
      <w:r w:rsidRPr="000479E9">
        <w:rPr>
          <w:rFonts w:ascii="Times New Roman" w:hAnsi="Times New Roman" w:cs="Times New Roman"/>
          <w:sz w:val="24"/>
          <w:szCs w:val="24"/>
        </w:rPr>
        <w:t>3. Izmjene MiFID II / MiFIR okvira</w:t>
      </w:r>
    </w:p>
    <w:p w14:paraId="32FC8D9E" w14:textId="77777777" w:rsidR="00070EEC" w:rsidRPr="000479E9" w:rsidRDefault="00070EEC" w:rsidP="00070EEC">
      <w:pPr>
        <w:spacing w:after="0" w:line="240" w:lineRule="auto"/>
        <w:jc w:val="both"/>
        <w:outlineLvl w:val="2"/>
        <w:rPr>
          <w:rFonts w:ascii="Times New Roman" w:hAnsi="Times New Roman" w:cs="Times New Roman"/>
          <w:sz w:val="24"/>
          <w:szCs w:val="24"/>
        </w:rPr>
      </w:pPr>
    </w:p>
    <w:p w14:paraId="1DD1AFC1"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Akt o uvrštenju sadrži niz intervencija u regulatorni okvir MiFID II i MiFIR, osobito s ciljem jačanja transparentnosti, dostupnosti informacija te unaprjeđenja funkcionalnosti tržišta kapitala. Ključna područja izmjena uključuju:</w:t>
      </w:r>
    </w:p>
    <w:p w14:paraId="10505249" w14:textId="77777777" w:rsidR="00070EEC" w:rsidRPr="000479E9" w:rsidRDefault="00070EEC" w:rsidP="00070EEC">
      <w:pPr>
        <w:spacing w:after="0" w:line="240" w:lineRule="auto"/>
        <w:jc w:val="both"/>
        <w:rPr>
          <w:rFonts w:ascii="Times New Roman" w:hAnsi="Times New Roman" w:cs="Times New Roman"/>
          <w:sz w:val="24"/>
          <w:szCs w:val="24"/>
        </w:rPr>
      </w:pPr>
    </w:p>
    <w:p w14:paraId="747185D2" w14:textId="77777777" w:rsidR="00070EEC" w:rsidRPr="000479E9" w:rsidRDefault="00070EEC" w:rsidP="00070EEC">
      <w:pPr>
        <w:spacing w:after="0" w:line="240" w:lineRule="auto"/>
        <w:jc w:val="both"/>
        <w:outlineLvl w:val="3"/>
        <w:rPr>
          <w:rFonts w:ascii="Times New Roman" w:hAnsi="Times New Roman" w:cs="Times New Roman"/>
          <w:sz w:val="24"/>
          <w:szCs w:val="24"/>
        </w:rPr>
      </w:pPr>
      <w:r w:rsidRPr="000479E9">
        <w:rPr>
          <w:rFonts w:ascii="Times New Roman" w:hAnsi="Times New Roman" w:cs="Times New Roman"/>
          <w:sz w:val="24"/>
          <w:szCs w:val="24"/>
        </w:rPr>
        <w:t>a) Jačanje tržišta investicijskih istraživanja</w:t>
      </w:r>
    </w:p>
    <w:p w14:paraId="4227B82F"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Europska komisija i Europsko nadzorno tijelo za vrijednosne papire i tržišta kapitala (ESMA) naglašavaju potrebu revitalizacije tržišta istraživanja, osobito za mala i srednja poduzeća. Mjere uključuju:</w:t>
      </w:r>
    </w:p>
    <w:p w14:paraId="08D1B653" w14:textId="77777777" w:rsidR="00070EEC" w:rsidRPr="000479E9" w:rsidRDefault="00070EEC" w:rsidP="000C6DC5">
      <w:pPr>
        <w:numPr>
          <w:ilvl w:val="0"/>
          <w:numId w:val="5"/>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dodatnu fleksibilnost u financiranju i naručivanju investicijskih istraživanja</w:t>
      </w:r>
    </w:p>
    <w:p w14:paraId="704C3A0F" w14:textId="77777777" w:rsidR="00070EEC" w:rsidRPr="000479E9" w:rsidRDefault="00070EEC" w:rsidP="000C6DC5">
      <w:pPr>
        <w:numPr>
          <w:ilvl w:val="0"/>
          <w:numId w:val="5"/>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poboljšanje vidljivosti izdavatelja srednje i male kapitalizacije kroz olakšavanje pristupa analitičkom pokrivanju</w:t>
      </w:r>
    </w:p>
    <w:p w14:paraId="375C3C39" w14:textId="77777777" w:rsidR="00070EEC" w:rsidRPr="000479E9" w:rsidRDefault="00070EEC" w:rsidP="000C6DC5">
      <w:pPr>
        <w:numPr>
          <w:ilvl w:val="0"/>
          <w:numId w:val="5"/>
        </w:numPr>
        <w:tabs>
          <w:tab w:val="clear" w:pos="720"/>
          <w:tab w:val="num" w:pos="284"/>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 xml:space="preserve">pojednostavljenje pravila o distribuciji istraživačkih materijala. </w:t>
      </w:r>
    </w:p>
    <w:p w14:paraId="687F2A66"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Cilj ovih mjera je omogućiti bolju informiranost ulagatelja i smanjiti informacijske asimetrije koje pogađaju manja poduzeća.</w:t>
      </w:r>
    </w:p>
    <w:p w14:paraId="718A8722" w14:textId="77777777" w:rsidR="00070EEC" w:rsidRPr="000479E9" w:rsidRDefault="00070EEC" w:rsidP="00070EEC">
      <w:pPr>
        <w:spacing w:after="0" w:line="240" w:lineRule="auto"/>
        <w:jc w:val="both"/>
        <w:rPr>
          <w:rFonts w:ascii="Times New Roman" w:hAnsi="Times New Roman" w:cs="Times New Roman"/>
          <w:sz w:val="24"/>
          <w:szCs w:val="24"/>
        </w:rPr>
      </w:pPr>
    </w:p>
    <w:p w14:paraId="6A6F1BC2" w14:textId="77777777" w:rsidR="00070EEC" w:rsidRPr="000479E9" w:rsidRDefault="00070EEC" w:rsidP="00070EEC">
      <w:pPr>
        <w:spacing w:after="0" w:line="240" w:lineRule="auto"/>
        <w:jc w:val="both"/>
        <w:outlineLvl w:val="3"/>
        <w:rPr>
          <w:rFonts w:ascii="Times New Roman" w:hAnsi="Times New Roman" w:cs="Times New Roman"/>
          <w:sz w:val="24"/>
          <w:szCs w:val="24"/>
        </w:rPr>
      </w:pPr>
      <w:r w:rsidRPr="000479E9">
        <w:rPr>
          <w:rFonts w:ascii="Times New Roman" w:hAnsi="Times New Roman" w:cs="Times New Roman"/>
          <w:sz w:val="24"/>
          <w:szCs w:val="24"/>
        </w:rPr>
        <w:t>b) Unaprjeđenje transparentnosti i objave informacija na tržištu</w:t>
      </w:r>
    </w:p>
    <w:p w14:paraId="4388DDC8"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Akt o uvrštenju predviđa obvezu boljeg strukturiranja, standardizacije i dostupnosti ključnih tržišnih informacija, što uključuje:</w:t>
      </w:r>
    </w:p>
    <w:p w14:paraId="74B1289B" w14:textId="77777777" w:rsidR="00070EEC" w:rsidRPr="000479E9" w:rsidRDefault="00070EEC" w:rsidP="000C6DC5">
      <w:pPr>
        <w:numPr>
          <w:ilvl w:val="0"/>
          <w:numId w:val="6"/>
        </w:numPr>
        <w:tabs>
          <w:tab w:val="clear" w:pos="720"/>
          <w:tab w:val="num" w:pos="426"/>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standardizaciju formata objava</w:t>
      </w:r>
    </w:p>
    <w:p w14:paraId="4B6FB22D" w14:textId="77777777" w:rsidR="00070EEC" w:rsidRPr="000479E9" w:rsidRDefault="00070EEC" w:rsidP="000C6DC5">
      <w:pPr>
        <w:numPr>
          <w:ilvl w:val="0"/>
          <w:numId w:val="6"/>
        </w:numPr>
        <w:tabs>
          <w:tab w:val="clear" w:pos="720"/>
          <w:tab w:val="num" w:pos="426"/>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usklađivanje tehničkih detalja o objavama s regulatornim tehničkim standardima</w:t>
      </w:r>
    </w:p>
    <w:p w14:paraId="17134988" w14:textId="77777777" w:rsidR="00070EEC" w:rsidRPr="000479E9" w:rsidRDefault="00070EEC" w:rsidP="000C6DC5">
      <w:pPr>
        <w:numPr>
          <w:ilvl w:val="0"/>
          <w:numId w:val="6"/>
        </w:numPr>
        <w:tabs>
          <w:tab w:val="clear" w:pos="720"/>
          <w:tab w:val="num" w:pos="426"/>
        </w:tabs>
        <w:spacing w:after="0" w:line="240" w:lineRule="auto"/>
        <w:ind w:left="284" w:hanging="284"/>
        <w:jc w:val="both"/>
        <w:rPr>
          <w:rFonts w:ascii="Times New Roman" w:hAnsi="Times New Roman" w:cs="Times New Roman"/>
          <w:sz w:val="24"/>
          <w:szCs w:val="24"/>
        </w:rPr>
      </w:pPr>
      <w:r w:rsidRPr="000479E9">
        <w:rPr>
          <w:rFonts w:ascii="Times New Roman" w:hAnsi="Times New Roman" w:cs="Times New Roman"/>
          <w:sz w:val="24"/>
          <w:szCs w:val="24"/>
        </w:rPr>
        <w:t>unaprjeđivanje pravila o postupcima objave informacija na uređenim tržištima i multilateralnim trgovačkim platformama (MTF</w:t>
      </w:r>
      <w:r w:rsidRPr="000479E9">
        <w:rPr>
          <w:rFonts w:ascii="Times New Roman" w:hAnsi="Times New Roman" w:cs="Times New Roman"/>
          <w:sz w:val="24"/>
          <w:szCs w:val="24"/>
        </w:rPr>
        <w:noBreakHyphen/>
        <w:t xml:space="preserve">ovima). </w:t>
      </w:r>
    </w:p>
    <w:p w14:paraId="59F8B06F"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Cilj je postići veću homogenost u objavama i učinkovitiju razmjena podataka među regulatorima i sudionicima tržišta.</w:t>
      </w:r>
    </w:p>
    <w:p w14:paraId="34957DD9" w14:textId="77777777" w:rsidR="00070EEC" w:rsidRPr="000479E9" w:rsidRDefault="00070EEC" w:rsidP="00070EEC">
      <w:pPr>
        <w:spacing w:after="0" w:line="240" w:lineRule="auto"/>
        <w:jc w:val="both"/>
        <w:rPr>
          <w:rFonts w:ascii="Times New Roman" w:hAnsi="Times New Roman" w:cs="Times New Roman"/>
          <w:sz w:val="24"/>
          <w:szCs w:val="24"/>
        </w:rPr>
      </w:pPr>
    </w:p>
    <w:p w14:paraId="6609BA68" w14:textId="77777777" w:rsidR="00070EEC" w:rsidRPr="000479E9" w:rsidRDefault="00070EEC" w:rsidP="00070EEC">
      <w:pPr>
        <w:spacing w:after="0" w:line="240" w:lineRule="auto"/>
        <w:jc w:val="both"/>
        <w:outlineLvl w:val="3"/>
        <w:rPr>
          <w:rFonts w:ascii="Times New Roman" w:hAnsi="Times New Roman" w:cs="Times New Roman"/>
          <w:sz w:val="24"/>
          <w:szCs w:val="24"/>
        </w:rPr>
      </w:pPr>
      <w:r w:rsidRPr="000479E9">
        <w:rPr>
          <w:rFonts w:ascii="Times New Roman" w:hAnsi="Times New Roman" w:cs="Times New Roman"/>
          <w:sz w:val="24"/>
          <w:szCs w:val="24"/>
        </w:rPr>
        <w:t>c) Smanjenje regulatornog opterećenja i povećanje proporcionalnosti</w:t>
      </w:r>
    </w:p>
    <w:p w14:paraId="1E411A0D"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U skladu s konceptom proporcionalnosti, Akt o uvrštenju predviđa dodatno pojednostavljenje obveza za izdavatelje i investicijska društva, posebno kroz:</w:t>
      </w:r>
    </w:p>
    <w:p w14:paraId="42911846" w14:textId="77777777" w:rsidR="00070EEC" w:rsidRPr="000479E9" w:rsidRDefault="00070EEC" w:rsidP="000C6DC5">
      <w:pPr>
        <w:numPr>
          <w:ilvl w:val="0"/>
          <w:numId w:val="7"/>
        </w:numPr>
        <w:tabs>
          <w:tab w:val="clear" w:pos="720"/>
          <w:tab w:val="num" w:pos="284"/>
        </w:tabs>
        <w:spacing w:after="0" w:line="240" w:lineRule="auto"/>
        <w:ind w:hanging="720"/>
        <w:jc w:val="both"/>
        <w:rPr>
          <w:rFonts w:ascii="Times New Roman" w:hAnsi="Times New Roman" w:cs="Times New Roman"/>
          <w:sz w:val="24"/>
          <w:szCs w:val="24"/>
        </w:rPr>
      </w:pPr>
      <w:r w:rsidRPr="000479E9">
        <w:rPr>
          <w:rFonts w:ascii="Times New Roman" w:hAnsi="Times New Roman" w:cs="Times New Roman"/>
          <w:sz w:val="24"/>
          <w:szCs w:val="24"/>
        </w:rPr>
        <w:t>smanjene zahtjeve izvještavanja gdje je to moguće bez rizika za zaštitu ulagatelja</w:t>
      </w:r>
    </w:p>
    <w:p w14:paraId="535D0E12" w14:textId="77777777" w:rsidR="00070EEC" w:rsidRPr="000479E9" w:rsidRDefault="00070EEC" w:rsidP="000C6DC5">
      <w:pPr>
        <w:numPr>
          <w:ilvl w:val="0"/>
          <w:numId w:val="7"/>
        </w:numPr>
        <w:tabs>
          <w:tab w:val="clear" w:pos="720"/>
          <w:tab w:val="num" w:pos="284"/>
        </w:tabs>
        <w:spacing w:after="0" w:line="240" w:lineRule="auto"/>
        <w:ind w:hanging="720"/>
        <w:jc w:val="both"/>
        <w:rPr>
          <w:rFonts w:ascii="Times New Roman" w:hAnsi="Times New Roman" w:cs="Times New Roman"/>
          <w:sz w:val="24"/>
          <w:szCs w:val="24"/>
        </w:rPr>
      </w:pPr>
      <w:r w:rsidRPr="000479E9">
        <w:rPr>
          <w:rFonts w:ascii="Times New Roman" w:hAnsi="Times New Roman" w:cs="Times New Roman"/>
          <w:sz w:val="24"/>
          <w:szCs w:val="24"/>
        </w:rPr>
        <w:t>racionalizaciju pravila koja se odnose na organizacijske zahtjeve investicijskih društava</w:t>
      </w:r>
    </w:p>
    <w:p w14:paraId="33F19DCF" w14:textId="77777777" w:rsidR="00070EEC" w:rsidRPr="000479E9" w:rsidRDefault="00070EEC" w:rsidP="000C6DC5">
      <w:pPr>
        <w:numPr>
          <w:ilvl w:val="0"/>
          <w:numId w:val="7"/>
        </w:numPr>
        <w:tabs>
          <w:tab w:val="clear" w:pos="720"/>
          <w:tab w:val="num" w:pos="284"/>
        </w:tabs>
        <w:spacing w:after="0" w:line="240" w:lineRule="auto"/>
        <w:ind w:hanging="720"/>
        <w:jc w:val="both"/>
        <w:rPr>
          <w:rFonts w:ascii="Times New Roman" w:hAnsi="Times New Roman" w:cs="Times New Roman"/>
          <w:sz w:val="24"/>
          <w:szCs w:val="24"/>
        </w:rPr>
      </w:pPr>
      <w:r w:rsidRPr="000479E9">
        <w:rPr>
          <w:rFonts w:ascii="Times New Roman" w:hAnsi="Times New Roman" w:cs="Times New Roman"/>
          <w:sz w:val="24"/>
          <w:szCs w:val="24"/>
        </w:rPr>
        <w:lastRenderedPageBreak/>
        <w:t>poboljšanje učinkovitosti sekundarnog tržišta kroz prilagodbe postojećih odredbi MiFIR</w:t>
      </w:r>
      <w:r w:rsidRPr="000479E9">
        <w:rPr>
          <w:rFonts w:ascii="Times New Roman" w:hAnsi="Times New Roman" w:cs="Times New Roman"/>
          <w:sz w:val="24"/>
          <w:szCs w:val="24"/>
        </w:rPr>
        <w:noBreakHyphen/>
        <w:t>a.</w:t>
      </w:r>
      <w:r w:rsidRPr="000479E9" w:rsidDel="00347483">
        <w:rPr>
          <w:rFonts w:ascii="Times New Roman" w:hAnsi="Times New Roman" w:cs="Times New Roman"/>
          <w:sz w:val="24"/>
          <w:szCs w:val="24"/>
        </w:rPr>
        <w:t xml:space="preserve"> </w:t>
      </w:r>
    </w:p>
    <w:p w14:paraId="573FDCCC" w14:textId="77777777"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Ove mjere usmjerene su na uklanjanje prepreka razvoju europskih tržišta kapitala te jačanje konkurentnosti u globalnom kontekstu. </w:t>
      </w:r>
    </w:p>
    <w:p w14:paraId="48066CB4" w14:textId="77777777" w:rsidR="00070EEC" w:rsidRPr="000479E9" w:rsidRDefault="00070EEC" w:rsidP="00070EEC">
      <w:pPr>
        <w:spacing w:after="0" w:line="240" w:lineRule="auto"/>
        <w:jc w:val="both"/>
        <w:rPr>
          <w:rFonts w:ascii="Times New Roman" w:hAnsi="Times New Roman" w:cs="Times New Roman"/>
          <w:sz w:val="24"/>
          <w:szCs w:val="24"/>
        </w:rPr>
      </w:pPr>
    </w:p>
    <w:p w14:paraId="39851320" w14:textId="09D2589F" w:rsidR="00070EEC" w:rsidRPr="000479E9" w:rsidRDefault="00070EEC"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Nadalje, ovim Konačnim prijedlogom zakona provodi se usklađivanje s Direktivom (EU) 2024/2994 Europskog parlamenta i Vijeća od 27. studenoga 2024. o izmjeni direktiva 2009/65/EZ, 2013/36/EU i (EU) 2019/2034 u pogledu tretmana koncentracijskog rizika koji proizlazi iz izloženosti prema središnjim drugim ugovornim stranama te rizika druge ugovorne strane za transakcije izvedenicama čije poravnanje obavlja središnja druga ugovorna strana (Tekst značajan za EGP) (SL L, 2024/2994, 4. 12. 2024.) u dijelu kojim se mijenja Direktiva (EU) 2019/2034 Europskog parlamenta i Vijeća od 27. studenoga 2019 o bonitetnom nadzoru nad investicijskim društvima i izmjeni direktiva 2002/87/EZ, 2009/65/EZ, 2011/61/EU, 2013/36/EU, 2014/59/EU i 2014/65/EU (Tekst značajan za EGP) (SL L 314, 5. 12. 2019.) (u daljnjem tekstu: IFD). Navedenim izmjenama dodatno se jača okvir za praćenje i upravljanje koncentracijskim rizikom koji proizlazi iz izloženosti prema središnjim drugim ugovornim stranama, s ciljem jačanja financijske stabilnosti i učinkovitijeg upravljanja rizicima investicijskih društava.</w:t>
      </w:r>
    </w:p>
    <w:p w14:paraId="413B9561" w14:textId="77777777" w:rsidR="00070EEC" w:rsidRPr="000479E9" w:rsidRDefault="00070EEC" w:rsidP="00070EEC">
      <w:pPr>
        <w:spacing w:after="0" w:line="240" w:lineRule="auto"/>
        <w:jc w:val="both"/>
        <w:rPr>
          <w:rFonts w:ascii="Times New Roman" w:hAnsi="Times New Roman" w:cs="Times New Roman"/>
          <w:sz w:val="24"/>
          <w:szCs w:val="24"/>
        </w:rPr>
      </w:pPr>
    </w:p>
    <w:p w14:paraId="25DE9384" w14:textId="63A1A3F3" w:rsidR="00070EEC" w:rsidRPr="000479E9" w:rsidRDefault="00070EEC" w:rsidP="00070EEC">
      <w:pPr>
        <w:spacing w:after="0" w:line="240" w:lineRule="auto"/>
        <w:jc w:val="both"/>
        <w:rPr>
          <w:rFonts w:ascii="Times New Roman" w:eastAsia="Calibri" w:hAnsi="Times New Roman" w:cs="Times New Roman"/>
          <w:i/>
          <w:sz w:val="24"/>
          <w:szCs w:val="24"/>
        </w:rPr>
      </w:pPr>
      <w:r w:rsidRPr="000479E9">
        <w:rPr>
          <w:rFonts w:ascii="Times New Roman" w:eastAsia="Calibri" w:hAnsi="Times New Roman" w:cs="Times New Roman"/>
          <w:sz w:val="24"/>
          <w:szCs w:val="24"/>
        </w:rPr>
        <w:t>Također, s obzirom na izmjene zakona kojim se uređuju trgovačka društva kojim se prenose odredbe Direktive (EU) 2024/2810</w:t>
      </w:r>
      <w:r w:rsidRPr="000479E9">
        <w:rPr>
          <w:rFonts w:ascii="Times New Roman" w:hAnsi="Times New Roman" w:cs="Times New Roman"/>
          <w:sz w:val="24"/>
          <w:szCs w:val="24"/>
        </w:rPr>
        <w:t xml:space="preserve"> Europskog parlamenta i Vijeća od 23. listopada 2024. </w:t>
      </w:r>
      <w:r w:rsidRPr="000479E9">
        <w:rPr>
          <w:rFonts w:ascii="Times New Roman" w:eastAsia="Calibri" w:hAnsi="Times New Roman" w:cs="Times New Roman"/>
          <w:sz w:val="24"/>
          <w:szCs w:val="24"/>
        </w:rPr>
        <w:t>o strukturama dionica s višestrukim pravom glasa u društvima koja traže uvrštenje svojih dionica za trgovanje na multilateralnoj trgovinskoj platformi</w:t>
      </w:r>
      <w:r w:rsidRPr="000479E9">
        <w:rPr>
          <w:rStyle w:val="CommentReference1"/>
          <w:rFonts w:ascii="Times New Roman" w:hAnsi="Times New Roman" w:cs="Times New Roman"/>
          <w:sz w:val="24"/>
          <w:szCs w:val="24"/>
          <w:shd w:val="clear" w:color="auto" w:fill="FFFFFF"/>
        </w:rPr>
        <w:t xml:space="preserve"> (SL, L </w:t>
      </w:r>
      <w:r w:rsidRPr="000479E9">
        <w:rPr>
          <w:rStyle w:val="Emphasis"/>
          <w:rFonts w:ascii="Times New Roman" w:hAnsi="Times New Roman" w:cs="Times New Roman"/>
          <w:i w:val="0"/>
          <w:iCs w:val="0"/>
          <w:sz w:val="24"/>
          <w:szCs w:val="24"/>
          <w:shd w:val="clear" w:color="auto" w:fill="FFFFFF"/>
        </w:rPr>
        <w:t>2024/2810, 14. 11. 2024.)</w:t>
      </w:r>
      <w:r w:rsidRPr="000479E9">
        <w:rPr>
          <w:rFonts w:ascii="Times New Roman" w:eastAsia="Calibri" w:hAnsi="Times New Roman" w:cs="Times New Roman"/>
          <w:sz w:val="24"/>
          <w:szCs w:val="24"/>
        </w:rPr>
        <w:t xml:space="preserve"> Konačnim prijedlogom zakona propisuje se obveza društava koja uvode ili mijenjaju strukturu dionica s višestrukim pravom glasa da prilikom uvrštenja dionica za trgovanje objave informacije o strukturi svojih</w:t>
      </w:r>
      <w:r w:rsidRPr="000479E9">
        <w:rPr>
          <w:rFonts w:ascii="Times New Roman" w:eastAsia="Calibri" w:hAnsi="Times New Roman" w:cs="Times New Roman"/>
          <w:sz w:val="20"/>
          <w:szCs w:val="20"/>
        </w:rPr>
        <w:t xml:space="preserve"> </w:t>
      </w:r>
      <w:r w:rsidRPr="000479E9">
        <w:rPr>
          <w:rFonts w:ascii="Times New Roman" w:eastAsia="Calibri" w:hAnsi="Times New Roman" w:cs="Times New Roman"/>
          <w:sz w:val="24"/>
          <w:szCs w:val="24"/>
        </w:rPr>
        <w:t>dionica.</w:t>
      </w:r>
      <w:r w:rsidRPr="000479E9">
        <w:rPr>
          <w:rFonts w:ascii="Times New Roman" w:eastAsia="Calibri" w:hAnsi="Times New Roman" w:cs="Times New Roman"/>
          <w:sz w:val="20"/>
          <w:szCs w:val="20"/>
        </w:rPr>
        <w:t xml:space="preserve"> </w:t>
      </w:r>
      <w:r w:rsidRPr="000479E9">
        <w:rPr>
          <w:rFonts w:ascii="Times New Roman" w:eastAsia="Calibri" w:hAnsi="Times New Roman" w:cs="Times New Roman"/>
          <w:sz w:val="24"/>
          <w:szCs w:val="24"/>
        </w:rPr>
        <w:t>Navedene informacije objavljuju se u prospektu ili dokumentu o uvrštenju, ako se takav dokument objavljuje u skladu s primjenjivim propisima. Ako takve informacije nisu prethodno objavljene ili je došlo do promjena od posljednje objave, društvo ih je dužno objaviti i u godišnjem financijskom izvještaju nakon uvrštenja dionica za trgovanje.</w:t>
      </w:r>
    </w:p>
    <w:p w14:paraId="6065D306" w14:textId="77777777" w:rsidR="0054636E" w:rsidRPr="000479E9" w:rsidRDefault="0054636E" w:rsidP="00070EEC">
      <w:pPr>
        <w:spacing w:after="0" w:line="240" w:lineRule="auto"/>
        <w:jc w:val="both"/>
        <w:rPr>
          <w:rFonts w:ascii="Times New Roman" w:eastAsia="Calibri" w:hAnsi="Times New Roman" w:cs="Times New Roman"/>
          <w:sz w:val="24"/>
          <w:szCs w:val="24"/>
        </w:rPr>
      </w:pPr>
    </w:p>
    <w:p w14:paraId="04A23A0F" w14:textId="02B7CDFB"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Za razliku od minimalnog zahtjeva iz navedene direktive koji se odnosi na uvrštenje za trgovanje na multilateralnoj trgovinskoj platformi (MTP), ovim se </w:t>
      </w:r>
      <w:r w:rsidR="00AF4059" w:rsidRPr="000479E9">
        <w:rPr>
          <w:rFonts w:ascii="Times New Roman" w:eastAsia="Calibri" w:hAnsi="Times New Roman" w:cs="Times New Roman"/>
          <w:sz w:val="24"/>
          <w:szCs w:val="24"/>
        </w:rPr>
        <w:t>Konačnim p</w:t>
      </w:r>
      <w:r w:rsidRPr="000479E9">
        <w:rPr>
          <w:rFonts w:ascii="Times New Roman" w:eastAsia="Calibri" w:hAnsi="Times New Roman" w:cs="Times New Roman"/>
          <w:sz w:val="24"/>
          <w:szCs w:val="24"/>
        </w:rPr>
        <w:t>rijedlogom zakona obveza objavljivanja navedenih informacija proširuje i na društva čije su dionice uvrštene za trgovanje na uređenom tržištu, obzirom da je navedena struktura zakonom kojim se uređuju trgovačka društva omogućena za sva dionička društva koja ispune uvjete propisane tim Zakonom.</w:t>
      </w:r>
    </w:p>
    <w:p w14:paraId="5E99F9C2"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540F7D0A" w14:textId="74AC578E"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U informacijama koje su društva dužna objaviti potrebno je, između ostaloga, navesti postoje li ograničenja u pogledu prenosivosti dionica, kao i eventualna ograničenja glasačkih prava, uključujući ograničenja koja se odnose na određeni postotak ili broj glasova, rokove za ostvarivanje glasačkih prava ili sustave u kojima su financijska prava odvojena od vlasništva nad dionicama. Nadalje, društva su dužna objaviti, u </w:t>
      </w:r>
      <w:r w:rsidRPr="000479E9">
        <w:rPr>
          <w:rFonts w:ascii="Times New Roman" w:eastAsia="Calibri" w:hAnsi="Times New Roman" w:cs="Times New Roman"/>
          <w:sz w:val="24"/>
          <w:szCs w:val="24"/>
        </w:rPr>
        <w:lastRenderedPageBreak/>
        <w:t xml:space="preserve">mjeri u kojoj su im te informacije poznate, identitet imatelja dionica s višestrukim pravom glasa koji predstavljaju više od </w:t>
      </w:r>
      <w:r w:rsidR="0054636E" w:rsidRPr="000479E9">
        <w:rPr>
          <w:rFonts w:ascii="Times New Roman" w:eastAsia="Calibri" w:hAnsi="Times New Roman" w:cs="Times New Roman"/>
          <w:sz w:val="24"/>
          <w:szCs w:val="24"/>
        </w:rPr>
        <w:t xml:space="preserve">pet </w:t>
      </w:r>
      <w:r w:rsidRPr="000479E9">
        <w:rPr>
          <w:rFonts w:ascii="Times New Roman" w:eastAsia="Calibri" w:hAnsi="Times New Roman" w:cs="Times New Roman"/>
          <w:sz w:val="24"/>
          <w:szCs w:val="24"/>
        </w:rPr>
        <w:t>% ukupnih glasačkih prava u društvu, kao i identitet fizičkih ili pravnih osoba koje imaju pravo ostvarivati glasačka prava u ime takvih dioničara. Ako se objava odnosi na fizičke osobe, identitet se ograničava na navođenje imena.</w:t>
      </w:r>
    </w:p>
    <w:p w14:paraId="713CC23F"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42F4CE04" w14:textId="77777777"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Radi dodatnog povećanja transparentnosti i razumljivosti za ulagatelje, predviđa se i jasno označavanje dionica društava koja imaju strukturu dionica s višestrukim pravom glasa, primjerice dodavanjem odgovarajuće oznake u oznaku dionice koju koriste tržišni operateri ili investicijska društva koja upravljaju trgovinskim platformama. Time se ulagateljima omogućuje lakše prepoznavanje takvih struktura vlasništva i donošenje informiranih odluka o ulaganjima.</w:t>
      </w:r>
    </w:p>
    <w:p w14:paraId="44905548" w14:textId="39934B0D" w:rsidR="00070EEC" w:rsidRPr="000479E9" w:rsidRDefault="00070EEC" w:rsidP="00070EEC">
      <w:pPr>
        <w:spacing w:after="0" w:line="240" w:lineRule="auto"/>
        <w:jc w:val="both"/>
        <w:rPr>
          <w:rFonts w:ascii="Times New Roman" w:eastAsia="Calibri" w:hAnsi="Times New Roman" w:cs="Times New Roman"/>
          <w:sz w:val="24"/>
          <w:szCs w:val="24"/>
        </w:rPr>
      </w:pPr>
    </w:p>
    <w:p w14:paraId="62B30C9C" w14:textId="72BCA5E0" w:rsidR="002E358D" w:rsidRPr="000479E9" w:rsidRDefault="002E358D" w:rsidP="002E358D">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Nadalje, ovim Konačnim prijedlogom zakona provodi se </w:t>
      </w:r>
      <w:r w:rsidR="0084638C" w:rsidRPr="000479E9">
        <w:rPr>
          <w:rFonts w:ascii="Times New Roman" w:eastAsia="Calibri" w:hAnsi="Times New Roman" w:cs="Times New Roman"/>
          <w:sz w:val="24"/>
          <w:szCs w:val="24"/>
        </w:rPr>
        <w:t xml:space="preserve">daljnje </w:t>
      </w:r>
      <w:r w:rsidRPr="000479E9">
        <w:rPr>
          <w:rFonts w:ascii="Times New Roman" w:eastAsia="Calibri" w:hAnsi="Times New Roman" w:cs="Times New Roman"/>
          <w:sz w:val="24"/>
          <w:szCs w:val="24"/>
        </w:rPr>
        <w:t>usklađivanje s Direktivom (EU) 2024/1619 Europskog parlamenta i Vijeća od 31. svibnja 2024. o izmjeni Direktive 2013/36/EU u pogledu nadzornih ovlasti, sankcija, podružnica iz trećih zemalja i okolišnih, socijalnih i upravljačkih rizika (Tekst značajan za EGP) (SL L, 2024/1619, 19.6.2024.), i to u dijelu koji se odnosi na bonitetne zahtjeve za upravu i nositelje ključnih funkcija investicijskih društava. Predloženim izmjenama</w:t>
      </w:r>
      <w:r w:rsidR="009404E9" w:rsidRPr="000479E9">
        <w:rPr>
          <w:rFonts w:ascii="Times New Roman" w:eastAsia="Calibri" w:hAnsi="Times New Roman" w:cs="Times New Roman"/>
          <w:sz w:val="24"/>
          <w:szCs w:val="24"/>
        </w:rPr>
        <w:t>, među ostalim,</w:t>
      </w:r>
      <w:r w:rsidRPr="000479E9">
        <w:rPr>
          <w:rFonts w:ascii="Times New Roman" w:eastAsia="Calibri" w:hAnsi="Times New Roman" w:cs="Times New Roman"/>
          <w:sz w:val="24"/>
          <w:szCs w:val="24"/>
        </w:rPr>
        <w:t xml:space="preserve"> uvode se dodatni zahtjevi vezani uz uvjete primjerenosti i dobrog ugleda članova uprave investicijskih društava, uključujući obveze poštenog i časnog postupanja, neovisnosti mišljenja te rodne ravnoteže u politikama raznolikosti uprave. Dodatno se uređuju zahtjevi za procjenu primjerenosti nositelja ključnih funkcija, kao i obveza donošenja odgovarajućih mjera u slučaju neutvrđivanja ispunjavanja propisanih uvjeta.</w:t>
      </w:r>
    </w:p>
    <w:p w14:paraId="0AF0C7BD" w14:textId="77777777" w:rsidR="002E358D" w:rsidRPr="000479E9" w:rsidRDefault="002E358D" w:rsidP="00070EEC">
      <w:pPr>
        <w:spacing w:after="0" w:line="240" w:lineRule="auto"/>
        <w:jc w:val="both"/>
        <w:rPr>
          <w:rFonts w:ascii="Times New Roman" w:eastAsia="Calibri" w:hAnsi="Times New Roman" w:cs="Times New Roman"/>
          <w:sz w:val="24"/>
          <w:szCs w:val="24"/>
        </w:rPr>
      </w:pPr>
    </w:p>
    <w:p w14:paraId="70247F39" w14:textId="49704C84"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Dodatno, uz usklađivanje s pravnom stečevinom Europske unije, ovim Konačnim prijedlogom zakona provodi se i ciljano regulatorno i administrativno rasterećenje sudionika tržišta kapitala. Predložene izmjene temelje se na načelu proporcionalnosti te su usmjerene na uklanjanje nacionalnih administrativnih zahtjeva i postupaka za koje je utvrđeno da stvaraju značajnije operativno i troškovno opterećenje, a da pritom ne doprinose razmjerno zaštiti ulagatelja, urednosti tržišta ili učinkovitosti nadzora.</w:t>
      </w:r>
    </w:p>
    <w:p w14:paraId="4331A644"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62C46295" w14:textId="77777777"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U odnosu na investicijska društva, predlaže se pojednostavljenje pojedinih organizacijskih i izvještajnih zahtjeva kroz uvođenje proporcionalnijeg pristupa zahtjevima koji se odnose na članove uprave, ukidanje obvezne periodične dostave izvješća o radu funkcije usklađenosti te smanjenje financijsko-izvještajnih obveza za mala i nepovezana investicijska društva. Također se koristi mogućnost predviđena MiFID II okvirom kojom se određenim jedinicama lokalne i područne (regionalne) samouprave omogućuje status profesionalnog klijenta na zahtjev, čime se povećava fleksibilnost poslovanja investicijskih društava i smanjuju administrativni troškovi povezani s pružanjem investicijskih usluga. Navedene izmjene osobito su značajne za manja investicijska društva, kojima omogućuju usmjeravanje većeg dijela resursa na razvoj poslovanja i pružanje usluga klijentima.</w:t>
      </w:r>
    </w:p>
    <w:p w14:paraId="2306CCD7"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56ED1E5C" w14:textId="21CA1353"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Dodatno se unapređuje okvir financiranja Fonda za zaštitu ulagatelja kroz uvođenje modela koji je razmjerniji stvarnim rizicima i razini zaštićenih tražbina članova Fonda. Predloženim rješenjem osigurava se održivo financiranje sustava zaštite ulagatelja uz istodobno smanjenje financijskog opterećenja članova Fonda u razdobljima kada su raspoloživa sredstva dostatna za ostvarivanje njegove svrhe.</w:t>
      </w:r>
      <w:r w:rsidR="0004650B" w:rsidRPr="000479E9">
        <w:t xml:space="preserve"> </w:t>
      </w:r>
    </w:p>
    <w:p w14:paraId="61B2897C"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477CBF1C" w14:textId="509A086D" w:rsidR="00456CFC" w:rsidRPr="000479E9" w:rsidRDefault="00715F89"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U dijelu poslovanja burze predlažu se operativna pojednostavljenja koja omogućuju bržu prilagodbu poslovanja tržišnim okolnostima i potrebama korisnika. </w:t>
      </w:r>
      <w:r w:rsidR="00623B89" w:rsidRPr="000479E9">
        <w:rPr>
          <w:rFonts w:ascii="Times New Roman" w:eastAsia="Calibri" w:hAnsi="Times New Roman" w:cs="Times New Roman"/>
          <w:sz w:val="24"/>
          <w:szCs w:val="24"/>
        </w:rPr>
        <w:t>P</w:t>
      </w:r>
      <w:r w:rsidR="00456CFC" w:rsidRPr="000479E9">
        <w:rPr>
          <w:rFonts w:ascii="Times New Roman" w:eastAsia="Calibri" w:hAnsi="Times New Roman" w:cs="Times New Roman"/>
          <w:sz w:val="24"/>
          <w:szCs w:val="24"/>
        </w:rPr>
        <w:t xml:space="preserve">ojednostavljuju </w:t>
      </w:r>
      <w:r w:rsidR="004A3098" w:rsidRPr="000479E9">
        <w:rPr>
          <w:rFonts w:ascii="Times New Roman" w:eastAsia="Calibri" w:hAnsi="Times New Roman" w:cs="Times New Roman"/>
          <w:sz w:val="24"/>
          <w:szCs w:val="24"/>
        </w:rPr>
        <w:t xml:space="preserve">se </w:t>
      </w:r>
      <w:r w:rsidR="00456CFC" w:rsidRPr="000479E9">
        <w:rPr>
          <w:rFonts w:ascii="Times New Roman" w:eastAsia="Calibri" w:hAnsi="Times New Roman" w:cs="Times New Roman"/>
          <w:sz w:val="24"/>
          <w:szCs w:val="24"/>
        </w:rPr>
        <w:t>postupci donošenja i izmjene pravila burze, na način da se napušta model prethodnog odobravanja od strane Hrvatske agencije za nadzor financijskih usluga (u daljnjem tekstu: Agencija) te se uvodi obveza pretho</w:t>
      </w:r>
      <w:r w:rsidR="00623B89" w:rsidRPr="000479E9">
        <w:rPr>
          <w:rFonts w:ascii="Times New Roman" w:eastAsia="Calibri" w:hAnsi="Times New Roman" w:cs="Times New Roman"/>
          <w:sz w:val="24"/>
          <w:szCs w:val="24"/>
        </w:rPr>
        <w:t>dne dostave prijedloga pravila,</w:t>
      </w:r>
      <w:r w:rsidR="00456CFC" w:rsidRPr="000479E9">
        <w:rPr>
          <w:rFonts w:ascii="Times New Roman" w:eastAsia="Calibri" w:hAnsi="Times New Roman" w:cs="Times New Roman"/>
          <w:sz w:val="24"/>
          <w:szCs w:val="24"/>
        </w:rPr>
        <w:t xml:space="preserve"> članovima i Agenciji najkasnije 15 dana prije njihova usvajanja. </w:t>
      </w:r>
      <w:r w:rsidR="00623B89" w:rsidRPr="000479E9">
        <w:rPr>
          <w:rFonts w:ascii="Times New Roman" w:eastAsia="Calibri" w:hAnsi="Times New Roman" w:cs="Times New Roman"/>
          <w:sz w:val="24"/>
          <w:szCs w:val="24"/>
        </w:rPr>
        <w:t>Dodatno se, u svrhu regulatornog rasterećenja skraćuje rok za dostavu prijedloga cjenika Agenciji i njegovu dostupnost korisnicima usluga uređenog tržišta s dosadašnjih 30 na 15 dana</w:t>
      </w:r>
      <w:r w:rsidR="00AE73BD" w:rsidRPr="000479E9">
        <w:rPr>
          <w:rFonts w:ascii="Times New Roman" w:eastAsia="Calibri" w:hAnsi="Times New Roman" w:cs="Times New Roman"/>
          <w:sz w:val="24"/>
          <w:szCs w:val="24"/>
        </w:rPr>
        <w:t xml:space="preserve"> prije njegova usvajanja</w:t>
      </w:r>
      <w:r w:rsidR="00623B89" w:rsidRPr="000479E9">
        <w:rPr>
          <w:rFonts w:ascii="Times New Roman" w:eastAsia="Calibri" w:hAnsi="Times New Roman" w:cs="Times New Roman"/>
          <w:sz w:val="24"/>
          <w:szCs w:val="24"/>
        </w:rPr>
        <w:t xml:space="preserve">. </w:t>
      </w:r>
      <w:r w:rsidR="00456CFC" w:rsidRPr="000479E9">
        <w:rPr>
          <w:rFonts w:ascii="Times New Roman" w:eastAsia="Calibri" w:hAnsi="Times New Roman" w:cs="Times New Roman"/>
          <w:sz w:val="24"/>
          <w:szCs w:val="24"/>
        </w:rPr>
        <w:t>Istodobno se uvodi proporcionalniji regulatorni pristup preciziranjem slučajeva u kojima je potrebno prethodno pribaviti suglasnost Agencije za statusne promjene burze, pri čemu se prethodna suglasnost zadržava za statusne promjene koje mogu utjecati na kontinuitet urednog funkcioniranja uređenog tržišta, učinkovitost regulatornog nadzora ili financijsku stabilnost burze te za osnivanje podružnice burze izvan Republike Hrvatske, dok se za izravno ili neizravno stjecanje udjela kojim burza stječe 25 % ili više u drugoj pravnoj osobi uvodi obveza prethodnog obavještavanja Agencije.</w:t>
      </w:r>
    </w:p>
    <w:p w14:paraId="187856F8" w14:textId="77777777" w:rsidR="00715F89" w:rsidRPr="000479E9" w:rsidRDefault="00715F89" w:rsidP="00070EEC">
      <w:pPr>
        <w:spacing w:after="0" w:line="240" w:lineRule="auto"/>
        <w:jc w:val="both"/>
        <w:rPr>
          <w:rFonts w:ascii="Times New Roman" w:eastAsia="Calibri" w:hAnsi="Times New Roman" w:cs="Times New Roman"/>
          <w:sz w:val="24"/>
          <w:szCs w:val="24"/>
        </w:rPr>
      </w:pPr>
    </w:p>
    <w:p w14:paraId="0A043285" w14:textId="77777777"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Za izdavatelje vrijednosnih papira predlaže se dodatno pojednostavljenje postupaka javne ponude i uvrštenja financijskih instrumenata za trgovanje, uz smanjenje opsega dokumentacije i regulatornih formalnosti gdje je to dopušteno europskim propisima. Predlaže se pojednostavljenje pojedinih zahtjeva vezanih uz prospektnu dokumentaciju, uvjete za uvrštenje na uređeno tržište te obveze periodičnog izvještavanja. Time se smanjuju troškovi pristupa tržištu kapitala i administrativno opterećenje povezano s prikupljanjem kapitala putem tržišta, osobito za mala i srednja poduzeća koja se prvi put odlučuju za tržišno financiranje. Očekuje se da će takve izmjene doprinijeti većoj atraktivnosti tržišta kapitala kao izvora financiranja gospodarskog rasta.</w:t>
      </w:r>
    </w:p>
    <w:p w14:paraId="5E12D981"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142F04C1" w14:textId="77777777"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U odnosu na središnji depozitorij i središnju drugu ugovornu stranu (CCP), cilj predloženih izmjena jest izbjeći dupliciranje regulatornih zahtjeva koji su već uređeni izravno primjenjivim europskim propisima, osobito Uredbom (EU) br. 909/2014 (CSDR) i Uredbom (EU) br. 648/2012 (EMIR). Time se omogućuje veća pravna sigurnost, smanjuje regulatorna složenost te se nadzor i izvještavanje usmjeravaju na područja koja su relevantna za upravljanje rizicima i očuvanje financijske stabilnosti. Takav pristup pridonosi učinkovitijem funkcioniranju tržišne infrastrukture i smanjenju troškova usklađivanja za njezine sudionike.</w:t>
      </w:r>
    </w:p>
    <w:p w14:paraId="6AD62040"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33A023AC" w14:textId="77777777" w:rsidR="00070EEC" w:rsidRPr="000479E9" w:rsidRDefault="00070EEC" w:rsidP="00070EEC">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Sve predložene mjere usmjerene su na povećanje učinkovitosti, proporcionalnosti i predvidljivosti regulatornog okvira te na uklanjanje administrativnih prepreka razvoju tržišta kapitala. Očekuje se da će njihova provedba smanjiti troškove usklađivanja za tržišne sudionike, ubrzati postupke prikupljanja kapitala i donošenja poslovnih odluka te dodatno povećati konkurentnost i atraktivnost hrvatskog tržišta kapitala, uz zadržavanje visokih standarda zaštite ulagatelja, tržišne transparentnosti i financijske stabilnosti.</w:t>
      </w:r>
    </w:p>
    <w:p w14:paraId="21855108" w14:textId="77777777" w:rsidR="00070EEC" w:rsidRPr="000479E9" w:rsidRDefault="00070EEC" w:rsidP="00070EEC">
      <w:pPr>
        <w:spacing w:after="0" w:line="240" w:lineRule="auto"/>
        <w:jc w:val="both"/>
        <w:rPr>
          <w:rFonts w:ascii="Times New Roman" w:eastAsia="Calibri" w:hAnsi="Times New Roman" w:cs="Times New Roman"/>
          <w:sz w:val="24"/>
          <w:szCs w:val="24"/>
        </w:rPr>
      </w:pPr>
    </w:p>
    <w:p w14:paraId="128267B1" w14:textId="69710815" w:rsidR="00070EEC" w:rsidRPr="000479E9" w:rsidRDefault="00742692" w:rsidP="00070E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Osim navedenog</w:t>
      </w:r>
      <w:r w:rsidR="00070EEC" w:rsidRPr="000479E9">
        <w:rPr>
          <w:rFonts w:ascii="Times New Roman" w:hAnsi="Times New Roman" w:cs="Times New Roman"/>
          <w:sz w:val="24"/>
          <w:szCs w:val="24"/>
        </w:rPr>
        <w:t xml:space="preserve">, ovim </w:t>
      </w:r>
      <w:r w:rsidR="00F8687F" w:rsidRPr="000479E9">
        <w:rPr>
          <w:rFonts w:ascii="Times New Roman" w:hAnsi="Times New Roman" w:cs="Times New Roman"/>
          <w:sz w:val="24"/>
          <w:szCs w:val="24"/>
        </w:rPr>
        <w:t>Konačnim p</w:t>
      </w:r>
      <w:r w:rsidR="00070EEC" w:rsidRPr="000479E9">
        <w:rPr>
          <w:rFonts w:ascii="Times New Roman" w:hAnsi="Times New Roman" w:cs="Times New Roman"/>
          <w:sz w:val="24"/>
          <w:szCs w:val="24"/>
        </w:rPr>
        <w:t>rijedlogom zakona se predlaže ubrzati i pojednostaviti postupke javnih ponuda i uvrštenja, uz istovremeno unapređenje transparentnosti i zaštite ulagatelja. Očekuje se da će provedba ovoga Zakona smanjiti administrativno i financijsko opterećenje izdavatelja, posebno onih malih i srednjih, osigurati pravnu sigurnost, kao i bolje usklađivanje domaćeg tržišta kapitala s europskim standardima. U konačnici, primjena ovoga Zakona doprinijet će jačanju likvidnosti, efikasnosti i međunarodne konkurentnosti hrvatskog tržišta kapitala.</w:t>
      </w:r>
    </w:p>
    <w:p w14:paraId="48570B38" w14:textId="77777777" w:rsidR="00742692" w:rsidRPr="000479E9" w:rsidRDefault="00742692" w:rsidP="00070EEC">
      <w:pPr>
        <w:spacing w:after="0" w:line="240" w:lineRule="auto"/>
        <w:jc w:val="both"/>
        <w:rPr>
          <w:rFonts w:ascii="Times New Roman" w:hAnsi="Times New Roman" w:cs="Times New Roman"/>
          <w:sz w:val="24"/>
          <w:szCs w:val="24"/>
        </w:rPr>
      </w:pPr>
    </w:p>
    <w:p w14:paraId="33AE530A" w14:textId="2D3A9614" w:rsidR="000676EB" w:rsidRPr="000479E9" w:rsidRDefault="00742692" w:rsidP="000676EB">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Zaključno, ovim Konačnim prijedlogom</w:t>
      </w:r>
      <w:r w:rsidR="000676EB" w:rsidRPr="000479E9">
        <w:rPr>
          <w:rFonts w:ascii="Times New Roman" w:hAnsi="Times New Roman" w:cs="Times New Roman"/>
          <w:sz w:val="24"/>
          <w:szCs w:val="24"/>
        </w:rPr>
        <w:t xml:space="preserve"> Zakona</w:t>
      </w:r>
      <w:r w:rsidRPr="000479E9">
        <w:rPr>
          <w:rFonts w:ascii="Times New Roman" w:hAnsi="Times New Roman" w:cs="Times New Roman"/>
          <w:sz w:val="24"/>
          <w:szCs w:val="24"/>
        </w:rPr>
        <w:t xml:space="preserve"> </w:t>
      </w:r>
      <w:r w:rsidR="000676EB" w:rsidRPr="000479E9">
        <w:rPr>
          <w:rFonts w:ascii="Times New Roman" w:hAnsi="Times New Roman" w:cs="Times New Roman"/>
          <w:sz w:val="24"/>
          <w:szCs w:val="24"/>
        </w:rPr>
        <w:t>predlažu se izmjene prekršajnih odredbi u važećem Zakonu, čime se unapr</w:t>
      </w:r>
      <w:r w:rsidR="00D22C6B" w:rsidRPr="000479E9">
        <w:rPr>
          <w:rFonts w:ascii="Times New Roman" w:hAnsi="Times New Roman" w:cs="Times New Roman"/>
          <w:sz w:val="24"/>
          <w:szCs w:val="24"/>
        </w:rPr>
        <w:t>j</w:t>
      </w:r>
      <w:r w:rsidR="000676EB" w:rsidRPr="000479E9">
        <w:rPr>
          <w:rFonts w:ascii="Times New Roman" w:hAnsi="Times New Roman" w:cs="Times New Roman"/>
          <w:sz w:val="24"/>
          <w:szCs w:val="24"/>
        </w:rPr>
        <w:t>eđuje sustav sankcioniranja radi osiguranja veće razmjernosti, pravne sigurnosti i dosljednosti u primjeni prekršajnih sankcija. U okviru mogućnosti koje ostavlja pravo Europske unije, uvodi se jasnije razlikovanje između osnovnih i kvalificiranih oblika pojedinih prekršaja, pri čemu se primjena najstrožih sankcija veže uz povrede koje, s obzirom na svoju težinu, posljedice ili stupanj ugrožavanja tržišta kapitala i interesa ulagatelja, opravdavaju strože sankcioniranje.</w:t>
      </w:r>
    </w:p>
    <w:p w14:paraId="4B47C340" w14:textId="77777777" w:rsidR="003F79B8" w:rsidRPr="000479E9" w:rsidRDefault="003F79B8" w:rsidP="000676EB">
      <w:pPr>
        <w:spacing w:after="0" w:line="240" w:lineRule="auto"/>
        <w:jc w:val="both"/>
        <w:rPr>
          <w:rFonts w:ascii="Times New Roman" w:hAnsi="Times New Roman" w:cs="Times New Roman"/>
          <w:sz w:val="24"/>
          <w:szCs w:val="24"/>
        </w:rPr>
      </w:pPr>
    </w:p>
    <w:p w14:paraId="41B4766F" w14:textId="5314427E" w:rsidR="000676EB" w:rsidRPr="000479E9" w:rsidRDefault="000676EB" w:rsidP="000676EB">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Na taj se način omogućuje primjerenije sankcioniranje lakših povreda regulatornih obveza, uz istodobno zadržavanje učinkovitih, razmjernih i odvraćajućih sankcija za najteže oblike kršenja propisa, u skladu sa zahtjevima prava Europske unije. Predložena rješenja pridonose većoj predvidljivosti sankcijskog sustava, boljoj usklađenosti s temeljnim načelima prekršajnog prava te jačanju unutarnje koherentnosti zakonskog uređenja, uz očuvanje visoke razine zaštite integriteta tržišta kapitala i povjerenja ulagatelja.</w:t>
      </w:r>
    </w:p>
    <w:p w14:paraId="552C249B" w14:textId="433044F5" w:rsidR="00742692" w:rsidRPr="000479E9" w:rsidRDefault="00742692" w:rsidP="00070EEC">
      <w:pPr>
        <w:spacing w:after="0" w:line="240" w:lineRule="auto"/>
        <w:jc w:val="both"/>
        <w:rPr>
          <w:rFonts w:ascii="Times New Roman" w:hAnsi="Times New Roman" w:cs="Times New Roman"/>
          <w:sz w:val="24"/>
          <w:szCs w:val="24"/>
        </w:rPr>
      </w:pPr>
    </w:p>
    <w:p w14:paraId="725F7730" w14:textId="73FA17AB" w:rsidR="00070EEC" w:rsidRPr="000479E9" w:rsidRDefault="00070EEC" w:rsidP="00070EEC">
      <w:pPr>
        <w:pStyle w:val="NormalWeb"/>
        <w:spacing w:before="0" w:beforeAutospacing="0" w:after="0" w:afterAutospacing="0"/>
        <w:jc w:val="both"/>
        <w:rPr>
          <w:rFonts w:eastAsiaTheme="minorHAnsi"/>
          <w:lang w:eastAsia="en-US"/>
        </w:rPr>
      </w:pPr>
      <w:r w:rsidRPr="000479E9">
        <w:rPr>
          <w:rFonts w:eastAsiaTheme="minorHAnsi"/>
          <w:lang w:eastAsia="en-US"/>
        </w:rPr>
        <w:t>Također, uočene su određene odredbe važećeg Zakona koje je potrebno doraditi radi</w:t>
      </w:r>
      <w:r w:rsidR="000F3250" w:rsidRPr="000479E9">
        <w:rPr>
          <w:rFonts w:eastAsiaTheme="minorHAnsi"/>
          <w:lang w:eastAsia="en-US"/>
        </w:rPr>
        <w:t xml:space="preserve"> njihovog jasnijeg i preciznijeg izričaja</w:t>
      </w:r>
      <w:r w:rsidRPr="000479E9">
        <w:rPr>
          <w:rFonts w:eastAsiaTheme="minorHAnsi"/>
          <w:lang w:eastAsia="en-US"/>
        </w:rPr>
        <w:t xml:space="preserve"> te </w:t>
      </w:r>
      <w:r w:rsidR="000F3250" w:rsidRPr="000479E9">
        <w:rPr>
          <w:rFonts w:eastAsiaTheme="minorHAnsi"/>
          <w:lang w:eastAsia="en-US"/>
        </w:rPr>
        <w:t xml:space="preserve">provesti određene </w:t>
      </w:r>
      <w:r w:rsidRPr="000479E9">
        <w:rPr>
          <w:rFonts w:eastAsiaTheme="minorHAnsi"/>
          <w:lang w:eastAsia="en-US"/>
        </w:rPr>
        <w:t>nomotehničk</w:t>
      </w:r>
      <w:r w:rsidR="000F3250" w:rsidRPr="000479E9">
        <w:rPr>
          <w:rFonts w:eastAsiaTheme="minorHAnsi"/>
          <w:lang w:eastAsia="en-US"/>
        </w:rPr>
        <w:t xml:space="preserve">e </w:t>
      </w:r>
      <w:r w:rsidRPr="000479E9">
        <w:rPr>
          <w:rFonts w:eastAsiaTheme="minorHAnsi"/>
          <w:lang w:eastAsia="en-US"/>
        </w:rPr>
        <w:t>i jezičn</w:t>
      </w:r>
      <w:r w:rsidR="000F3250" w:rsidRPr="000479E9">
        <w:rPr>
          <w:rFonts w:eastAsiaTheme="minorHAnsi"/>
          <w:lang w:eastAsia="en-US"/>
        </w:rPr>
        <w:t>e</w:t>
      </w:r>
      <w:r w:rsidRPr="000479E9">
        <w:rPr>
          <w:rFonts w:eastAsiaTheme="minorHAnsi"/>
          <w:lang w:eastAsia="en-US"/>
        </w:rPr>
        <w:t xml:space="preserve"> isprav</w:t>
      </w:r>
      <w:r w:rsidR="000F3250" w:rsidRPr="000479E9">
        <w:rPr>
          <w:rFonts w:eastAsiaTheme="minorHAnsi"/>
          <w:lang w:eastAsia="en-US"/>
        </w:rPr>
        <w:t>ke</w:t>
      </w:r>
      <w:r w:rsidRPr="000479E9">
        <w:rPr>
          <w:rFonts w:eastAsiaTheme="minorHAnsi"/>
          <w:lang w:eastAsia="en-US"/>
        </w:rPr>
        <w:t>.</w:t>
      </w:r>
    </w:p>
    <w:p w14:paraId="536C5377" w14:textId="77777777" w:rsidR="00070EEC" w:rsidRPr="000479E9" w:rsidRDefault="00070EEC" w:rsidP="00070EEC">
      <w:pPr>
        <w:pStyle w:val="NormalWeb"/>
        <w:spacing w:before="0" w:beforeAutospacing="0" w:after="0" w:afterAutospacing="0"/>
        <w:jc w:val="both"/>
        <w:rPr>
          <w:rFonts w:eastAsiaTheme="minorHAnsi"/>
          <w:lang w:eastAsia="en-US"/>
        </w:rPr>
      </w:pPr>
      <w:r w:rsidRPr="000479E9">
        <w:rPr>
          <w:rFonts w:eastAsiaTheme="minorHAnsi"/>
          <w:lang w:eastAsia="en-US"/>
        </w:rPr>
        <w:tab/>
      </w:r>
    </w:p>
    <w:p w14:paraId="01BA6135" w14:textId="77777777" w:rsidR="00F8687F" w:rsidRPr="000479E9" w:rsidRDefault="00F8687F" w:rsidP="00F8687F">
      <w:pPr>
        <w:tabs>
          <w:tab w:val="left" w:pos="426"/>
        </w:tabs>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II.</w:t>
      </w:r>
      <w:r w:rsidRPr="000479E9">
        <w:rPr>
          <w:rFonts w:ascii="Times New Roman" w:eastAsia="Times New Roman" w:hAnsi="Times New Roman" w:cs="Times New Roman"/>
          <w:b/>
          <w:sz w:val="24"/>
          <w:szCs w:val="24"/>
          <w:lang w:eastAsia="hr-HR"/>
        </w:rPr>
        <w:tab/>
        <w:t>OBRAZLOŽENJE ODREDBI PREDLOŽENOG ZAKONA</w:t>
      </w:r>
    </w:p>
    <w:p w14:paraId="6DECA488" w14:textId="77777777" w:rsidR="00070EEC" w:rsidRPr="000479E9" w:rsidRDefault="00070EEC">
      <w:pPr>
        <w:rPr>
          <w:rFonts w:ascii="Times New Roman" w:hAnsi="Times New Roman" w:cs="Times New Roman"/>
          <w:sz w:val="24"/>
          <w:szCs w:val="24"/>
        </w:rPr>
      </w:pPr>
    </w:p>
    <w:p w14:paraId="5277DCE3" w14:textId="77777777"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1. </w:t>
      </w:r>
    </w:p>
    <w:p w14:paraId="5B61E128" w14:textId="4DB4E0D4" w:rsidR="00927C1F" w:rsidRPr="000479E9" w:rsidRDefault="00927C1F" w:rsidP="00927C1F">
      <w:pPr>
        <w:autoSpaceDE w:val="0"/>
        <w:autoSpaceDN w:val="0"/>
        <w:adjustRightInd w:val="0"/>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članku 2. stavku 1. i 2. Zakona o tržištu kapitala („Narodne novine“, br. 65/18., 17</w:t>
      </w:r>
      <w:r w:rsidR="00955A4C" w:rsidRPr="000479E9">
        <w:rPr>
          <w:rFonts w:ascii="Times New Roman" w:eastAsia="Times New Roman" w:hAnsi="Times New Roman" w:cs="Times New Roman"/>
          <w:sz w:val="24"/>
          <w:szCs w:val="24"/>
          <w:lang w:eastAsia="hr-HR"/>
        </w:rPr>
        <w:t xml:space="preserve">/20., 83/21., 151/22., 85/24., </w:t>
      </w:r>
      <w:r w:rsidRPr="000479E9">
        <w:rPr>
          <w:rFonts w:ascii="Times New Roman" w:eastAsia="Times New Roman" w:hAnsi="Times New Roman" w:cs="Times New Roman"/>
          <w:sz w:val="24"/>
          <w:szCs w:val="24"/>
          <w:lang w:eastAsia="hr-HR"/>
        </w:rPr>
        <w:t>126/25.</w:t>
      </w:r>
      <w:r w:rsidR="00955A4C" w:rsidRPr="000479E9">
        <w:rPr>
          <w:rFonts w:ascii="Times New Roman" w:eastAsia="Times New Roman" w:hAnsi="Times New Roman" w:cs="Times New Roman"/>
          <w:sz w:val="24"/>
          <w:szCs w:val="24"/>
          <w:lang w:eastAsia="hr-HR"/>
        </w:rPr>
        <w:t xml:space="preserve"> i 45/26.</w:t>
      </w:r>
      <w:r w:rsidRPr="000479E9">
        <w:rPr>
          <w:rFonts w:ascii="Times New Roman" w:eastAsia="Times New Roman" w:hAnsi="Times New Roman" w:cs="Times New Roman"/>
          <w:sz w:val="24"/>
          <w:szCs w:val="24"/>
          <w:lang w:eastAsia="hr-HR"/>
        </w:rPr>
        <w:t>; u daljnjem tekstu: važeći Zakon) ažurira se popis akata Europske unije sukladno izmjenama Direktive (EU) 2024/2811</w:t>
      </w:r>
      <w:r w:rsidRPr="000479E9">
        <w:t xml:space="preserve"> </w:t>
      </w:r>
      <w:r w:rsidRPr="000479E9">
        <w:rPr>
          <w:rFonts w:ascii="Times New Roman" w:eastAsia="Times New Roman" w:hAnsi="Times New Roman" w:cs="Times New Roman"/>
          <w:sz w:val="24"/>
          <w:szCs w:val="24"/>
          <w:lang w:eastAsia="hr-HR"/>
        </w:rPr>
        <w:t xml:space="preserve">Europskog parlamenta i Vijeća od 23. listopada 2024. o izmjeni Direktive </w:t>
      </w:r>
      <w:r w:rsidRPr="000479E9">
        <w:rPr>
          <w:rFonts w:ascii="Times New Roman" w:eastAsia="Times New Roman" w:hAnsi="Times New Roman" w:cs="Times New Roman"/>
          <w:sz w:val="24"/>
          <w:szCs w:val="24"/>
          <w:lang w:eastAsia="hr-HR"/>
        </w:rPr>
        <w:lastRenderedPageBreak/>
        <w:t>2014/65/EU radi povećanja privlačnosti javnih tržišta kapitala u Uniji za društva i olakšavanja pristupa kapitalu za mala i srednja poduzeća i o stavljanju izvan snage Direktive 2001/34/EZ (Tekst značajan za EGP) (SL L, 2024/2811, 14. 11. 2024. (u daljnjem tekstu: Direktiva (EU) 2024/2811), odnosno Uredbe (EU) 2024/2809</w:t>
      </w:r>
      <w:r w:rsidRPr="000479E9">
        <w:t xml:space="preserve"> </w:t>
      </w:r>
      <w:r w:rsidRPr="000479E9">
        <w:rPr>
          <w:rFonts w:ascii="Times New Roman" w:eastAsia="Times New Roman" w:hAnsi="Times New Roman" w:cs="Times New Roman"/>
          <w:sz w:val="24"/>
          <w:szCs w:val="24"/>
          <w:lang w:eastAsia="hr-HR"/>
        </w:rPr>
        <w:t>Europskog parlamenta i Vijeća od 23. listopada 2024. o izmjeni uredaba (EU) 2017/1129, (EU) br. 596/2014 i (EU) br. 600/2014 radi povećanja privlačnosti javnih tržišta kapitala u Uniji za poduzeća i olakšavanja pristupa kapitalu za mala i srednja poduzeća (Tekst značajan za EGP) (SL L, 2024/2809, 14. 11. 2024. (u daljnjem tekstu: Uredba (EU) 2024/2809).</w:t>
      </w:r>
    </w:p>
    <w:p w14:paraId="55079C90" w14:textId="77777777" w:rsidR="00927C1F" w:rsidRPr="000479E9" w:rsidRDefault="00927C1F" w:rsidP="00927C1F">
      <w:pPr>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200E22C5" w14:textId="77777777" w:rsidR="00927C1F" w:rsidRPr="000479E9" w:rsidRDefault="00927C1F" w:rsidP="00927C1F">
      <w:pPr>
        <w:autoSpaceDE w:val="0"/>
        <w:autoSpaceDN w:val="0"/>
        <w:adjustRightInd w:val="0"/>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članak 2.</w:t>
      </w:r>
    </w:p>
    <w:p w14:paraId="39F071EC" w14:textId="694458E8" w:rsidR="00927C1F" w:rsidRPr="000479E9" w:rsidRDefault="00927C1F" w:rsidP="00927C1F">
      <w:pPr>
        <w:autoSpaceDE w:val="0"/>
        <w:autoSpaceDN w:val="0"/>
        <w:adjustRightInd w:val="0"/>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sz w:val="24"/>
          <w:szCs w:val="24"/>
          <w:lang w:eastAsia="hr-HR"/>
        </w:rPr>
        <w:t xml:space="preserve">Izmjenama članka 3. važećeg Zakona </w:t>
      </w:r>
      <w:r w:rsidRPr="000479E9">
        <w:rPr>
          <w:rFonts w:ascii="Times New Roman" w:eastAsia="Times New Roman" w:hAnsi="Times New Roman" w:cs="Times New Roman"/>
          <w:bCs/>
          <w:sz w:val="24"/>
          <w:szCs w:val="24"/>
          <w:lang w:eastAsia="hr-HR"/>
        </w:rPr>
        <w:t>prenosi se članak 1.</w:t>
      </w:r>
      <w:r w:rsidR="00EF7953" w:rsidRPr="000479E9">
        <w:rPr>
          <w:rFonts w:ascii="Times New Roman" w:eastAsia="Times New Roman" w:hAnsi="Times New Roman" w:cs="Times New Roman"/>
          <w:bCs/>
          <w:sz w:val="24"/>
          <w:szCs w:val="24"/>
          <w:lang w:eastAsia="hr-HR"/>
        </w:rPr>
        <w:t xml:space="preserve"> </w:t>
      </w:r>
      <w:r w:rsidRPr="000479E9">
        <w:rPr>
          <w:rFonts w:ascii="Times New Roman" w:eastAsia="Times New Roman" w:hAnsi="Times New Roman" w:cs="Times New Roman"/>
          <w:bCs/>
          <w:sz w:val="24"/>
          <w:szCs w:val="24"/>
          <w:lang w:eastAsia="hr-HR"/>
        </w:rPr>
        <w:t>t</w:t>
      </w:r>
      <w:r w:rsidR="00EF7953" w:rsidRPr="000479E9">
        <w:rPr>
          <w:rFonts w:ascii="Times New Roman" w:eastAsia="Times New Roman" w:hAnsi="Times New Roman" w:cs="Times New Roman"/>
          <w:bCs/>
          <w:sz w:val="24"/>
          <w:szCs w:val="24"/>
          <w:lang w:eastAsia="hr-HR"/>
        </w:rPr>
        <w:t>očka</w:t>
      </w:r>
      <w:r w:rsidR="00E85979" w:rsidRPr="000479E9">
        <w:rPr>
          <w:rFonts w:ascii="Times New Roman" w:eastAsia="Times New Roman" w:hAnsi="Times New Roman" w:cs="Times New Roman"/>
          <w:bCs/>
          <w:sz w:val="24"/>
          <w:szCs w:val="24"/>
          <w:lang w:eastAsia="hr-HR"/>
        </w:rPr>
        <w:t xml:space="preserve"> </w:t>
      </w:r>
      <w:r w:rsidRPr="000479E9">
        <w:rPr>
          <w:rFonts w:ascii="Times New Roman" w:eastAsia="Times New Roman" w:hAnsi="Times New Roman" w:cs="Times New Roman"/>
          <w:bCs/>
          <w:sz w:val="24"/>
          <w:szCs w:val="24"/>
          <w:lang w:eastAsia="hr-HR"/>
        </w:rPr>
        <w:t>1. Direktive (EU) 2024/2811</w:t>
      </w:r>
      <w:r w:rsidR="00A06BDF" w:rsidRPr="000479E9">
        <w:rPr>
          <w:rFonts w:ascii="Times New Roman" w:eastAsia="Times New Roman" w:hAnsi="Times New Roman" w:cs="Times New Roman"/>
          <w:bCs/>
          <w:sz w:val="24"/>
          <w:szCs w:val="24"/>
          <w:lang w:eastAsia="hr-HR"/>
        </w:rPr>
        <w:t xml:space="preserve"> te članak 3.</w:t>
      </w:r>
      <w:r w:rsidR="00EF7953" w:rsidRPr="000479E9">
        <w:rPr>
          <w:rFonts w:ascii="Times New Roman" w:eastAsia="Times New Roman" w:hAnsi="Times New Roman" w:cs="Times New Roman"/>
          <w:bCs/>
          <w:sz w:val="24"/>
          <w:szCs w:val="24"/>
          <w:lang w:eastAsia="hr-HR"/>
        </w:rPr>
        <w:t xml:space="preserve"> </w:t>
      </w:r>
      <w:r w:rsidR="00A06BDF" w:rsidRPr="000479E9">
        <w:rPr>
          <w:rFonts w:ascii="Times New Roman" w:eastAsia="Times New Roman" w:hAnsi="Times New Roman" w:cs="Times New Roman"/>
          <w:bCs/>
          <w:sz w:val="24"/>
          <w:szCs w:val="24"/>
          <w:lang w:eastAsia="hr-HR"/>
        </w:rPr>
        <w:t>t</w:t>
      </w:r>
      <w:r w:rsidR="00EF7953" w:rsidRPr="000479E9">
        <w:rPr>
          <w:rFonts w:ascii="Times New Roman" w:eastAsia="Times New Roman" w:hAnsi="Times New Roman" w:cs="Times New Roman"/>
          <w:bCs/>
          <w:sz w:val="24"/>
          <w:szCs w:val="24"/>
          <w:lang w:eastAsia="hr-HR"/>
        </w:rPr>
        <w:t xml:space="preserve">očka </w:t>
      </w:r>
      <w:r w:rsidR="00A06BDF" w:rsidRPr="000479E9">
        <w:rPr>
          <w:rFonts w:ascii="Times New Roman" w:eastAsia="Times New Roman" w:hAnsi="Times New Roman" w:cs="Times New Roman"/>
          <w:bCs/>
          <w:sz w:val="24"/>
          <w:szCs w:val="24"/>
          <w:lang w:eastAsia="hr-HR"/>
        </w:rPr>
        <w:t>1. Direktive (EU) 2024/2994</w:t>
      </w:r>
      <w:r w:rsidR="00EF7953" w:rsidRPr="000479E9">
        <w:rPr>
          <w:rFonts w:ascii="Times New Roman" w:eastAsia="Times New Roman" w:hAnsi="Times New Roman" w:cs="Times New Roman"/>
          <w:bCs/>
          <w:sz w:val="24"/>
          <w:szCs w:val="24"/>
          <w:lang w:eastAsia="hr-HR"/>
        </w:rPr>
        <w:t>.</w:t>
      </w:r>
    </w:p>
    <w:p w14:paraId="584F3DAE" w14:textId="77777777" w:rsidR="00927C1F" w:rsidRPr="000479E9" w:rsidRDefault="00927C1F" w:rsidP="00927C1F">
      <w:pPr>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26C7B276" w14:textId="77777777" w:rsidR="00834E6E" w:rsidRPr="000479E9" w:rsidRDefault="00834E6E" w:rsidP="00834E6E">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3. </w:t>
      </w:r>
    </w:p>
    <w:p w14:paraId="77153432" w14:textId="289F6775" w:rsidR="00834E6E" w:rsidRPr="000479E9" w:rsidRDefault="00834E6E" w:rsidP="00834E6E">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Izmjenama članaka 7. stavka ispravlja se pozivanje, a obzirom na izmjene članka 31. važećeg Zakona.</w:t>
      </w:r>
    </w:p>
    <w:p w14:paraId="58789CCD" w14:textId="77777777" w:rsidR="00834E6E" w:rsidRPr="000479E9" w:rsidRDefault="00834E6E" w:rsidP="00834E6E">
      <w:pPr>
        <w:spacing w:after="0" w:line="240" w:lineRule="auto"/>
        <w:jc w:val="both"/>
        <w:rPr>
          <w:rFonts w:ascii="Times New Roman" w:hAnsi="Times New Roman" w:cs="Times New Roman"/>
          <w:sz w:val="24"/>
          <w:szCs w:val="24"/>
        </w:rPr>
      </w:pPr>
    </w:p>
    <w:p w14:paraId="72FE18F8" w14:textId="5C6AEAFD"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834E6E" w:rsidRPr="000479E9">
        <w:rPr>
          <w:rFonts w:ascii="Times New Roman" w:hAnsi="Times New Roman" w:cs="Times New Roman"/>
          <w:b/>
          <w:sz w:val="24"/>
          <w:szCs w:val="24"/>
        </w:rPr>
        <w:t>4</w:t>
      </w:r>
      <w:r w:rsidRPr="000479E9">
        <w:rPr>
          <w:rFonts w:ascii="Times New Roman" w:hAnsi="Times New Roman" w:cs="Times New Roman"/>
          <w:b/>
          <w:sz w:val="24"/>
          <w:szCs w:val="24"/>
        </w:rPr>
        <w:t xml:space="preserve">. </w:t>
      </w:r>
    </w:p>
    <w:p w14:paraId="370897E4" w14:textId="77777777" w:rsidR="00927C1F" w:rsidRPr="000479E9" w:rsidRDefault="00927C1F"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Dopunama u članku 21. stavku 3. važećeg Zakona propisuje se mogućnost da se i za namjeravanog stjecatelja, a ne samo za suradnika, podaci pribavljaju iz odgovarajućih evidencija.</w:t>
      </w:r>
    </w:p>
    <w:p w14:paraId="5FB7E9A2" w14:textId="77777777" w:rsidR="00927C1F" w:rsidRPr="000479E9" w:rsidRDefault="00927C1F" w:rsidP="00927C1F">
      <w:pPr>
        <w:spacing w:after="0" w:line="240" w:lineRule="auto"/>
        <w:jc w:val="both"/>
        <w:rPr>
          <w:rFonts w:ascii="Times New Roman" w:hAnsi="Times New Roman" w:cs="Times New Roman"/>
          <w:b/>
          <w:sz w:val="24"/>
          <w:szCs w:val="24"/>
        </w:rPr>
      </w:pPr>
    </w:p>
    <w:p w14:paraId="5ECC0791" w14:textId="0CC5CD18" w:rsidR="00747D37" w:rsidRPr="000479E9" w:rsidRDefault="00747D37"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834E6E" w:rsidRPr="000479E9">
        <w:rPr>
          <w:rFonts w:ascii="Times New Roman" w:hAnsi="Times New Roman" w:cs="Times New Roman"/>
          <w:b/>
          <w:sz w:val="24"/>
          <w:szCs w:val="24"/>
        </w:rPr>
        <w:t>5</w:t>
      </w:r>
      <w:r w:rsidRPr="000479E9">
        <w:rPr>
          <w:rFonts w:ascii="Times New Roman" w:hAnsi="Times New Roman" w:cs="Times New Roman"/>
          <w:b/>
          <w:sz w:val="24"/>
          <w:szCs w:val="24"/>
        </w:rPr>
        <w:t xml:space="preserve">. </w:t>
      </w:r>
    </w:p>
    <w:p w14:paraId="2D98343D" w14:textId="479889B1" w:rsidR="00747D37" w:rsidRPr="000479E9" w:rsidRDefault="00747D37"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 xml:space="preserve">U svrhu regulatornog rasterećenja i primjene načela proporcionalnosti, ovim se člankom predlaže da se umjesto dosadašnjeg zahtjeva da najmanje jedan član uprave mora obavljati poslove upravljanja investicijskim društvom u punom radnom vremenu, predlaže </w:t>
      </w:r>
      <w:r w:rsidR="00CA3FA8" w:rsidRPr="000479E9">
        <w:rPr>
          <w:rFonts w:ascii="Times New Roman" w:hAnsi="Times New Roman" w:cs="Times New Roman"/>
          <w:bCs/>
          <w:sz w:val="24"/>
          <w:szCs w:val="24"/>
        </w:rPr>
        <w:t xml:space="preserve">uvođenje pojma dovoljne vremenske posvećenosti iz </w:t>
      </w:r>
      <w:r w:rsidR="00866676" w:rsidRPr="000479E9">
        <w:rPr>
          <w:rFonts w:ascii="Times New Roman" w:hAnsi="Times New Roman" w:cs="Times New Roman"/>
          <w:bCs/>
          <w:sz w:val="24"/>
          <w:szCs w:val="24"/>
        </w:rPr>
        <w:t>MIFID II</w:t>
      </w:r>
      <w:r w:rsidR="00CA3FA8" w:rsidRPr="000479E9">
        <w:rPr>
          <w:rFonts w:ascii="Times New Roman" w:hAnsi="Times New Roman" w:cs="Times New Roman"/>
          <w:bCs/>
          <w:sz w:val="24"/>
          <w:szCs w:val="24"/>
        </w:rPr>
        <w:t xml:space="preserve">, </w:t>
      </w:r>
      <w:r w:rsidR="009404E9" w:rsidRPr="000479E9">
        <w:rPr>
          <w:rFonts w:ascii="Times New Roman" w:hAnsi="Times New Roman" w:cs="Times New Roman"/>
          <w:bCs/>
          <w:sz w:val="24"/>
          <w:szCs w:val="24"/>
        </w:rPr>
        <w:t xml:space="preserve">pri čemu se </w:t>
      </w:r>
      <w:r w:rsidR="00CA3FA8" w:rsidRPr="000479E9">
        <w:rPr>
          <w:rFonts w:ascii="Times New Roman" w:hAnsi="Times New Roman" w:cs="Times New Roman"/>
          <w:bCs/>
          <w:sz w:val="24"/>
          <w:szCs w:val="24"/>
        </w:rPr>
        <w:t>pola radnog vremena određuje kao minim</w:t>
      </w:r>
      <w:r w:rsidR="009404E9" w:rsidRPr="000479E9">
        <w:rPr>
          <w:rFonts w:ascii="Times New Roman" w:hAnsi="Times New Roman" w:cs="Times New Roman"/>
          <w:bCs/>
          <w:sz w:val="24"/>
          <w:szCs w:val="24"/>
        </w:rPr>
        <w:t>alni prag vremenske posvećenosti</w:t>
      </w:r>
      <w:r w:rsidR="00CA3FA8" w:rsidRPr="000479E9">
        <w:rPr>
          <w:rFonts w:ascii="Times New Roman" w:hAnsi="Times New Roman" w:cs="Times New Roman"/>
          <w:bCs/>
          <w:sz w:val="24"/>
          <w:szCs w:val="24"/>
        </w:rPr>
        <w:t>. Ovo se rasterećenje ne odnosi na investicijska društva koja koriste iznimku da umjesto dva člana uprave imaju jednoga.</w:t>
      </w:r>
    </w:p>
    <w:p w14:paraId="0718DCF8" w14:textId="5FE1DBB3" w:rsidR="00CA3FA8" w:rsidRPr="000479E9" w:rsidRDefault="00CA3FA8" w:rsidP="00927C1F">
      <w:pPr>
        <w:spacing w:after="0" w:line="240" w:lineRule="auto"/>
        <w:jc w:val="both"/>
        <w:rPr>
          <w:rFonts w:ascii="Times New Roman" w:hAnsi="Times New Roman" w:cs="Times New Roman"/>
          <w:bCs/>
          <w:sz w:val="24"/>
          <w:szCs w:val="24"/>
        </w:rPr>
      </w:pPr>
    </w:p>
    <w:p w14:paraId="76B65869" w14:textId="1B59DBC0" w:rsidR="00CA3FA8" w:rsidRPr="000479E9" w:rsidRDefault="00CA3FA8"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834E6E" w:rsidRPr="000479E9">
        <w:rPr>
          <w:rFonts w:ascii="Times New Roman" w:hAnsi="Times New Roman" w:cs="Times New Roman"/>
          <w:b/>
          <w:sz w:val="24"/>
          <w:szCs w:val="24"/>
        </w:rPr>
        <w:t>6</w:t>
      </w:r>
      <w:r w:rsidRPr="000479E9">
        <w:rPr>
          <w:rFonts w:ascii="Times New Roman" w:hAnsi="Times New Roman" w:cs="Times New Roman"/>
          <w:b/>
          <w:sz w:val="24"/>
          <w:szCs w:val="24"/>
        </w:rPr>
        <w:t xml:space="preserve">. </w:t>
      </w:r>
    </w:p>
    <w:p w14:paraId="25FD39A5" w14:textId="303BE3D6" w:rsidR="00CA3FA8" w:rsidRPr="000479E9" w:rsidRDefault="00CA3FA8" w:rsidP="06DBBD73">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Ovom se odredbom u odnosu na investicijska društva prenosi članak 91. stavak 1. i članak 91. stavak 2.a Direktive 2013/36/EU, kako je izmijenjena Direktivom (EU) 2024/1619.</w:t>
      </w:r>
    </w:p>
    <w:p w14:paraId="16966226" w14:textId="20D3D9F5" w:rsidR="300D6528" w:rsidRPr="000479E9" w:rsidRDefault="300D6528" w:rsidP="00E11A0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Odredba dodatno razrađuje uvjete koje moraju ispunjavati članovi uprave investicijskog društva na način da se, uz zahtjev za dobrim ugledom, propisuje i obveza poštenog i časnog postupanja te neovisnosti mišljenja radi učinkovitog preispitivanja odluka uprave i nadzora nad procesom donošenja odluka. Također se među elemente politika raznolikosti uprave uključuje i rodna ravnoteža.</w:t>
      </w:r>
    </w:p>
    <w:p w14:paraId="0589B94B" w14:textId="5B46DDE5" w:rsidR="300D6528" w:rsidRPr="000479E9" w:rsidRDefault="300D6528" w:rsidP="00E11A0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Nadalje, uređuje se obveza investicijskog društva da prije preuzimanja dužnosti i periodično tijekom obavljanja funkcije procjenjuje primjerenost članova uprave te se propisuju iznimne okolnosti u kojima se procjena može provesti nakon preuzimanja dužnosti. Također se uređuju mjere koje je investicijsko društvo dužno poduzeti ako </w:t>
      </w:r>
      <w:r w:rsidRPr="000479E9">
        <w:rPr>
          <w:rFonts w:ascii="Times New Roman" w:eastAsia="Calibri" w:hAnsi="Times New Roman" w:cs="Times New Roman"/>
          <w:sz w:val="24"/>
          <w:szCs w:val="24"/>
        </w:rPr>
        <w:lastRenderedPageBreak/>
        <w:t>procjenom utvrdi da član uprave ili kandidat za člana uprave ne ispunjava propisane uvjete.</w:t>
      </w:r>
    </w:p>
    <w:p w14:paraId="617E56E8" w14:textId="3817022C" w:rsidR="00A315DF" w:rsidRPr="000479E9" w:rsidRDefault="300D6528" w:rsidP="1ABE97F0">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Dodatno se pojašnjava da nepostojanje pravomoćne osuđujuće presude ili kaznenog progona koji je u tijeku</w:t>
      </w:r>
      <w:r w:rsidR="0076555F" w:rsidRPr="000479E9">
        <w:rPr>
          <w:rFonts w:ascii="Times New Roman" w:eastAsia="Calibri" w:hAnsi="Times New Roman" w:cs="Times New Roman"/>
          <w:sz w:val="24"/>
          <w:szCs w:val="24"/>
        </w:rPr>
        <w:t xml:space="preserve"> za kazneno djelo za koje se kazneni postupak vodi po službenoj dužnos</w:t>
      </w:r>
      <w:r w:rsidR="002110F1" w:rsidRPr="000479E9">
        <w:rPr>
          <w:rFonts w:ascii="Times New Roman" w:eastAsia="Calibri" w:hAnsi="Times New Roman" w:cs="Times New Roman"/>
          <w:sz w:val="24"/>
          <w:szCs w:val="24"/>
        </w:rPr>
        <w:t>ti</w:t>
      </w:r>
      <w:r w:rsidRPr="000479E9">
        <w:rPr>
          <w:rFonts w:ascii="Times New Roman" w:eastAsia="Calibri" w:hAnsi="Times New Roman" w:cs="Times New Roman"/>
          <w:sz w:val="24"/>
          <w:szCs w:val="24"/>
        </w:rPr>
        <w:t xml:space="preserve"> samo po sebi nije dovoljno za ispunjavanje uvjeta dobrog ugleda te poštenog i časnog postupanja</w:t>
      </w:r>
      <w:r w:rsidR="00F00DC7">
        <w:rPr>
          <w:rFonts w:ascii="Times New Roman" w:eastAsia="Calibri" w:hAnsi="Times New Roman" w:cs="Times New Roman"/>
          <w:sz w:val="24"/>
          <w:szCs w:val="24"/>
        </w:rPr>
        <w:t>.</w:t>
      </w:r>
    </w:p>
    <w:p w14:paraId="3F7E6C98" w14:textId="03C54109" w:rsidR="00927C1F" w:rsidRPr="000479E9" w:rsidRDefault="00927C1F"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Izmjenama u članku 28. stavku 11. dodaje se nova točka 7. kojom se predlaže dati pravnu osnovu Agenciji da detaljnije propiše okolnosti u kojima će suglasnost dati za mandat kraći od traženoga.</w:t>
      </w:r>
    </w:p>
    <w:p w14:paraId="7018DCE8" w14:textId="6734A112" w:rsidR="00927C1F" w:rsidRPr="000479E9" w:rsidRDefault="00927C1F" w:rsidP="00927C1F">
      <w:pPr>
        <w:spacing w:after="0" w:line="240" w:lineRule="auto"/>
        <w:jc w:val="both"/>
        <w:rPr>
          <w:rFonts w:ascii="Times New Roman" w:hAnsi="Times New Roman" w:cs="Times New Roman"/>
          <w:b/>
          <w:sz w:val="24"/>
          <w:szCs w:val="24"/>
        </w:rPr>
      </w:pPr>
    </w:p>
    <w:p w14:paraId="691415E4" w14:textId="615019E8" w:rsidR="00CA3FA8" w:rsidRPr="000479E9" w:rsidRDefault="00CA3FA8" w:rsidP="2B3481CE">
      <w:pPr>
        <w:spacing w:after="0" w:line="240" w:lineRule="auto"/>
        <w:jc w:val="both"/>
        <w:rPr>
          <w:rFonts w:ascii="Times New Roman" w:hAnsi="Times New Roman" w:cs="Times New Roman"/>
          <w:b/>
          <w:bCs/>
          <w:sz w:val="24"/>
          <w:szCs w:val="24"/>
        </w:rPr>
      </w:pPr>
      <w:r w:rsidRPr="000479E9">
        <w:rPr>
          <w:rFonts w:ascii="Times New Roman" w:hAnsi="Times New Roman" w:cs="Times New Roman"/>
          <w:b/>
          <w:bCs/>
          <w:sz w:val="24"/>
          <w:szCs w:val="24"/>
        </w:rPr>
        <w:t xml:space="preserve">Uz članak </w:t>
      </w:r>
      <w:r w:rsidR="00834E6E" w:rsidRPr="000479E9">
        <w:rPr>
          <w:rFonts w:ascii="Times New Roman" w:hAnsi="Times New Roman" w:cs="Times New Roman"/>
          <w:b/>
          <w:bCs/>
          <w:sz w:val="24"/>
          <w:szCs w:val="24"/>
        </w:rPr>
        <w:t>7</w:t>
      </w:r>
      <w:r w:rsidRPr="000479E9">
        <w:rPr>
          <w:rFonts w:ascii="Times New Roman" w:hAnsi="Times New Roman" w:cs="Times New Roman"/>
          <w:b/>
          <w:bCs/>
          <w:sz w:val="24"/>
          <w:szCs w:val="24"/>
        </w:rPr>
        <w:t xml:space="preserve">. </w:t>
      </w:r>
    </w:p>
    <w:p w14:paraId="5630D91F" w14:textId="77777777" w:rsidR="00834E6E" w:rsidRPr="000479E9" w:rsidRDefault="00834E6E" w:rsidP="00834E6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Ovim se člankom mijenja članak 30. stavak 5. važećeg Zakona na način da se jasnije propisuje nadležnost uprave investicijskog društva, u skladu s člankom 25. Delegirane uredbe (EU) 2017/565, za osiguravanje usklađenosti investicijskog društva s relevantnim propisima te za procjenu i periodično preispitivanje učinkovitosti politika, mehanizama i postupaka.</w:t>
      </w:r>
    </w:p>
    <w:p w14:paraId="2B064E55" w14:textId="77777777" w:rsidR="00834E6E" w:rsidRPr="000479E9" w:rsidRDefault="00834E6E" w:rsidP="00834E6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Dodaje se novi stavak 6. kojim se propisuje da se unutarnja dodjela funkcija, odnosno raspodjela odgovornosti i ovlasti u investicijskom društvu uređuje u skladu s navedenim člankom Delegirane uredbe, pri čemu se time ne isključuje nadležnost i krajnja odgovornost uprave. Slijedom toga, dosadašnji stavci 6. do 10. postaju stavci 7. do 11.</w:t>
      </w:r>
    </w:p>
    <w:p w14:paraId="2C707E8D" w14:textId="2C3874ED" w:rsidR="00DD032E" w:rsidRPr="000479E9" w:rsidRDefault="00DD032E" w:rsidP="00A408B9">
      <w:pPr>
        <w:spacing w:after="0" w:line="240" w:lineRule="auto"/>
        <w:jc w:val="both"/>
        <w:rPr>
          <w:rFonts w:ascii="Times New Roman" w:eastAsia="Times New Roman" w:hAnsi="Times New Roman" w:cs="Times New Roman"/>
          <w:sz w:val="24"/>
          <w:szCs w:val="24"/>
          <w:lang w:eastAsia="hr-HR"/>
        </w:rPr>
      </w:pPr>
    </w:p>
    <w:p w14:paraId="159450F6" w14:textId="2183E9C2" w:rsidR="00A408B9" w:rsidRPr="000479E9" w:rsidRDefault="00A408B9" w:rsidP="00E11A02">
      <w:pPr>
        <w:spacing w:after="0" w:line="240" w:lineRule="auto"/>
        <w:jc w:val="both"/>
        <w:rPr>
          <w:rFonts w:ascii="Times New Roman" w:eastAsia="Calibri" w:hAnsi="Times New Roman" w:cs="Times New Roman"/>
          <w:b/>
          <w:bCs/>
          <w:sz w:val="24"/>
          <w:szCs w:val="24"/>
        </w:rPr>
      </w:pPr>
      <w:r w:rsidRPr="000479E9">
        <w:rPr>
          <w:rFonts w:ascii="Times New Roman" w:eastAsia="Calibri" w:hAnsi="Times New Roman" w:cs="Times New Roman"/>
          <w:b/>
          <w:bCs/>
          <w:sz w:val="24"/>
          <w:szCs w:val="24"/>
        </w:rPr>
        <w:t xml:space="preserve">Uz članak </w:t>
      </w:r>
      <w:r w:rsidR="00834E6E" w:rsidRPr="000479E9">
        <w:rPr>
          <w:rFonts w:ascii="Times New Roman" w:eastAsia="Calibri" w:hAnsi="Times New Roman" w:cs="Times New Roman"/>
          <w:b/>
          <w:bCs/>
          <w:sz w:val="24"/>
          <w:szCs w:val="24"/>
        </w:rPr>
        <w:t>8</w:t>
      </w:r>
      <w:r w:rsidRPr="000479E9">
        <w:rPr>
          <w:rFonts w:ascii="Times New Roman" w:eastAsia="Calibri" w:hAnsi="Times New Roman" w:cs="Times New Roman"/>
          <w:b/>
          <w:bCs/>
          <w:sz w:val="24"/>
          <w:szCs w:val="24"/>
        </w:rPr>
        <w:t>.</w:t>
      </w:r>
    </w:p>
    <w:p w14:paraId="2A6BC26B" w14:textId="65BB2680" w:rsidR="2B3481CE" w:rsidRPr="000479E9" w:rsidRDefault="47F9C2B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Ovim se člankom mijenja članak 31. važećeg Zakona radi prijenosa članka 88. stavka 1. Direktive 2013/36/EU, kako je izmijenjena Direktivom (EU) 2024/1619.</w:t>
      </w:r>
    </w:p>
    <w:p w14:paraId="4E458CAD" w14:textId="231CCFB5" w:rsidR="47F9C2BA" w:rsidRPr="000479E9" w:rsidRDefault="47F9C2BA" w:rsidP="00E11A0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Izmjenama članka 31. uvodi se obveza investicijskog društva da sastavlja, održava i ažurira pojedinačne izjave kojima se utvrđuju uloge i dužnosti članova uprave, višeg rukovodstva i nositelja ključnih funkcija, uključujući linije izvještavanja i odgovornosti, te se propisuje obveza dostave navedene dokumentacije Agenciji na njezin zahtjev.</w:t>
      </w:r>
    </w:p>
    <w:p w14:paraId="008622AC" w14:textId="24F7EEDB" w:rsidR="2B3481CE" w:rsidRPr="000479E9" w:rsidRDefault="2B3481CE" w:rsidP="2B3481CE">
      <w:pPr>
        <w:spacing w:after="0" w:line="240" w:lineRule="auto"/>
        <w:jc w:val="both"/>
        <w:rPr>
          <w:rFonts w:ascii="Times New Roman" w:hAnsi="Times New Roman" w:cs="Times New Roman"/>
          <w:sz w:val="24"/>
          <w:szCs w:val="24"/>
        </w:rPr>
      </w:pPr>
    </w:p>
    <w:p w14:paraId="46BD7D7E" w14:textId="5CAB8CF8" w:rsidR="00CA3FA8" w:rsidRPr="000479E9" w:rsidRDefault="00CA3FA8"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bCs/>
          <w:sz w:val="24"/>
          <w:szCs w:val="24"/>
        </w:rPr>
        <w:t xml:space="preserve">Uz članak </w:t>
      </w:r>
      <w:r w:rsidR="00834E6E" w:rsidRPr="000479E9">
        <w:rPr>
          <w:rFonts w:ascii="Times New Roman" w:hAnsi="Times New Roman" w:cs="Times New Roman"/>
          <w:b/>
          <w:bCs/>
          <w:sz w:val="24"/>
          <w:szCs w:val="24"/>
        </w:rPr>
        <w:t>9</w:t>
      </w:r>
      <w:r w:rsidRPr="000479E9">
        <w:rPr>
          <w:rFonts w:ascii="Times New Roman" w:hAnsi="Times New Roman" w:cs="Times New Roman"/>
          <w:b/>
          <w:bCs/>
          <w:sz w:val="24"/>
          <w:szCs w:val="24"/>
        </w:rPr>
        <w:t xml:space="preserve">. </w:t>
      </w:r>
    </w:p>
    <w:p w14:paraId="117A7FF6" w14:textId="4C6AE95C" w:rsidR="00CA3FA8" w:rsidRPr="000479E9" w:rsidRDefault="70F21D5E" w:rsidP="00E11A0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Ovim se člankom mijenja članak 35. važećeg Zakona radi prijenosa članka 91.a Direktive 2013/36/EU, kako je izmijenjena Direktivom (EU) 2024/1619.</w:t>
      </w:r>
    </w:p>
    <w:p w14:paraId="4A892221" w14:textId="7D8F2C9D" w:rsidR="00CA3FA8" w:rsidRPr="000479E9" w:rsidRDefault="70F21D5E" w:rsidP="00E11A0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Izmjenama članka 35. uređuju se zahtjevi vezani uz izbor, procjenu primjerenosti i kontinuirano ispunjavanje uvjeta za nositelje ključnih funkcija u investicijskom društvu. </w:t>
      </w:r>
    </w:p>
    <w:p w14:paraId="5FD9F53B" w14:textId="7FE6C2E5" w:rsidR="00CA3FA8" w:rsidRPr="000479E9" w:rsidRDefault="70F21D5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Propisuje se obveza donošenja i primjene politika za izbor i procjenu primjerenosti nositelja ključnih funkcija, kao i obveza provođenja procjene njihove primjerenosti prije preuzimanja dužnosti i periodično tijekom obavljanja funkcije.</w:t>
      </w:r>
    </w:p>
    <w:p w14:paraId="0BD040E7" w14:textId="42B5E949" w:rsidR="00CA3FA8" w:rsidRPr="000479E9" w:rsidRDefault="70F21D5E" w:rsidP="00E11A0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Također se propisuju mjere koje je investicijsko društvo dužno poduzeti ako utvrdi da nositelj ključne funkcije ne ispunjava propisane uvjete, uključujući osiguravanje kontinuiranog i urednog obavljanja ključnih funkcija. Nadalje, propisuje se obveza osiguravanja ažurnosti informacija o primjerenosti nositelja ključnih funkcija te njihova dostava Agenciji na zahtjev.</w:t>
      </w:r>
    </w:p>
    <w:p w14:paraId="5E225C1D" w14:textId="77777777" w:rsidR="00CA3FA8" w:rsidRPr="000479E9" w:rsidRDefault="00CA3FA8" w:rsidP="00927C1F">
      <w:pPr>
        <w:spacing w:after="0" w:line="240" w:lineRule="auto"/>
        <w:jc w:val="both"/>
        <w:rPr>
          <w:rFonts w:ascii="Times New Roman" w:hAnsi="Times New Roman" w:cs="Times New Roman"/>
          <w:b/>
          <w:sz w:val="24"/>
          <w:szCs w:val="24"/>
        </w:rPr>
      </w:pPr>
    </w:p>
    <w:p w14:paraId="04DF9A62" w14:textId="3C4BE999"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834E6E" w:rsidRPr="000479E9">
        <w:rPr>
          <w:rFonts w:ascii="Times New Roman" w:hAnsi="Times New Roman" w:cs="Times New Roman"/>
          <w:b/>
          <w:sz w:val="24"/>
          <w:szCs w:val="24"/>
        </w:rPr>
        <w:t>10</w:t>
      </w:r>
      <w:r w:rsidRPr="000479E9">
        <w:rPr>
          <w:rFonts w:ascii="Times New Roman" w:hAnsi="Times New Roman" w:cs="Times New Roman"/>
          <w:b/>
          <w:sz w:val="24"/>
          <w:szCs w:val="24"/>
        </w:rPr>
        <w:t xml:space="preserve">. </w:t>
      </w:r>
    </w:p>
    <w:p w14:paraId="5422362E" w14:textId="5394F0DA" w:rsidR="00A06BDF" w:rsidRPr="000479E9" w:rsidRDefault="00A06BDF"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 xml:space="preserve">Ovim člankom prenosi se dopuna iz članka 3. stavka 2. </w:t>
      </w:r>
      <w:r w:rsidR="00EF7953" w:rsidRPr="000479E9">
        <w:rPr>
          <w:rFonts w:ascii="Times New Roman" w:eastAsia="Times New Roman" w:hAnsi="Times New Roman" w:cs="Times New Roman"/>
          <w:bCs/>
          <w:sz w:val="24"/>
          <w:szCs w:val="24"/>
          <w:lang w:eastAsia="hr-HR"/>
        </w:rPr>
        <w:t>Direktive (EU) 2024/2994</w:t>
      </w:r>
      <w:r w:rsidR="001E56E2" w:rsidRPr="000479E9">
        <w:rPr>
          <w:rFonts w:ascii="Times New Roman" w:hAnsi="Times New Roman" w:cs="Times New Roman"/>
          <w:bCs/>
          <w:sz w:val="24"/>
          <w:szCs w:val="24"/>
        </w:rPr>
        <w:t xml:space="preserve">, </w:t>
      </w:r>
      <w:r w:rsidR="005217F1" w:rsidRPr="000479E9">
        <w:rPr>
          <w:rFonts w:ascii="Times New Roman" w:hAnsi="Times New Roman" w:cs="Times New Roman"/>
          <w:bCs/>
          <w:sz w:val="24"/>
          <w:szCs w:val="24"/>
        </w:rPr>
        <w:t>kojom se mijenja članak 50. važećeg Zakona,</w:t>
      </w:r>
      <w:r w:rsidR="00EF7953" w:rsidRPr="000479E9">
        <w:rPr>
          <w:rFonts w:ascii="Times New Roman" w:hAnsi="Times New Roman" w:cs="Times New Roman"/>
          <w:bCs/>
          <w:sz w:val="24"/>
          <w:szCs w:val="24"/>
        </w:rPr>
        <w:t xml:space="preserve"> </w:t>
      </w:r>
      <w:r w:rsidR="001E56E2" w:rsidRPr="000479E9">
        <w:rPr>
          <w:rFonts w:ascii="Times New Roman" w:hAnsi="Times New Roman" w:cs="Times New Roman"/>
          <w:bCs/>
          <w:sz w:val="24"/>
          <w:szCs w:val="24"/>
        </w:rPr>
        <w:t>a kojom se dodatno pojašnjava obveza investicijskih društava u pogledu upravljanja rizicima, uključujući koncentracijski rizik koji proizlazi iz izloženosti prema središnjim drugim ugovornim stranama.</w:t>
      </w:r>
    </w:p>
    <w:p w14:paraId="48BE06E3" w14:textId="77777777" w:rsidR="00A06BDF" w:rsidRPr="000479E9" w:rsidRDefault="00A06BDF" w:rsidP="00927C1F">
      <w:pPr>
        <w:spacing w:after="0" w:line="240" w:lineRule="auto"/>
        <w:jc w:val="both"/>
        <w:rPr>
          <w:rFonts w:ascii="Times New Roman" w:hAnsi="Times New Roman" w:cs="Times New Roman"/>
          <w:b/>
          <w:sz w:val="24"/>
          <w:szCs w:val="24"/>
        </w:rPr>
      </w:pPr>
    </w:p>
    <w:p w14:paraId="5924ECC7" w14:textId="474D74D0" w:rsidR="00CA3FA8" w:rsidRPr="000479E9" w:rsidRDefault="00CA3FA8"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834E6E" w:rsidRPr="000479E9">
        <w:rPr>
          <w:rFonts w:ascii="Times New Roman" w:hAnsi="Times New Roman" w:cs="Times New Roman"/>
          <w:b/>
          <w:sz w:val="24"/>
          <w:szCs w:val="24"/>
        </w:rPr>
        <w:t>11</w:t>
      </w:r>
      <w:r w:rsidRPr="000479E9">
        <w:rPr>
          <w:rFonts w:ascii="Times New Roman" w:hAnsi="Times New Roman" w:cs="Times New Roman"/>
          <w:b/>
          <w:sz w:val="24"/>
          <w:szCs w:val="24"/>
        </w:rPr>
        <w:t xml:space="preserve">. </w:t>
      </w:r>
    </w:p>
    <w:p w14:paraId="3A0B25FE" w14:textId="3001A286" w:rsidR="00CA3FA8" w:rsidRPr="000479E9" w:rsidRDefault="00CA3FA8"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 xml:space="preserve">U svrhu regulatornog rasterećenja investicijskih društava, ovim člankom se predlaže ukidanje periodičke dostave izvješća o radu funkcije usklađenosti Agenciji, dok se Agenciji </w:t>
      </w:r>
      <w:r w:rsidR="00A315DF" w:rsidRPr="000479E9">
        <w:rPr>
          <w:rFonts w:ascii="Times New Roman" w:hAnsi="Times New Roman" w:cs="Times New Roman"/>
          <w:bCs/>
          <w:sz w:val="24"/>
          <w:szCs w:val="24"/>
        </w:rPr>
        <w:t>daje ovlast</w:t>
      </w:r>
      <w:r w:rsidRPr="000479E9">
        <w:rPr>
          <w:rFonts w:ascii="Times New Roman" w:hAnsi="Times New Roman" w:cs="Times New Roman"/>
          <w:bCs/>
          <w:sz w:val="24"/>
          <w:szCs w:val="24"/>
        </w:rPr>
        <w:t xml:space="preserve"> da pravilnikom propiše samo minimalni sadržaj tog izvješća</w:t>
      </w:r>
      <w:r w:rsidR="00AE68D3" w:rsidRPr="000479E9">
        <w:rPr>
          <w:rFonts w:ascii="Times New Roman" w:hAnsi="Times New Roman" w:cs="Times New Roman"/>
          <w:bCs/>
          <w:sz w:val="24"/>
          <w:szCs w:val="24"/>
        </w:rPr>
        <w:t xml:space="preserve">, </w:t>
      </w:r>
      <w:r w:rsidR="00D937B3" w:rsidRPr="000479E9">
        <w:rPr>
          <w:rFonts w:ascii="Times New Roman" w:hAnsi="Times New Roman" w:cs="Times New Roman"/>
          <w:bCs/>
          <w:sz w:val="24"/>
          <w:szCs w:val="24"/>
        </w:rPr>
        <w:t xml:space="preserve">radi usporedivosti. </w:t>
      </w:r>
    </w:p>
    <w:p w14:paraId="7188AE49" w14:textId="77777777" w:rsidR="00CA3FA8" w:rsidRPr="000479E9" w:rsidRDefault="00CA3FA8" w:rsidP="00927C1F">
      <w:pPr>
        <w:spacing w:after="0" w:line="240" w:lineRule="auto"/>
        <w:jc w:val="both"/>
        <w:rPr>
          <w:rFonts w:ascii="Times New Roman" w:hAnsi="Times New Roman" w:cs="Times New Roman"/>
          <w:b/>
          <w:sz w:val="24"/>
          <w:szCs w:val="24"/>
        </w:rPr>
      </w:pPr>
    </w:p>
    <w:p w14:paraId="0E54991E" w14:textId="47078BA9" w:rsidR="00CA3FA8" w:rsidRPr="000479E9" w:rsidRDefault="00CA3FA8"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Uz člank</w:t>
      </w:r>
      <w:r w:rsidR="00D937B3" w:rsidRPr="000479E9">
        <w:rPr>
          <w:rFonts w:ascii="Times New Roman" w:hAnsi="Times New Roman" w:cs="Times New Roman"/>
          <w:b/>
          <w:sz w:val="24"/>
          <w:szCs w:val="24"/>
        </w:rPr>
        <w:t>e</w:t>
      </w:r>
      <w:r w:rsidRPr="000479E9">
        <w:rPr>
          <w:rFonts w:ascii="Times New Roman" w:hAnsi="Times New Roman" w:cs="Times New Roman"/>
          <w:b/>
          <w:sz w:val="24"/>
          <w:szCs w:val="24"/>
        </w:rPr>
        <w:t xml:space="preserve"> </w:t>
      </w:r>
      <w:r w:rsidR="00A408B9" w:rsidRPr="000479E9">
        <w:rPr>
          <w:rFonts w:ascii="Times New Roman" w:hAnsi="Times New Roman" w:cs="Times New Roman"/>
          <w:b/>
          <w:sz w:val="24"/>
          <w:szCs w:val="24"/>
        </w:rPr>
        <w:t>1</w:t>
      </w:r>
      <w:r w:rsidR="00834E6E" w:rsidRPr="000479E9">
        <w:rPr>
          <w:rFonts w:ascii="Times New Roman" w:hAnsi="Times New Roman" w:cs="Times New Roman"/>
          <w:b/>
          <w:sz w:val="24"/>
          <w:szCs w:val="24"/>
        </w:rPr>
        <w:t>2</w:t>
      </w:r>
      <w:r w:rsidRPr="000479E9">
        <w:rPr>
          <w:rFonts w:ascii="Times New Roman" w:hAnsi="Times New Roman" w:cs="Times New Roman"/>
          <w:b/>
          <w:sz w:val="24"/>
          <w:szCs w:val="24"/>
        </w:rPr>
        <w:t>.</w:t>
      </w:r>
      <w:r w:rsidR="00834E6E" w:rsidRPr="000479E9">
        <w:rPr>
          <w:rFonts w:ascii="Times New Roman" w:hAnsi="Times New Roman" w:cs="Times New Roman"/>
          <w:b/>
          <w:sz w:val="24"/>
          <w:szCs w:val="24"/>
        </w:rPr>
        <w:t xml:space="preserve">, </w:t>
      </w:r>
      <w:r w:rsidR="00A408B9" w:rsidRPr="000479E9">
        <w:rPr>
          <w:rFonts w:ascii="Times New Roman" w:hAnsi="Times New Roman" w:cs="Times New Roman"/>
          <w:b/>
          <w:sz w:val="24"/>
          <w:szCs w:val="24"/>
        </w:rPr>
        <w:t>1</w:t>
      </w:r>
      <w:r w:rsidR="00834E6E" w:rsidRPr="000479E9">
        <w:rPr>
          <w:rFonts w:ascii="Times New Roman" w:hAnsi="Times New Roman" w:cs="Times New Roman"/>
          <w:b/>
          <w:sz w:val="24"/>
          <w:szCs w:val="24"/>
        </w:rPr>
        <w:t>3. i 14.</w:t>
      </w:r>
      <w:r w:rsidR="00D937B3" w:rsidRPr="000479E9">
        <w:rPr>
          <w:rFonts w:ascii="Times New Roman" w:hAnsi="Times New Roman" w:cs="Times New Roman"/>
          <w:b/>
          <w:sz w:val="24"/>
          <w:szCs w:val="24"/>
        </w:rPr>
        <w:t xml:space="preserve"> </w:t>
      </w:r>
    </w:p>
    <w:p w14:paraId="72CCB9F1" w14:textId="0785B6BA" w:rsidR="00D937B3" w:rsidRPr="000479E9" w:rsidRDefault="00D937B3"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Obzirom da je periodička dostava izvješća o funkciji usklađenosti ukinuta, odredbe članaka 63.</w:t>
      </w:r>
      <w:r w:rsidR="00834E6E" w:rsidRPr="000479E9">
        <w:rPr>
          <w:rFonts w:ascii="Times New Roman" w:hAnsi="Times New Roman" w:cs="Times New Roman"/>
          <w:bCs/>
          <w:sz w:val="24"/>
          <w:szCs w:val="24"/>
        </w:rPr>
        <w:t>,</w:t>
      </w:r>
      <w:r w:rsidRPr="000479E9">
        <w:rPr>
          <w:rFonts w:ascii="Times New Roman" w:hAnsi="Times New Roman" w:cs="Times New Roman"/>
          <w:bCs/>
          <w:sz w:val="24"/>
          <w:szCs w:val="24"/>
        </w:rPr>
        <w:t xml:space="preserve"> 71. </w:t>
      </w:r>
      <w:r w:rsidR="00834E6E" w:rsidRPr="000479E9">
        <w:rPr>
          <w:rFonts w:ascii="Times New Roman" w:hAnsi="Times New Roman" w:cs="Times New Roman"/>
          <w:bCs/>
          <w:sz w:val="24"/>
          <w:szCs w:val="24"/>
        </w:rPr>
        <w:t xml:space="preserve">i 72. </w:t>
      </w:r>
      <w:r w:rsidRPr="000479E9">
        <w:rPr>
          <w:rFonts w:ascii="Times New Roman" w:hAnsi="Times New Roman" w:cs="Times New Roman"/>
          <w:bCs/>
          <w:sz w:val="24"/>
          <w:szCs w:val="24"/>
        </w:rPr>
        <w:t>usklađuju se s predloženom izmjenom.</w:t>
      </w:r>
    </w:p>
    <w:p w14:paraId="49E6AF36" w14:textId="77777777" w:rsidR="00D937B3" w:rsidRPr="000479E9" w:rsidRDefault="00D937B3" w:rsidP="00927C1F">
      <w:pPr>
        <w:spacing w:after="0" w:line="240" w:lineRule="auto"/>
        <w:jc w:val="both"/>
        <w:rPr>
          <w:rFonts w:ascii="Times New Roman" w:hAnsi="Times New Roman" w:cs="Times New Roman"/>
          <w:b/>
          <w:sz w:val="24"/>
          <w:szCs w:val="24"/>
        </w:rPr>
      </w:pPr>
    </w:p>
    <w:p w14:paraId="6592D224" w14:textId="2FBFB95D" w:rsidR="00A06BDF" w:rsidRPr="000479E9" w:rsidRDefault="00A06BD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A408B9" w:rsidRPr="000479E9">
        <w:rPr>
          <w:rFonts w:ascii="Times New Roman" w:hAnsi="Times New Roman" w:cs="Times New Roman"/>
          <w:b/>
          <w:sz w:val="24"/>
          <w:szCs w:val="24"/>
        </w:rPr>
        <w:t>1</w:t>
      </w:r>
      <w:r w:rsidR="00834E6E" w:rsidRPr="000479E9">
        <w:rPr>
          <w:rFonts w:ascii="Times New Roman" w:hAnsi="Times New Roman" w:cs="Times New Roman"/>
          <w:b/>
          <w:sz w:val="24"/>
          <w:szCs w:val="24"/>
        </w:rPr>
        <w:t>5</w:t>
      </w:r>
      <w:r w:rsidRPr="000479E9">
        <w:rPr>
          <w:rFonts w:ascii="Times New Roman" w:hAnsi="Times New Roman" w:cs="Times New Roman"/>
          <w:b/>
          <w:sz w:val="24"/>
          <w:szCs w:val="24"/>
        </w:rPr>
        <w:t>.</w:t>
      </w:r>
    </w:p>
    <w:p w14:paraId="11325CDF" w14:textId="415CA4A7"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Cs/>
          <w:sz w:val="24"/>
          <w:szCs w:val="24"/>
        </w:rPr>
        <w:t>Ovim člankom dodaje novi članak 87.a u važeći Zakon kojim se prenosi č</w:t>
      </w:r>
      <w:r w:rsidRPr="000479E9">
        <w:rPr>
          <w:rFonts w:ascii="Times New Roman" w:hAnsi="Times New Roman" w:cs="Times New Roman"/>
          <w:sz w:val="24"/>
          <w:szCs w:val="24"/>
        </w:rPr>
        <w:t>lanak 1. st</w:t>
      </w:r>
      <w:r w:rsidR="005E1CF9" w:rsidRPr="000479E9">
        <w:rPr>
          <w:rFonts w:ascii="Times New Roman" w:hAnsi="Times New Roman" w:cs="Times New Roman"/>
          <w:sz w:val="24"/>
          <w:szCs w:val="24"/>
        </w:rPr>
        <w:t>avak</w:t>
      </w:r>
      <w:r w:rsidRPr="000479E9">
        <w:rPr>
          <w:rFonts w:ascii="Times New Roman" w:hAnsi="Times New Roman" w:cs="Times New Roman"/>
          <w:sz w:val="24"/>
          <w:szCs w:val="24"/>
        </w:rPr>
        <w:t xml:space="preserve"> 2. točka a) Direktive (EU) 2024/2811.</w:t>
      </w:r>
    </w:p>
    <w:p w14:paraId="5421A47D" w14:textId="1A255EDB" w:rsidR="00927C1F" w:rsidRPr="000479E9" w:rsidRDefault="00927C1F" w:rsidP="00927C1F">
      <w:pPr>
        <w:spacing w:after="0" w:line="240" w:lineRule="auto"/>
        <w:jc w:val="both"/>
        <w:rPr>
          <w:rFonts w:ascii="Times New Roman" w:hAnsi="Times New Roman" w:cs="Times New Roman"/>
          <w:sz w:val="24"/>
          <w:szCs w:val="24"/>
        </w:rPr>
      </w:pPr>
    </w:p>
    <w:p w14:paraId="29B02235" w14:textId="6936FCAD"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A408B9" w:rsidRPr="000479E9">
        <w:rPr>
          <w:rFonts w:ascii="Times New Roman" w:hAnsi="Times New Roman" w:cs="Times New Roman"/>
          <w:b/>
          <w:sz w:val="24"/>
          <w:szCs w:val="24"/>
        </w:rPr>
        <w:t>1</w:t>
      </w:r>
      <w:r w:rsidR="00834E6E" w:rsidRPr="000479E9">
        <w:rPr>
          <w:rFonts w:ascii="Times New Roman" w:hAnsi="Times New Roman" w:cs="Times New Roman"/>
          <w:b/>
          <w:sz w:val="24"/>
          <w:szCs w:val="24"/>
        </w:rPr>
        <w:t>6</w:t>
      </w:r>
      <w:r w:rsidRPr="000479E9">
        <w:rPr>
          <w:rFonts w:ascii="Times New Roman" w:hAnsi="Times New Roman" w:cs="Times New Roman"/>
          <w:b/>
          <w:sz w:val="24"/>
          <w:szCs w:val="24"/>
        </w:rPr>
        <w:t>.</w:t>
      </w:r>
    </w:p>
    <w:p w14:paraId="651D1A14" w14:textId="77777777" w:rsidR="00927C1F" w:rsidRPr="000479E9" w:rsidRDefault="00927C1F" w:rsidP="00927C1F">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Dopunama članka 93. stavka 2. važećeg Zakona definira se krajnji rok za isplatu poticaja klijentu.</w:t>
      </w:r>
    </w:p>
    <w:p w14:paraId="287E4E67" w14:textId="77777777" w:rsidR="00927C1F" w:rsidRPr="000479E9" w:rsidRDefault="00927C1F" w:rsidP="00927C1F">
      <w:pPr>
        <w:spacing w:after="0" w:line="240" w:lineRule="auto"/>
        <w:jc w:val="both"/>
        <w:rPr>
          <w:rFonts w:ascii="Times New Roman" w:hAnsi="Times New Roman" w:cs="Times New Roman"/>
          <w:b/>
          <w:sz w:val="24"/>
          <w:szCs w:val="24"/>
        </w:rPr>
      </w:pPr>
    </w:p>
    <w:p w14:paraId="109296CB" w14:textId="7D885528"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A408B9" w:rsidRPr="000479E9">
        <w:rPr>
          <w:rFonts w:ascii="Times New Roman" w:hAnsi="Times New Roman" w:cs="Times New Roman"/>
          <w:b/>
          <w:sz w:val="24"/>
          <w:szCs w:val="24"/>
        </w:rPr>
        <w:t>1</w:t>
      </w:r>
      <w:r w:rsidR="00834E6E" w:rsidRPr="000479E9">
        <w:rPr>
          <w:rFonts w:ascii="Times New Roman" w:hAnsi="Times New Roman" w:cs="Times New Roman"/>
          <w:b/>
          <w:sz w:val="24"/>
          <w:szCs w:val="24"/>
        </w:rPr>
        <w:t>7</w:t>
      </w:r>
      <w:r w:rsidRPr="000479E9">
        <w:rPr>
          <w:rFonts w:ascii="Times New Roman" w:hAnsi="Times New Roman" w:cs="Times New Roman"/>
          <w:b/>
          <w:sz w:val="24"/>
          <w:szCs w:val="24"/>
        </w:rPr>
        <w:t xml:space="preserve">. </w:t>
      </w:r>
    </w:p>
    <w:p w14:paraId="62AFA743" w14:textId="1E598FAD" w:rsidR="00927C1F" w:rsidRPr="000479E9" w:rsidRDefault="00927C1F" w:rsidP="004A300A">
      <w:pPr>
        <w:spacing w:after="0" w:line="240" w:lineRule="auto"/>
        <w:jc w:val="both"/>
        <w:rPr>
          <w:rFonts w:ascii="Times New Roman" w:hAnsi="Times New Roman" w:cs="Times New Roman"/>
          <w:b/>
          <w:sz w:val="24"/>
          <w:szCs w:val="24"/>
        </w:rPr>
      </w:pPr>
      <w:r w:rsidRPr="000479E9">
        <w:rPr>
          <w:rFonts w:ascii="Times New Roman" w:hAnsi="Times New Roman" w:cs="Times New Roman"/>
          <w:sz w:val="24"/>
          <w:szCs w:val="24"/>
        </w:rPr>
        <w:t>Izmjenama i dopunama članka 94. važećeg Zakona prenosi se članak 1. stavak 2. točke 9.a Direktive (EU) 2024/2811, kao i odgovarajuće izmjene članka 13. D</w:t>
      </w:r>
      <w:r w:rsidR="004A300A" w:rsidRPr="000479E9">
        <w:rPr>
          <w:rFonts w:ascii="Times New Roman" w:hAnsi="Times New Roman" w:cs="Times New Roman"/>
          <w:sz w:val="24"/>
          <w:szCs w:val="24"/>
        </w:rPr>
        <w:t>elegirane direktive</w:t>
      </w:r>
      <w:r w:rsidRPr="000479E9">
        <w:rPr>
          <w:rFonts w:ascii="Times New Roman" w:hAnsi="Times New Roman" w:cs="Times New Roman"/>
          <w:sz w:val="24"/>
          <w:szCs w:val="24"/>
        </w:rPr>
        <w:t xml:space="preserve"> (EU) 2017/</w:t>
      </w:r>
      <w:r w:rsidR="004A300A" w:rsidRPr="000479E9">
        <w:rPr>
          <w:rFonts w:ascii="Times New Roman" w:hAnsi="Times New Roman" w:cs="Times New Roman"/>
          <w:sz w:val="24"/>
          <w:szCs w:val="24"/>
        </w:rPr>
        <w:t>593 kako je posljednje izmijenjena Delegiranom direktivom Komisije (EU) 2026/374 оd 20. veljače 2026. o izmjeni Delegirane direktive (EU) 2017/593 u pogledu uvjeta za pružanje usluga izvršavanja naloga i istraživanja trećih osoba investicijskim društvima koja pružaju usluge upravljanja portfeljem ili druge investicijske ili pomoćne usluge (SL L, 2026/374, 2.6.2026.).</w:t>
      </w:r>
      <w:r w:rsidRPr="000479E9">
        <w:rPr>
          <w:rFonts w:ascii="Times New Roman" w:hAnsi="Times New Roman" w:cs="Times New Roman"/>
          <w:sz w:val="24"/>
          <w:szCs w:val="24"/>
        </w:rPr>
        <w:t xml:space="preserve"> </w:t>
      </w:r>
    </w:p>
    <w:p w14:paraId="07B0940E" w14:textId="77777777" w:rsidR="00927C1F" w:rsidRPr="000479E9" w:rsidRDefault="00927C1F" w:rsidP="00927C1F">
      <w:pPr>
        <w:spacing w:after="0" w:line="240" w:lineRule="auto"/>
        <w:jc w:val="both"/>
        <w:rPr>
          <w:rFonts w:ascii="Times New Roman" w:hAnsi="Times New Roman" w:cs="Times New Roman"/>
          <w:sz w:val="24"/>
          <w:szCs w:val="24"/>
        </w:rPr>
      </w:pPr>
    </w:p>
    <w:p w14:paraId="60850757" w14:textId="6CE9AD52" w:rsidR="00D937B3" w:rsidRPr="000479E9" w:rsidRDefault="00D937B3" w:rsidP="006E28F1">
      <w:pPr>
        <w:spacing w:after="0" w:line="240" w:lineRule="auto"/>
        <w:jc w:val="both"/>
        <w:rPr>
          <w:rFonts w:ascii="Times New Roman" w:hAnsi="Times New Roman" w:cs="Times New Roman"/>
          <w:b/>
          <w:bCs/>
          <w:sz w:val="24"/>
          <w:szCs w:val="24"/>
        </w:rPr>
      </w:pPr>
      <w:r w:rsidRPr="000479E9">
        <w:rPr>
          <w:rFonts w:ascii="Times New Roman" w:hAnsi="Times New Roman" w:cs="Times New Roman"/>
          <w:b/>
          <w:bCs/>
          <w:sz w:val="24"/>
          <w:szCs w:val="24"/>
        </w:rPr>
        <w:t xml:space="preserve">Uz članak </w:t>
      </w:r>
      <w:r w:rsidR="00A408B9" w:rsidRPr="000479E9">
        <w:rPr>
          <w:rFonts w:ascii="Times New Roman" w:hAnsi="Times New Roman" w:cs="Times New Roman"/>
          <w:b/>
          <w:bCs/>
          <w:sz w:val="24"/>
          <w:szCs w:val="24"/>
        </w:rPr>
        <w:t>1</w:t>
      </w:r>
      <w:r w:rsidR="00125F37" w:rsidRPr="000479E9">
        <w:rPr>
          <w:rFonts w:ascii="Times New Roman" w:hAnsi="Times New Roman" w:cs="Times New Roman"/>
          <w:b/>
          <w:bCs/>
          <w:sz w:val="24"/>
          <w:szCs w:val="24"/>
        </w:rPr>
        <w:t>8</w:t>
      </w:r>
      <w:r w:rsidRPr="000479E9">
        <w:rPr>
          <w:rFonts w:ascii="Times New Roman" w:hAnsi="Times New Roman" w:cs="Times New Roman"/>
          <w:b/>
          <w:bCs/>
          <w:sz w:val="24"/>
          <w:szCs w:val="24"/>
        </w:rPr>
        <w:t xml:space="preserve">. </w:t>
      </w:r>
    </w:p>
    <w:p w14:paraId="44072128" w14:textId="5BAB1BF2" w:rsidR="00D937B3" w:rsidRPr="000479E9" w:rsidRDefault="00D937B3" w:rsidP="00D937B3">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MiFID II dopušta državama članicama da propišu posebne, alternativne ili dodatne kriterije za procjenu znanja i iskustva jedinica lokalne i područne (regionalne) samouprave koje traže tretman profesionalnih klijenata</w:t>
      </w:r>
      <w:r w:rsidR="00A218CC" w:rsidRPr="000479E9">
        <w:rPr>
          <w:rFonts w:ascii="Times New Roman" w:hAnsi="Times New Roman" w:cs="Times New Roman"/>
          <w:sz w:val="24"/>
          <w:szCs w:val="24"/>
        </w:rPr>
        <w:t xml:space="preserve"> </w:t>
      </w:r>
      <w:r w:rsidRPr="000479E9">
        <w:rPr>
          <w:rFonts w:ascii="Times New Roman" w:hAnsi="Times New Roman" w:cs="Times New Roman"/>
          <w:sz w:val="24"/>
          <w:szCs w:val="24"/>
        </w:rPr>
        <w:t xml:space="preserve">ulagatelja. Ovu nacionalnu diskreciju </w:t>
      </w:r>
      <w:r w:rsidR="00A218CC" w:rsidRPr="000479E9">
        <w:rPr>
          <w:rFonts w:ascii="Times New Roman" w:hAnsi="Times New Roman" w:cs="Times New Roman"/>
          <w:sz w:val="24"/>
          <w:szCs w:val="24"/>
        </w:rPr>
        <w:t xml:space="preserve">Republika </w:t>
      </w:r>
      <w:r w:rsidRPr="000479E9">
        <w:rPr>
          <w:rFonts w:ascii="Times New Roman" w:hAnsi="Times New Roman" w:cs="Times New Roman"/>
          <w:sz w:val="24"/>
          <w:szCs w:val="24"/>
        </w:rPr>
        <w:t>Hrvatska još nije iskoristila.</w:t>
      </w:r>
      <w:r w:rsidR="00CC07EA" w:rsidRPr="000479E9">
        <w:rPr>
          <w:rFonts w:ascii="Times New Roman" w:hAnsi="Times New Roman" w:cs="Times New Roman"/>
          <w:sz w:val="24"/>
          <w:szCs w:val="24"/>
        </w:rPr>
        <w:t xml:space="preserve"> </w:t>
      </w:r>
      <w:r w:rsidRPr="000479E9">
        <w:rPr>
          <w:rFonts w:ascii="Times New Roman" w:hAnsi="Times New Roman" w:cs="Times New Roman"/>
          <w:sz w:val="24"/>
          <w:szCs w:val="24"/>
        </w:rPr>
        <w:t xml:space="preserve">U strateškim dokumentima razvoja tržišta kapitala u Republici Hrvatskoj prepoznat je strukturni </w:t>
      </w:r>
      <w:r w:rsidR="00A218CC" w:rsidRPr="000479E9">
        <w:rPr>
          <w:rFonts w:ascii="Times New Roman" w:hAnsi="Times New Roman" w:cs="Times New Roman"/>
          <w:sz w:val="24"/>
          <w:szCs w:val="24"/>
        </w:rPr>
        <w:t>izazov</w:t>
      </w:r>
      <w:r w:rsidRPr="000479E9">
        <w:rPr>
          <w:rFonts w:ascii="Times New Roman" w:hAnsi="Times New Roman" w:cs="Times New Roman"/>
          <w:sz w:val="24"/>
          <w:szCs w:val="24"/>
        </w:rPr>
        <w:t xml:space="preserve"> ograničenog pristupa financiranju za: nacionalna trgovačka društva te jedinice lokalne i područne (regionalne) samouprave, koji proizlazi iz njihove relativno male veličine, nedostatka kreditnog rejtinga i fragmentiranih potreba financiranja. </w:t>
      </w:r>
    </w:p>
    <w:p w14:paraId="7D8D135F" w14:textId="77777777" w:rsidR="00CC07EA" w:rsidRPr="000479E9" w:rsidRDefault="00CC07EA" w:rsidP="00D937B3">
      <w:pPr>
        <w:spacing w:after="0" w:line="240" w:lineRule="auto"/>
        <w:jc w:val="both"/>
        <w:rPr>
          <w:rFonts w:ascii="Times New Roman" w:hAnsi="Times New Roman" w:cs="Times New Roman"/>
          <w:sz w:val="24"/>
          <w:szCs w:val="24"/>
        </w:rPr>
      </w:pPr>
    </w:p>
    <w:p w14:paraId="608FCC61" w14:textId="7A071A68" w:rsidR="00D937B3" w:rsidRPr="000479E9" w:rsidRDefault="00D937B3" w:rsidP="00D937B3">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Kao jedno od mogućih rješenja identificiran je model objedinjavanja potreba financiranja, primjerice putem: </w:t>
      </w:r>
    </w:p>
    <w:p w14:paraId="07A07EB5" w14:textId="57C0F881" w:rsidR="00D937B3" w:rsidRPr="000479E9" w:rsidRDefault="00D937B3" w:rsidP="000C6DC5">
      <w:pPr>
        <w:numPr>
          <w:ilvl w:val="0"/>
          <w:numId w:val="8"/>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jednog središnjeg društva (holding ili posebno namjensko društvo) </w:t>
      </w:r>
    </w:p>
    <w:p w14:paraId="33299496" w14:textId="210A5E4F" w:rsidR="00D937B3" w:rsidRPr="000479E9" w:rsidRDefault="00D937B3" w:rsidP="000C6DC5">
      <w:pPr>
        <w:numPr>
          <w:ilvl w:val="0"/>
          <w:numId w:val="9"/>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koje izdaje vrijednosne papire na tržištu kapitala</w:t>
      </w:r>
    </w:p>
    <w:p w14:paraId="5D36061F" w14:textId="28912FFA" w:rsidR="00D937B3" w:rsidRPr="000479E9" w:rsidRDefault="00D937B3" w:rsidP="000C6DC5">
      <w:pPr>
        <w:numPr>
          <w:ilvl w:val="0"/>
          <w:numId w:val="10"/>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uz državno jamstvo ili drugi oblik institucionalne potpore.</w:t>
      </w:r>
    </w:p>
    <w:p w14:paraId="7C95C5F9" w14:textId="0F3D5939" w:rsidR="00D937B3" w:rsidRPr="000479E9" w:rsidRDefault="00D937B3" w:rsidP="00D937B3">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Time bi se osigurao viši kreditni rejting, povoljniji uvjeti financiranja i pristup tržištu kapitala projektima koji pojedinačno ne bi bili tržišno održivi. </w:t>
      </w:r>
    </w:p>
    <w:p w14:paraId="45771A5D" w14:textId="77777777" w:rsidR="00D937B3" w:rsidRPr="000479E9" w:rsidRDefault="00D937B3" w:rsidP="00D937B3">
      <w:pPr>
        <w:spacing w:after="0" w:line="240" w:lineRule="auto"/>
        <w:jc w:val="both"/>
        <w:rPr>
          <w:rFonts w:ascii="Times New Roman" w:hAnsi="Times New Roman" w:cs="Times New Roman"/>
          <w:sz w:val="24"/>
          <w:szCs w:val="24"/>
        </w:rPr>
      </w:pPr>
    </w:p>
    <w:p w14:paraId="18D8E52F" w14:textId="3F94AB29" w:rsidR="00D937B3" w:rsidRPr="000479E9" w:rsidRDefault="00D937B3" w:rsidP="00D937B3">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U okviru takvog institucionalnog modela financiranja, pitanje kategorizacije jedinica lokalne i područne samouprave postaje regulatorno relevantno, osobito u dijelu: </w:t>
      </w:r>
    </w:p>
    <w:p w14:paraId="53DCFC23" w14:textId="25D0B054" w:rsidR="00D937B3" w:rsidRPr="000479E9" w:rsidRDefault="00D937B3" w:rsidP="000C6DC5">
      <w:pPr>
        <w:numPr>
          <w:ilvl w:val="0"/>
          <w:numId w:val="11"/>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sudjelovanja u strukturiranim tržišnim transakcijama</w:t>
      </w:r>
    </w:p>
    <w:p w14:paraId="5FC1B02B" w14:textId="52093FC3" w:rsidR="00D937B3" w:rsidRPr="000479E9" w:rsidRDefault="00D937B3" w:rsidP="000C6DC5">
      <w:pPr>
        <w:numPr>
          <w:ilvl w:val="0"/>
          <w:numId w:val="12"/>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korištenja složenijih financijskih instrumenata</w:t>
      </w:r>
    </w:p>
    <w:p w14:paraId="24903937" w14:textId="77777777" w:rsidR="00D937B3" w:rsidRPr="000479E9" w:rsidRDefault="00D937B3" w:rsidP="000C6DC5">
      <w:pPr>
        <w:numPr>
          <w:ilvl w:val="0"/>
          <w:numId w:val="13"/>
        </w:num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odnosa s investicijskim društvima u ulozi profesionalnih klijenata. </w:t>
      </w:r>
    </w:p>
    <w:p w14:paraId="06C2EFD3" w14:textId="053B2CCB" w:rsidR="00D937B3" w:rsidRPr="000479E9" w:rsidRDefault="00D937B3" w:rsidP="006E28F1">
      <w:pPr>
        <w:spacing w:after="0" w:line="240" w:lineRule="auto"/>
        <w:jc w:val="both"/>
        <w:rPr>
          <w:rFonts w:ascii="Times New Roman" w:hAnsi="Times New Roman" w:cs="Times New Roman"/>
          <w:b/>
          <w:bCs/>
          <w:sz w:val="24"/>
          <w:szCs w:val="24"/>
        </w:rPr>
      </w:pPr>
    </w:p>
    <w:p w14:paraId="4A321467" w14:textId="4E5C082D" w:rsidR="00D937B3" w:rsidRPr="000479E9" w:rsidRDefault="00D937B3" w:rsidP="006E28F1">
      <w:pPr>
        <w:spacing w:after="0" w:line="240" w:lineRule="auto"/>
        <w:jc w:val="both"/>
        <w:rPr>
          <w:rFonts w:ascii="Times New Roman" w:hAnsi="Times New Roman" w:cs="Times New Roman"/>
          <w:b/>
          <w:bCs/>
          <w:sz w:val="24"/>
          <w:szCs w:val="24"/>
        </w:rPr>
      </w:pPr>
      <w:r w:rsidRPr="000479E9">
        <w:rPr>
          <w:rFonts w:ascii="Times New Roman" w:hAnsi="Times New Roman" w:cs="Times New Roman"/>
          <w:sz w:val="24"/>
          <w:szCs w:val="24"/>
        </w:rPr>
        <w:t xml:space="preserve">Slijedom navedenog, Agenciji se </w:t>
      </w:r>
      <w:r w:rsidR="00A218CC" w:rsidRPr="000479E9">
        <w:rPr>
          <w:rFonts w:ascii="Times New Roman" w:hAnsi="Times New Roman" w:cs="Times New Roman"/>
          <w:sz w:val="24"/>
          <w:szCs w:val="24"/>
        </w:rPr>
        <w:t>daje ovlast da</w:t>
      </w:r>
      <w:r w:rsidRPr="000479E9">
        <w:rPr>
          <w:rFonts w:ascii="Times New Roman" w:hAnsi="Times New Roman" w:cs="Times New Roman"/>
          <w:sz w:val="24"/>
          <w:szCs w:val="24"/>
        </w:rPr>
        <w:t xml:space="preserve"> </w:t>
      </w:r>
      <w:r w:rsidR="00A218CC" w:rsidRPr="000479E9">
        <w:rPr>
          <w:rFonts w:ascii="Times New Roman" w:hAnsi="Times New Roman" w:cs="Times New Roman"/>
          <w:sz w:val="24"/>
          <w:szCs w:val="24"/>
        </w:rPr>
        <w:t xml:space="preserve">pravilnikom </w:t>
      </w:r>
      <w:r w:rsidRPr="000479E9">
        <w:rPr>
          <w:rFonts w:ascii="Times New Roman" w:hAnsi="Times New Roman" w:cs="Times New Roman"/>
          <w:sz w:val="24"/>
          <w:szCs w:val="24"/>
        </w:rPr>
        <w:t xml:space="preserve">propiše relevantne kriterije </w:t>
      </w:r>
      <w:r w:rsidRPr="000479E9">
        <w:rPr>
          <w:rFonts w:ascii="Times New Roman" w:eastAsia="Times New Roman" w:hAnsi="Times New Roman" w:cs="Times New Roman"/>
          <w:sz w:val="24"/>
          <w:szCs w:val="24"/>
          <w:lang w:eastAsia="hr-HR"/>
        </w:rPr>
        <w:t>za stjecanje statusa profesionalnog ulagatelja za</w:t>
      </w:r>
      <w:r w:rsidR="001563B7"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jedinice lokalne ili područne (regionalne) samouprave.</w:t>
      </w:r>
    </w:p>
    <w:p w14:paraId="59686321" w14:textId="77777777" w:rsidR="00D937B3" w:rsidRPr="000479E9" w:rsidRDefault="00D937B3" w:rsidP="006E28F1">
      <w:pPr>
        <w:spacing w:after="0" w:line="240" w:lineRule="auto"/>
        <w:jc w:val="both"/>
        <w:rPr>
          <w:rFonts w:ascii="Times New Roman" w:hAnsi="Times New Roman" w:cs="Times New Roman"/>
          <w:b/>
          <w:bCs/>
          <w:sz w:val="24"/>
          <w:szCs w:val="24"/>
        </w:rPr>
      </w:pPr>
    </w:p>
    <w:p w14:paraId="1A617B01" w14:textId="3BB28A74" w:rsidR="00D937B3" w:rsidRPr="000479E9" w:rsidRDefault="00D937B3" w:rsidP="006E28F1">
      <w:pPr>
        <w:spacing w:after="0" w:line="240" w:lineRule="auto"/>
        <w:jc w:val="both"/>
        <w:rPr>
          <w:rFonts w:ascii="Times New Roman" w:hAnsi="Times New Roman" w:cs="Times New Roman"/>
          <w:b/>
          <w:bCs/>
          <w:sz w:val="24"/>
          <w:szCs w:val="24"/>
        </w:rPr>
      </w:pPr>
      <w:r w:rsidRPr="000479E9">
        <w:rPr>
          <w:rFonts w:ascii="Times New Roman" w:hAnsi="Times New Roman" w:cs="Times New Roman"/>
          <w:b/>
          <w:bCs/>
          <w:sz w:val="24"/>
          <w:szCs w:val="24"/>
        </w:rPr>
        <w:t xml:space="preserve">Uz članak </w:t>
      </w:r>
      <w:r w:rsidR="00834E6E" w:rsidRPr="000479E9">
        <w:rPr>
          <w:rFonts w:ascii="Times New Roman" w:hAnsi="Times New Roman" w:cs="Times New Roman"/>
          <w:b/>
          <w:bCs/>
          <w:sz w:val="24"/>
          <w:szCs w:val="24"/>
        </w:rPr>
        <w:t>19</w:t>
      </w:r>
      <w:r w:rsidRPr="000479E9">
        <w:rPr>
          <w:rFonts w:ascii="Times New Roman" w:hAnsi="Times New Roman" w:cs="Times New Roman"/>
          <w:b/>
          <w:bCs/>
          <w:sz w:val="24"/>
          <w:szCs w:val="24"/>
        </w:rPr>
        <w:t xml:space="preserve">. </w:t>
      </w:r>
    </w:p>
    <w:p w14:paraId="057C169F" w14:textId="61CC5CC7" w:rsidR="00D937B3" w:rsidRPr="000479E9" w:rsidRDefault="00D937B3" w:rsidP="006E28F1">
      <w:pPr>
        <w:spacing w:after="0" w:line="240" w:lineRule="auto"/>
        <w:jc w:val="both"/>
        <w:rPr>
          <w:rFonts w:ascii="Times New Roman" w:eastAsia="Times New Roman" w:hAnsi="Times New Roman" w:cs="Times New Roman"/>
          <w:sz w:val="24"/>
          <w:szCs w:val="24"/>
          <w:lang w:eastAsia="hr-HR"/>
        </w:rPr>
      </w:pPr>
      <w:r w:rsidRPr="000479E9">
        <w:rPr>
          <w:rFonts w:ascii="Times New Roman" w:hAnsi="Times New Roman" w:cs="Times New Roman"/>
          <w:sz w:val="24"/>
          <w:szCs w:val="24"/>
        </w:rPr>
        <w:t>U svrhu regulatornog rasterećenja, najmanjim investicijskim društvima koja ispunjavaju uvjete iz članka</w:t>
      </w:r>
      <w:r w:rsidRPr="000479E9">
        <w:rPr>
          <w:rFonts w:ascii="Times New Roman" w:eastAsia="Times New Roman" w:hAnsi="Times New Roman" w:cs="Times New Roman"/>
          <w:sz w:val="24"/>
          <w:szCs w:val="24"/>
          <w:lang w:eastAsia="hr-HR"/>
        </w:rPr>
        <w:t xml:space="preserve"> 12. stavka 1. Uredbe (EU) br. 2019/2033 smanjuje se </w:t>
      </w:r>
      <w:r w:rsidR="00A218CC" w:rsidRPr="000479E9">
        <w:rPr>
          <w:rFonts w:ascii="Times New Roman" w:eastAsia="Times New Roman" w:hAnsi="Times New Roman" w:cs="Times New Roman"/>
          <w:sz w:val="24"/>
          <w:szCs w:val="24"/>
          <w:lang w:eastAsia="hr-HR"/>
        </w:rPr>
        <w:t>učestalost</w:t>
      </w:r>
      <w:r w:rsidRPr="000479E9">
        <w:rPr>
          <w:rFonts w:ascii="Times New Roman" w:eastAsia="Times New Roman" w:hAnsi="Times New Roman" w:cs="Times New Roman"/>
          <w:sz w:val="24"/>
          <w:szCs w:val="24"/>
          <w:lang w:eastAsia="hr-HR"/>
        </w:rPr>
        <w:t xml:space="preserve"> izrade godišnjih financijskih izvještaja. </w:t>
      </w:r>
    </w:p>
    <w:p w14:paraId="673A3E71" w14:textId="77777777" w:rsidR="00D937B3" w:rsidRPr="000479E9" w:rsidRDefault="00D937B3" w:rsidP="006E28F1">
      <w:pPr>
        <w:spacing w:after="0" w:line="240" w:lineRule="auto"/>
        <w:jc w:val="both"/>
        <w:rPr>
          <w:rFonts w:ascii="Times New Roman" w:hAnsi="Times New Roman" w:cs="Times New Roman"/>
          <w:b/>
          <w:bCs/>
          <w:sz w:val="24"/>
          <w:szCs w:val="24"/>
        </w:rPr>
      </w:pPr>
    </w:p>
    <w:p w14:paraId="6738E604" w14:textId="4B765164" w:rsidR="0011067A" w:rsidRPr="000479E9" w:rsidRDefault="0011067A" w:rsidP="006E28F1">
      <w:pPr>
        <w:spacing w:after="0" w:line="240" w:lineRule="auto"/>
        <w:jc w:val="both"/>
        <w:rPr>
          <w:rFonts w:ascii="Times New Roman" w:hAnsi="Times New Roman" w:cs="Times New Roman"/>
          <w:b/>
          <w:bCs/>
          <w:sz w:val="24"/>
          <w:szCs w:val="24"/>
        </w:rPr>
      </w:pPr>
      <w:r w:rsidRPr="000479E9">
        <w:rPr>
          <w:rFonts w:ascii="Times New Roman" w:hAnsi="Times New Roman" w:cs="Times New Roman"/>
          <w:b/>
          <w:bCs/>
          <w:sz w:val="24"/>
          <w:szCs w:val="24"/>
        </w:rPr>
        <w:t xml:space="preserve">Uz članak </w:t>
      </w:r>
      <w:r w:rsidR="00834E6E" w:rsidRPr="000479E9">
        <w:rPr>
          <w:rFonts w:ascii="Times New Roman" w:hAnsi="Times New Roman" w:cs="Times New Roman"/>
          <w:b/>
          <w:bCs/>
          <w:sz w:val="24"/>
          <w:szCs w:val="24"/>
        </w:rPr>
        <w:t>20</w:t>
      </w:r>
      <w:r w:rsidRPr="000479E9">
        <w:rPr>
          <w:rFonts w:ascii="Times New Roman" w:hAnsi="Times New Roman" w:cs="Times New Roman"/>
          <w:b/>
          <w:bCs/>
          <w:sz w:val="24"/>
          <w:szCs w:val="24"/>
        </w:rPr>
        <w:t>.</w:t>
      </w:r>
    </w:p>
    <w:p w14:paraId="00D5C9A3" w14:textId="10816796" w:rsidR="0011067A" w:rsidRPr="000479E9" w:rsidRDefault="0011067A" w:rsidP="006E28F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U svrhu regulatornog rasterećenja, usklađenja sa važećim Zakonom o reviziji i prevladavajućom praksom u državama članicama, ovim se člankom produljuje rok u kojemu jedan revizor može obavljati zakonsku reviziju u investicijskom društvu s dosadašnjih sedam na deset godina. </w:t>
      </w:r>
    </w:p>
    <w:p w14:paraId="3EA681BD" w14:textId="77777777" w:rsidR="0011067A" w:rsidRPr="000479E9" w:rsidRDefault="0011067A" w:rsidP="006E28F1">
      <w:pPr>
        <w:spacing w:after="0" w:line="240" w:lineRule="auto"/>
        <w:jc w:val="both"/>
        <w:rPr>
          <w:rFonts w:ascii="Times New Roman" w:hAnsi="Times New Roman" w:cs="Times New Roman"/>
          <w:b/>
          <w:bCs/>
          <w:sz w:val="24"/>
          <w:szCs w:val="24"/>
        </w:rPr>
      </w:pPr>
    </w:p>
    <w:p w14:paraId="2EFAF4A8" w14:textId="20362852" w:rsidR="006E28F1" w:rsidRPr="000479E9" w:rsidRDefault="006E28F1" w:rsidP="006E28F1">
      <w:pPr>
        <w:spacing w:after="0" w:line="240" w:lineRule="auto"/>
        <w:jc w:val="both"/>
        <w:rPr>
          <w:rFonts w:ascii="Times New Roman" w:hAnsi="Times New Roman" w:cs="Times New Roman"/>
          <w:b/>
          <w:bCs/>
          <w:sz w:val="24"/>
          <w:szCs w:val="24"/>
        </w:rPr>
      </w:pPr>
      <w:r w:rsidRPr="000479E9">
        <w:rPr>
          <w:rFonts w:ascii="Times New Roman" w:hAnsi="Times New Roman" w:cs="Times New Roman"/>
          <w:b/>
          <w:bCs/>
          <w:sz w:val="24"/>
          <w:szCs w:val="24"/>
        </w:rPr>
        <w:t xml:space="preserve">Uz članak </w:t>
      </w:r>
      <w:r w:rsidR="00834E6E" w:rsidRPr="000479E9">
        <w:rPr>
          <w:rFonts w:ascii="Times New Roman" w:hAnsi="Times New Roman" w:cs="Times New Roman"/>
          <w:b/>
          <w:bCs/>
          <w:sz w:val="24"/>
          <w:szCs w:val="24"/>
        </w:rPr>
        <w:t>21</w:t>
      </w:r>
      <w:r w:rsidRPr="000479E9">
        <w:rPr>
          <w:rFonts w:ascii="Times New Roman" w:hAnsi="Times New Roman" w:cs="Times New Roman"/>
          <w:b/>
          <w:bCs/>
          <w:sz w:val="24"/>
          <w:szCs w:val="24"/>
        </w:rPr>
        <w:t>.</w:t>
      </w:r>
    </w:p>
    <w:p w14:paraId="6C88A8D8" w14:textId="4A8DEECE" w:rsidR="006E28F1" w:rsidRPr="000479E9" w:rsidRDefault="006E28F1" w:rsidP="006E28F1">
      <w:pPr>
        <w:spacing w:after="0" w:line="240" w:lineRule="auto"/>
        <w:jc w:val="both"/>
        <w:rPr>
          <w:rFonts w:ascii="Times New Roman" w:hAnsi="Times New Roman" w:cs="Times New Roman"/>
          <w:b/>
          <w:sz w:val="24"/>
          <w:szCs w:val="24"/>
        </w:rPr>
      </w:pPr>
      <w:r w:rsidRPr="000479E9">
        <w:rPr>
          <w:rFonts w:ascii="Times New Roman" w:hAnsi="Times New Roman" w:cs="Times New Roman"/>
          <w:bCs/>
          <w:sz w:val="24"/>
          <w:szCs w:val="24"/>
        </w:rPr>
        <w:t>Ovim člankom prenose se dopune iz članka 3. stavaka 3. i 4. Direktive (EU) 2024/2994 u članku 167. važećeg Zakona kojom se mijenja Direktiva (EU) 2019/2034 (IFD), a kojima se uvodi obveza izvještavanja o bitnim izvorima i učincima koncentracijskog rizika koji proizlazi iz izloženosti prema središnjim drugim ugovornim stranama te izrade planova i mjerljivih ciljeva za njegovo praćenje i smanjenje</w:t>
      </w:r>
      <w:r w:rsidRPr="000479E9">
        <w:rPr>
          <w:rFonts w:ascii="Times New Roman" w:hAnsi="Times New Roman" w:cs="Times New Roman"/>
          <w:b/>
          <w:sz w:val="24"/>
          <w:szCs w:val="24"/>
        </w:rPr>
        <w:t>.</w:t>
      </w:r>
    </w:p>
    <w:p w14:paraId="5EC8A466" w14:textId="77777777" w:rsidR="006E28F1" w:rsidRPr="000479E9" w:rsidRDefault="006E28F1" w:rsidP="006E28F1">
      <w:pPr>
        <w:spacing w:after="0" w:line="240" w:lineRule="auto"/>
        <w:jc w:val="both"/>
        <w:rPr>
          <w:rFonts w:ascii="Times New Roman" w:hAnsi="Times New Roman" w:cs="Times New Roman"/>
          <w:b/>
          <w:sz w:val="24"/>
          <w:szCs w:val="24"/>
        </w:rPr>
      </w:pPr>
    </w:p>
    <w:p w14:paraId="50863370" w14:textId="58B58770" w:rsidR="006E28F1" w:rsidRPr="000479E9" w:rsidRDefault="006E28F1" w:rsidP="006E28F1">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834E6E" w:rsidRPr="000479E9">
        <w:rPr>
          <w:rFonts w:ascii="Times New Roman" w:hAnsi="Times New Roman" w:cs="Times New Roman"/>
          <w:b/>
          <w:sz w:val="24"/>
          <w:szCs w:val="24"/>
        </w:rPr>
        <w:t>22</w:t>
      </w:r>
      <w:r w:rsidRPr="000479E9">
        <w:rPr>
          <w:rFonts w:ascii="Times New Roman" w:hAnsi="Times New Roman" w:cs="Times New Roman"/>
          <w:b/>
          <w:sz w:val="24"/>
          <w:szCs w:val="24"/>
        </w:rPr>
        <w:t>.</w:t>
      </w:r>
    </w:p>
    <w:p w14:paraId="671F6A52" w14:textId="59DAC766" w:rsidR="006E28F1" w:rsidRPr="000479E9" w:rsidRDefault="006E28F1" w:rsidP="006E28F1">
      <w:pPr>
        <w:spacing w:after="0" w:line="240" w:lineRule="auto"/>
        <w:jc w:val="both"/>
        <w:rPr>
          <w:rFonts w:ascii="Times New Roman" w:hAnsi="Times New Roman" w:cs="Times New Roman"/>
          <w:b/>
          <w:bCs/>
          <w:sz w:val="24"/>
          <w:szCs w:val="24"/>
        </w:rPr>
      </w:pPr>
      <w:r w:rsidRPr="000479E9">
        <w:rPr>
          <w:rFonts w:ascii="Times New Roman" w:hAnsi="Times New Roman" w:cs="Times New Roman"/>
          <w:bCs/>
          <w:sz w:val="24"/>
          <w:szCs w:val="24"/>
        </w:rPr>
        <w:t>Ovim člankom mijenja se članak 19</w:t>
      </w:r>
      <w:r w:rsidR="00EF7953" w:rsidRPr="000479E9">
        <w:rPr>
          <w:rFonts w:ascii="Times New Roman" w:hAnsi="Times New Roman" w:cs="Times New Roman"/>
          <w:bCs/>
          <w:sz w:val="24"/>
          <w:szCs w:val="24"/>
        </w:rPr>
        <w:t>2</w:t>
      </w:r>
      <w:r w:rsidR="00686866" w:rsidRPr="000479E9">
        <w:rPr>
          <w:rFonts w:ascii="Times New Roman" w:hAnsi="Times New Roman" w:cs="Times New Roman"/>
          <w:bCs/>
          <w:sz w:val="24"/>
          <w:szCs w:val="24"/>
        </w:rPr>
        <w:t xml:space="preserve">. </w:t>
      </w:r>
      <w:r w:rsidRPr="000479E9">
        <w:rPr>
          <w:rFonts w:ascii="Times New Roman" w:hAnsi="Times New Roman" w:cs="Times New Roman"/>
          <w:bCs/>
          <w:sz w:val="24"/>
          <w:szCs w:val="24"/>
        </w:rPr>
        <w:t xml:space="preserve">važećeg </w:t>
      </w:r>
      <w:r w:rsidR="00686866" w:rsidRPr="000479E9">
        <w:rPr>
          <w:rFonts w:ascii="Times New Roman" w:hAnsi="Times New Roman" w:cs="Times New Roman"/>
          <w:bCs/>
          <w:sz w:val="24"/>
          <w:szCs w:val="24"/>
        </w:rPr>
        <w:t>Z</w:t>
      </w:r>
      <w:r w:rsidRPr="000479E9">
        <w:rPr>
          <w:rFonts w:ascii="Times New Roman" w:hAnsi="Times New Roman" w:cs="Times New Roman"/>
          <w:bCs/>
          <w:sz w:val="24"/>
          <w:szCs w:val="24"/>
        </w:rPr>
        <w:t>akona na način da se prenosi dopuna iz članka 1. stavka 5. Direktive (EU) 2024/2811 kojom se u članak 69. stavak 2. Direktiv</w:t>
      </w:r>
      <w:r w:rsidR="00E85979" w:rsidRPr="000479E9">
        <w:rPr>
          <w:rFonts w:ascii="Times New Roman" w:hAnsi="Times New Roman" w:cs="Times New Roman"/>
          <w:bCs/>
          <w:sz w:val="24"/>
          <w:szCs w:val="24"/>
        </w:rPr>
        <w:t>e</w:t>
      </w:r>
      <w:r w:rsidRPr="000479E9">
        <w:rPr>
          <w:rFonts w:ascii="Times New Roman" w:hAnsi="Times New Roman" w:cs="Times New Roman"/>
          <w:bCs/>
          <w:sz w:val="24"/>
          <w:szCs w:val="24"/>
        </w:rPr>
        <w:t xml:space="preserve"> 2014/65/EU Europskog parlamenta i Vijeća od 15. svibnja 2014. o tržištu financijskih instrumenata i izmjeni Direktive 2002/92/EZ i Direktive 2011/61/EU (preinaka) (Tekst značajan za EGP) (SL L 173, 12. 6. 2014.) (u daljnjem tekstu: Direktiva 2014/65/EU) dodaje točka (v), kojom se propisuju dodatne mjere kako bi se provjerilo je li investicijsko društvo uspostavilo organizacijske aranžmane kojima se </w:t>
      </w:r>
      <w:r w:rsidRPr="000479E9">
        <w:rPr>
          <w:rFonts w:ascii="Times New Roman" w:hAnsi="Times New Roman" w:cs="Times New Roman"/>
          <w:bCs/>
          <w:sz w:val="24"/>
          <w:szCs w:val="24"/>
        </w:rPr>
        <w:lastRenderedPageBreak/>
        <w:t>osigurava da je istraživanje koje financira izdavatelj, a koje ono priprema ili distribuira, u skladu s EU-ovim kodeksom ponašanja za istraživanja koja financira izdavatelj.</w:t>
      </w:r>
    </w:p>
    <w:p w14:paraId="22924EE3" w14:textId="3B3EC519" w:rsidR="006E28F1" w:rsidRPr="000479E9" w:rsidRDefault="006E28F1" w:rsidP="006E28F1">
      <w:pPr>
        <w:spacing w:after="0" w:line="240" w:lineRule="auto"/>
        <w:jc w:val="both"/>
        <w:rPr>
          <w:rFonts w:ascii="Times New Roman" w:hAnsi="Times New Roman" w:cs="Times New Roman"/>
          <w:bCs/>
          <w:sz w:val="24"/>
          <w:szCs w:val="24"/>
        </w:rPr>
      </w:pPr>
    </w:p>
    <w:p w14:paraId="477037EA" w14:textId="4719AFA0" w:rsidR="006E28F1" w:rsidRPr="000479E9" w:rsidRDefault="006E28F1" w:rsidP="006E28F1">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Također se prenose dopune iz članka 3. stavaka</w:t>
      </w:r>
      <w:r w:rsidR="00834E6E" w:rsidRPr="000479E9">
        <w:rPr>
          <w:rFonts w:ascii="Times New Roman" w:hAnsi="Times New Roman" w:cs="Times New Roman"/>
          <w:bCs/>
          <w:sz w:val="24"/>
          <w:szCs w:val="24"/>
        </w:rPr>
        <w:t xml:space="preserve"> 4. i</w:t>
      </w:r>
      <w:r w:rsidRPr="000479E9">
        <w:rPr>
          <w:rFonts w:ascii="Times New Roman" w:hAnsi="Times New Roman" w:cs="Times New Roman"/>
          <w:bCs/>
          <w:sz w:val="24"/>
          <w:szCs w:val="24"/>
        </w:rPr>
        <w:t xml:space="preserve"> 5. Direktive (EU) 2024/2994 kojom se mijenja Direktiva (EU) 2019/2034 (IFD), kojima se dodatno preciziraju nadzorne ovlasti Agencije u pogledu provjere usklađenosti istraživanja koje financira izdavatelj s EU-ovim kodeksom ponašanja te praćenja upravljanja koncentracijskim rizikom koji proizlazi iz izloženosti investicijskih društava prema središnjim drugim ugovornim stranama.</w:t>
      </w:r>
    </w:p>
    <w:p w14:paraId="6DC654AD" w14:textId="77777777" w:rsidR="00927C1F" w:rsidRPr="000479E9" w:rsidRDefault="00927C1F" w:rsidP="00927C1F">
      <w:pPr>
        <w:spacing w:after="0" w:line="240" w:lineRule="auto"/>
        <w:jc w:val="both"/>
        <w:rPr>
          <w:rFonts w:ascii="Times New Roman" w:hAnsi="Times New Roman" w:cs="Times New Roman"/>
          <w:b/>
          <w:sz w:val="24"/>
          <w:szCs w:val="24"/>
        </w:rPr>
      </w:pPr>
    </w:p>
    <w:p w14:paraId="6CAB644F" w14:textId="48870BCF"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834E6E" w:rsidRPr="000479E9">
        <w:rPr>
          <w:rFonts w:ascii="Times New Roman" w:hAnsi="Times New Roman" w:cs="Times New Roman"/>
          <w:b/>
          <w:sz w:val="24"/>
          <w:szCs w:val="24"/>
        </w:rPr>
        <w:t>23</w:t>
      </w:r>
      <w:r w:rsidRPr="000479E9">
        <w:rPr>
          <w:rFonts w:ascii="Times New Roman" w:hAnsi="Times New Roman" w:cs="Times New Roman"/>
          <w:b/>
          <w:sz w:val="24"/>
          <w:szCs w:val="24"/>
        </w:rPr>
        <w:t xml:space="preserve">. </w:t>
      </w:r>
    </w:p>
    <w:p w14:paraId="19DA779E" w14:textId="77777777" w:rsidR="00927C1F" w:rsidRPr="000479E9" w:rsidRDefault="00927C1F" w:rsidP="00927C1F">
      <w:pPr>
        <w:spacing w:after="0" w:line="240" w:lineRule="auto"/>
        <w:jc w:val="both"/>
        <w:rPr>
          <w:rFonts w:ascii="Times New Roman" w:hAnsi="Times New Roman" w:cs="Times New Roman"/>
          <w:sz w:val="24"/>
          <w:szCs w:val="24"/>
        </w:rPr>
      </w:pPr>
      <w:r w:rsidRPr="000479E9">
        <w:rPr>
          <w:rFonts w:ascii="Times New Roman" w:hAnsi="Times New Roman" w:cs="Times New Roman"/>
          <w:bCs/>
          <w:sz w:val="24"/>
          <w:szCs w:val="24"/>
        </w:rPr>
        <w:t xml:space="preserve">Ovim se člankom prenosi dopuna iz članka 1. stavka 5. </w:t>
      </w:r>
      <w:r w:rsidRPr="000479E9">
        <w:rPr>
          <w:rFonts w:ascii="Times New Roman" w:hAnsi="Times New Roman" w:cs="Times New Roman"/>
          <w:sz w:val="24"/>
          <w:szCs w:val="24"/>
        </w:rPr>
        <w:t>Direktive (EU) 2024/2811 kojom se u članak 69. stavak 2. Direktive 2014/65/EU dodaju točke (w) i (x), a kojim se propisuju nadzorne mjere u slučaju kršenja odredi o distribuciji istraživanja koja financira izdavatelj.</w:t>
      </w:r>
    </w:p>
    <w:p w14:paraId="274E5E9D" w14:textId="77777777" w:rsidR="001E56E2" w:rsidRPr="000479E9" w:rsidRDefault="001E56E2" w:rsidP="00927C1F">
      <w:pPr>
        <w:spacing w:after="0" w:line="240" w:lineRule="auto"/>
        <w:jc w:val="both"/>
        <w:rPr>
          <w:rFonts w:ascii="Times New Roman" w:hAnsi="Times New Roman" w:cs="Times New Roman"/>
          <w:sz w:val="24"/>
          <w:szCs w:val="24"/>
        </w:rPr>
      </w:pPr>
    </w:p>
    <w:p w14:paraId="34785C21" w14:textId="7FDCDCE9" w:rsidR="00415916" w:rsidRPr="000479E9" w:rsidRDefault="00415916" w:rsidP="00415916">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A408B9" w:rsidRPr="000479E9">
        <w:rPr>
          <w:rFonts w:ascii="Times New Roman" w:hAnsi="Times New Roman" w:cs="Times New Roman"/>
          <w:b/>
          <w:sz w:val="24"/>
          <w:szCs w:val="24"/>
        </w:rPr>
        <w:t>2</w:t>
      </w:r>
      <w:r w:rsidR="00834E6E" w:rsidRPr="000479E9">
        <w:rPr>
          <w:rFonts w:ascii="Times New Roman" w:hAnsi="Times New Roman" w:cs="Times New Roman"/>
          <w:b/>
          <w:sz w:val="24"/>
          <w:szCs w:val="24"/>
        </w:rPr>
        <w:t>4</w:t>
      </w:r>
      <w:r w:rsidRPr="000479E9">
        <w:rPr>
          <w:rFonts w:ascii="Times New Roman" w:hAnsi="Times New Roman" w:cs="Times New Roman"/>
          <w:b/>
          <w:sz w:val="24"/>
          <w:szCs w:val="24"/>
        </w:rPr>
        <w:t xml:space="preserve">. </w:t>
      </w:r>
    </w:p>
    <w:p w14:paraId="286AE4F3" w14:textId="5713D93E" w:rsidR="00EF7953" w:rsidRPr="000479E9" w:rsidRDefault="00415916" w:rsidP="00415916">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 xml:space="preserve">Ovim člankom prenosi se dopuna iz članka 3. stavka </w:t>
      </w:r>
      <w:r w:rsidR="00834E6E" w:rsidRPr="000479E9">
        <w:rPr>
          <w:rFonts w:ascii="Times New Roman" w:hAnsi="Times New Roman" w:cs="Times New Roman"/>
          <w:bCs/>
          <w:sz w:val="24"/>
          <w:szCs w:val="24"/>
        </w:rPr>
        <w:t>5. točke b</w:t>
      </w:r>
      <w:r w:rsidRPr="000479E9">
        <w:rPr>
          <w:rFonts w:ascii="Times New Roman" w:hAnsi="Times New Roman" w:cs="Times New Roman"/>
          <w:bCs/>
          <w:sz w:val="24"/>
          <w:szCs w:val="24"/>
        </w:rPr>
        <w:t>. Direktive (EU) 2024/2994 kojom se mijenja Direktiva (EU) 2019/2034 (IFD), a kojom se nadležnom tijelu daje ovlast naložiti investicijskom društvu smanjenje izloženosti prema središnjoj drugoj ugovornoj strani u slučaju prekomjernog koncentracijskog rizika kojom se mijenja članak 205. važećeg Zakona.</w:t>
      </w:r>
    </w:p>
    <w:p w14:paraId="3D5F1596" w14:textId="2F5F1756" w:rsidR="005639EE" w:rsidRPr="000479E9" w:rsidRDefault="005639EE" w:rsidP="00415916">
      <w:pPr>
        <w:spacing w:after="0" w:line="240" w:lineRule="auto"/>
        <w:jc w:val="both"/>
        <w:rPr>
          <w:rFonts w:ascii="Times New Roman" w:hAnsi="Times New Roman" w:cs="Times New Roman"/>
          <w:bCs/>
          <w:sz w:val="24"/>
          <w:szCs w:val="24"/>
        </w:rPr>
      </w:pPr>
    </w:p>
    <w:p w14:paraId="0C22A029" w14:textId="47DFECFD" w:rsidR="00D937B3" w:rsidRPr="000479E9" w:rsidRDefault="00D937B3"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Uz člank</w:t>
      </w:r>
      <w:r w:rsidR="00F00DC7">
        <w:rPr>
          <w:rFonts w:ascii="Times New Roman" w:hAnsi="Times New Roman" w:cs="Times New Roman"/>
          <w:b/>
          <w:sz w:val="24"/>
          <w:szCs w:val="24"/>
        </w:rPr>
        <w:t>e</w:t>
      </w:r>
      <w:r w:rsidRPr="000479E9">
        <w:rPr>
          <w:rFonts w:ascii="Times New Roman" w:hAnsi="Times New Roman" w:cs="Times New Roman"/>
          <w:b/>
          <w:sz w:val="24"/>
          <w:szCs w:val="24"/>
        </w:rPr>
        <w:t xml:space="preserve"> </w:t>
      </w:r>
      <w:r w:rsidR="00A408B9" w:rsidRPr="000479E9">
        <w:rPr>
          <w:rFonts w:ascii="Times New Roman" w:hAnsi="Times New Roman" w:cs="Times New Roman"/>
          <w:b/>
          <w:sz w:val="24"/>
          <w:szCs w:val="24"/>
        </w:rPr>
        <w:t>2</w:t>
      </w:r>
      <w:r w:rsidR="00834E6E" w:rsidRPr="000479E9">
        <w:rPr>
          <w:rFonts w:ascii="Times New Roman" w:hAnsi="Times New Roman" w:cs="Times New Roman"/>
          <w:b/>
          <w:sz w:val="24"/>
          <w:szCs w:val="24"/>
        </w:rPr>
        <w:t>5., 26. i 27</w:t>
      </w:r>
      <w:r w:rsidRPr="000479E9">
        <w:rPr>
          <w:rFonts w:ascii="Times New Roman" w:hAnsi="Times New Roman" w:cs="Times New Roman"/>
          <w:b/>
          <w:sz w:val="24"/>
          <w:szCs w:val="24"/>
        </w:rPr>
        <w:t xml:space="preserve">. </w:t>
      </w:r>
    </w:p>
    <w:p w14:paraId="0450B59D" w14:textId="7ED482E1" w:rsidR="00834E6E" w:rsidRPr="000479E9" w:rsidRDefault="00D937B3" w:rsidP="00834E6E">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Predloženim izmjenama članka 27</w:t>
      </w:r>
      <w:r w:rsidR="00834E6E" w:rsidRPr="000479E9">
        <w:rPr>
          <w:rFonts w:ascii="Times New Roman" w:hAnsi="Times New Roman" w:cs="Times New Roman"/>
          <w:bCs/>
          <w:sz w:val="24"/>
          <w:szCs w:val="24"/>
        </w:rPr>
        <w:t>2., 27</w:t>
      </w:r>
      <w:r w:rsidRPr="000479E9">
        <w:rPr>
          <w:rFonts w:ascii="Times New Roman" w:hAnsi="Times New Roman" w:cs="Times New Roman"/>
          <w:bCs/>
          <w:sz w:val="24"/>
          <w:szCs w:val="24"/>
        </w:rPr>
        <w:t xml:space="preserve">3. </w:t>
      </w:r>
      <w:r w:rsidR="00834E6E" w:rsidRPr="000479E9">
        <w:rPr>
          <w:rFonts w:ascii="Times New Roman" w:hAnsi="Times New Roman" w:cs="Times New Roman"/>
          <w:bCs/>
          <w:sz w:val="24"/>
          <w:szCs w:val="24"/>
        </w:rPr>
        <w:t xml:space="preserve">i 280. </w:t>
      </w:r>
      <w:r w:rsidR="006F5AB7" w:rsidRPr="000479E9">
        <w:rPr>
          <w:rFonts w:ascii="Times New Roman" w:hAnsi="Times New Roman" w:cs="Times New Roman"/>
          <w:bCs/>
          <w:sz w:val="24"/>
          <w:szCs w:val="24"/>
        </w:rPr>
        <w:t xml:space="preserve">važećeg </w:t>
      </w:r>
      <w:r w:rsidRPr="000479E9">
        <w:rPr>
          <w:rFonts w:ascii="Times New Roman" w:hAnsi="Times New Roman" w:cs="Times New Roman"/>
          <w:bCs/>
          <w:sz w:val="24"/>
          <w:szCs w:val="24"/>
        </w:rPr>
        <w:t xml:space="preserve">Zakona, </w:t>
      </w:r>
      <w:r w:rsidR="00BF0B0B" w:rsidRPr="000479E9">
        <w:rPr>
          <w:rFonts w:ascii="Times New Roman" w:hAnsi="Times New Roman" w:cs="Times New Roman"/>
          <w:bCs/>
          <w:sz w:val="24"/>
          <w:szCs w:val="24"/>
        </w:rPr>
        <w:t>unaprjeđuje</w:t>
      </w:r>
      <w:r w:rsidR="00834E6E" w:rsidRPr="000479E9">
        <w:rPr>
          <w:rFonts w:ascii="Times New Roman" w:hAnsi="Times New Roman" w:cs="Times New Roman"/>
          <w:bCs/>
          <w:sz w:val="24"/>
          <w:szCs w:val="24"/>
        </w:rPr>
        <w:t xml:space="preserve"> se model financiranja Fonda za zaštitu ulagatelja radi postizanja primjerenije ravnoteže između potrebe osiguranja dostatnih sredstava za zaštitu ulagatelja i razmjernog financijskog opterećenja članova Fonda.</w:t>
      </w:r>
    </w:p>
    <w:p w14:paraId="27540242" w14:textId="77777777" w:rsidR="00834E6E" w:rsidRPr="000479E9" w:rsidRDefault="00834E6E" w:rsidP="00834E6E">
      <w:pPr>
        <w:spacing w:after="0" w:line="240" w:lineRule="auto"/>
        <w:jc w:val="both"/>
        <w:rPr>
          <w:rFonts w:ascii="Times New Roman" w:hAnsi="Times New Roman" w:cs="Times New Roman"/>
          <w:bCs/>
          <w:sz w:val="24"/>
          <w:szCs w:val="24"/>
        </w:rPr>
      </w:pPr>
    </w:p>
    <w:p w14:paraId="5CE7569F" w14:textId="77777777" w:rsidR="00834E6E" w:rsidRPr="000479E9" w:rsidRDefault="00834E6E" w:rsidP="00834E6E">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Uređuju se inicijalni, redoviti i dodatni doprinosi te se jasnije razgraničava redovito financiranje Fonda od dodatnog financiranja koje se aktivira u slučaju potrebe obnove sredstava Fonda. Redoviti doprinosi uplaćuju se do dosezanja ciljane razine sredstava Fonda, nakon čega prestaje obveza njihova plaćanja. Dodatni doprinosi služe osiguranju dostatnosti sredstava u slučaju nastupa osiguranog slučaja odnosno u drugim zakonom propisanim okolnostima u kojima sredstva Fonda padnu ispod minimalne razine.</w:t>
      </w:r>
    </w:p>
    <w:p w14:paraId="31F2F7E4" w14:textId="77777777" w:rsidR="00834E6E" w:rsidRPr="000479E9" w:rsidRDefault="00834E6E" w:rsidP="00834E6E">
      <w:pPr>
        <w:spacing w:after="0" w:line="240" w:lineRule="auto"/>
        <w:jc w:val="both"/>
        <w:rPr>
          <w:rFonts w:ascii="Times New Roman" w:hAnsi="Times New Roman" w:cs="Times New Roman"/>
          <w:bCs/>
          <w:sz w:val="24"/>
          <w:szCs w:val="24"/>
        </w:rPr>
      </w:pPr>
    </w:p>
    <w:p w14:paraId="511CAF68" w14:textId="4132378D" w:rsidR="00834E6E" w:rsidRPr="000479E9" w:rsidRDefault="00834E6E" w:rsidP="00834E6E">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Ciljana i minimalna razina sredstava Fonda te način njihova utvrđivanja detaljnije će se urediti pravilnikom Agencije. Pri njihovu određivanju omogućuje se uzimanje u obzir vrijednosti zaštićenih tražbina, strukture i koncentracije tržišta, obilježja članova Fonda te drugih okolnosti relevantnih za primjerenu razinu zaštite ulagatelja. Na taj se način omogućuje prilagodba modela razvoju tržišta i promjenama njegove strukture, uz istodobno izbjegavanje nepotrebnog akumuliranja sredstava Fonda iznad razine opravdane njegovom svrhom.</w:t>
      </w:r>
    </w:p>
    <w:p w14:paraId="548210DB" w14:textId="77777777" w:rsidR="00834E6E" w:rsidRPr="000479E9" w:rsidRDefault="00834E6E" w:rsidP="00834E6E">
      <w:pPr>
        <w:spacing w:after="0" w:line="240" w:lineRule="auto"/>
        <w:jc w:val="both"/>
        <w:rPr>
          <w:rFonts w:ascii="Times New Roman" w:hAnsi="Times New Roman" w:cs="Times New Roman"/>
          <w:bCs/>
          <w:sz w:val="24"/>
          <w:szCs w:val="24"/>
        </w:rPr>
      </w:pPr>
    </w:p>
    <w:p w14:paraId="1CCD86DD" w14:textId="77777777" w:rsidR="00834E6E" w:rsidRPr="000479E9" w:rsidRDefault="00834E6E" w:rsidP="00834E6E">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lastRenderedPageBreak/>
        <w:t>Također se mijenja pristup utvrđivanju i raspodjeli doprinosa članova Fonda. Vrijednost zaštićenih tražbina ostaje važan pokazatelj izloženosti sustava zaštite ulagatelja, ali se omogućuje uzimanje u obzir i drugih relevantnih kriterija, uključujući prihode članova Fonda, broj klijenata, profil rizika te opseg i vrstu investicijskih usluga i aktivnosti. Detaljan način obračuna i raspodjele doprinosa utvrdit će se pravilnikom, čime se omogućuje primjena modela koji će na primjeren način odražavati strukturu tržišta, različite poslovne modele članova i rizike relevantne za Fond.</w:t>
      </w:r>
    </w:p>
    <w:p w14:paraId="13BB95F1" w14:textId="77777777" w:rsidR="00834E6E" w:rsidRPr="000479E9" w:rsidRDefault="00834E6E" w:rsidP="00834E6E">
      <w:pPr>
        <w:spacing w:after="0" w:line="240" w:lineRule="auto"/>
        <w:jc w:val="both"/>
        <w:rPr>
          <w:rFonts w:ascii="Times New Roman" w:hAnsi="Times New Roman" w:cs="Times New Roman"/>
          <w:bCs/>
          <w:sz w:val="24"/>
          <w:szCs w:val="24"/>
        </w:rPr>
      </w:pPr>
    </w:p>
    <w:p w14:paraId="1E74073C" w14:textId="77777777" w:rsidR="00834E6E" w:rsidRPr="000479E9" w:rsidRDefault="00834E6E" w:rsidP="00834E6E">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Cilj predloženog uređenja je uspostaviti održiv i proporcionalan sustav financiranja koji osigurava odgovarajuću razinu sredstava za zaštitu ulagatelja, ali istodobno sprječava da rast tržišta ili promjena pojedinog pokazatelja sami po sebi dovode do nerazmjernog financijskog opterećenja članova Fonda.</w:t>
      </w:r>
    </w:p>
    <w:p w14:paraId="3D07B9A6" w14:textId="77777777" w:rsidR="00F36857" w:rsidRPr="000479E9" w:rsidRDefault="00F36857" w:rsidP="00834E6E">
      <w:pPr>
        <w:spacing w:after="0" w:line="240" w:lineRule="auto"/>
        <w:jc w:val="both"/>
        <w:rPr>
          <w:rFonts w:ascii="Times New Roman" w:hAnsi="Times New Roman" w:cs="Times New Roman"/>
          <w:b/>
          <w:sz w:val="24"/>
          <w:szCs w:val="24"/>
        </w:rPr>
      </w:pPr>
    </w:p>
    <w:p w14:paraId="343F0717" w14:textId="49BEB26D" w:rsidR="00D937B3" w:rsidRPr="000479E9" w:rsidRDefault="00F36857"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A408B9" w:rsidRPr="000479E9">
        <w:rPr>
          <w:rFonts w:ascii="Times New Roman" w:hAnsi="Times New Roman" w:cs="Times New Roman"/>
          <w:b/>
          <w:sz w:val="24"/>
          <w:szCs w:val="24"/>
        </w:rPr>
        <w:t>2</w:t>
      </w:r>
      <w:r w:rsidR="00BF0B0B" w:rsidRPr="000479E9">
        <w:rPr>
          <w:rFonts w:ascii="Times New Roman" w:hAnsi="Times New Roman" w:cs="Times New Roman"/>
          <w:b/>
          <w:sz w:val="24"/>
          <w:szCs w:val="24"/>
        </w:rPr>
        <w:t>8</w:t>
      </w:r>
      <w:r w:rsidRPr="000479E9">
        <w:rPr>
          <w:rFonts w:ascii="Times New Roman" w:hAnsi="Times New Roman" w:cs="Times New Roman"/>
          <w:b/>
          <w:sz w:val="24"/>
          <w:szCs w:val="24"/>
        </w:rPr>
        <w:t xml:space="preserve">. </w:t>
      </w:r>
    </w:p>
    <w:p w14:paraId="16619FD7" w14:textId="348DA6B8" w:rsidR="00F36857" w:rsidRPr="000479E9" w:rsidRDefault="00F36857" w:rsidP="4FBC8A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U svrhu </w:t>
      </w:r>
      <w:r w:rsidR="64566D38" w:rsidRPr="000479E9">
        <w:rPr>
          <w:rFonts w:ascii="Times New Roman" w:hAnsi="Times New Roman" w:cs="Times New Roman"/>
          <w:sz w:val="24"/>
          <w:szCs w:val="24"/>
        </w:rPr>
        <w:t xml:space="preserve">ubrzanja postupka uvođenja nove </w:t>
      </w:r>
      <w:r w:rsidR="00C52658" w:rsidRPr="000479E9">
        <w:rPr>
          <w:rFonts w:ascii="Times New Roman" w:hAnsi="Times New Roman" w:cs="Times New Roman"/>
          <w:sz w:val="24"/>
          <w:szCs w:val="24"/>
        </w:rPr>
        <w:t>djelatnosti</w:t>
      </w:r>
      <w:r w:rsidRPr="000479E9">
        <w:rPr>
          <w:rFonts w:ascii="Times New Roman" w:hAnsi="Times New Roman" w:cs="Times New Roman"/>
          <w:sz w:val="24"/>
          <w:szCs w:val="24"/>
        </w:rPr>
        <w:t xml:space="preserve"> burze, predlaže se jasnije zakonsko uređenje ovlasti Agencije vezano za druge djelatnosti koje burza obavlja, uz obvezu samoprocjene Burze.</w:t>
      </w:r>
    </w:p>
    <w:p w14:paraId="18E9321A" w14:textId="4533D833" w:rsidR="00F36857" w:rsidRPr="000479E9" w:rsidRDefault="00F36857" w:rsidP="00927C1F">
      <w:pPr>
        <w:spacing w:after="0" w:line="240" w:lineRule="auto"/>
        <w:jc w:val="both"/>
        <w:rPr>
          <w:rFonts w:ascii="Times New Roman" w:hAnsi="Times New Roman" w:cs="Times New Roman"/>
          <w:b/>
          <w:sz w:val="24"/>
          <w:szCs w:val="24"/>
        </w:rPr>
      </w:pPr>
    </w:p>
    <w:p w14:paraId="70FA04AD" w14:textId="33CFEDBE" w:rsidR="00F36857" w:rsidRPr="000479E9" w:rsidRDefault="534FFADB" w:rsidP="2B3481CE">
      <w:pPr>
        <w:spacing w:after="0" w:line="240" w:lineRule="auto"/>
        <w:jc w:val="both"/>
        <w:rPr>
          <w:rFonts w:ascii="Times New Roman" w:hAnsi="Times New Roman" w:cs="Times New Roman"/>
          <w:b/>
          <w:bCs/>
          <w:sz w:val="24"/>
          <w:szCs w:val="24"/>
        </w:rPr>
      </w:pPr>
      <w:r w:rsidRPr="000479E9">
        <w:rPr>
          <w:rFonts w:ascii="Times New Roman" w:hAnsi="Times New Roman" w:cs="Times New Roman"/>
          <w:b/>
          <w:bCs/>
          <w:sz w:val="24"/>
          <w:szCs w:val="24"/>
        </w:rPr>
        <w:t xml:space="preserve">Uz </w:t>
      </w:r>
      <w:r w:rsidR="20A3E2FC" w:rsidRPr="000479E9">
        <w:rPr>
          <w:rFonts w:ascii="Times New Roman" w:hAnsi="Times New Roman" w:cs="Times New Roman"/>
          <w:b/>
          <w:bCs/>
          <w:sz w:val="24"/>
          <w:szCs w:val="24"/>
        </w:rPr>
        <w:t>č</w:t>
      </w:r>
      <w:r w:rsidR="00F36857" w:rsidRPr="000479E9">
        <w:rPr>
          <w:rFonts w:ascii="Times New Roman" w:hAnsi="Times New Roman" w:cs="Times New Roman"/>
          <w:b/>
          <w:bCs/>
          <w:sz w:val="24"/>
          <w:szCs w:val="24"/>
        </w:rPr>
        <w:t xml:space="preserve">lanak </w:t>
      </w:r>
      <w:r w:rsidR="00766C05" w:rsidRPr="000479E9">
        <w:rPr>
          <w:rFonts w:ascii="Times New Roman" w:hAnsi="Times New Roman" w:cs="Times New Roman"/>
          <w:b/>
          <w:bCs/>
          <w:sz w:val="24"/>
          <w:szCs w:val="24"/>
        </w:rPr>
        <w:t>2</w:t>
      </w:r>
      <w:r w:rsidR="00BF0B0B" w:rsidRPr="000479E9">
        <w:rPr>
          <w:rFonts w:ascii="Times New Roman" w:hAnsi="Times New Roman" w:cs="Times New Roman"/>
          <w:b/>
          <w:bCs/>
          <w:sz w:val="24"/>
          <w:szCs w:val="24"/>
        </w:rPr>
        <w:t>9</w:t>
      </w:r>
      <w:r w:rsidR="00F36857" w:rsidRPr="000479E9">
        <w:rPr>
          <w:rFonts w:ascii="Times New Roman" w:hAnsi="Times New Roman" w:cs="Times New Roman"/>
          <w:b/>
          <w:bCs/>
          <w:sz w:val="24"/>
          <w:szCs w:val="24"/>
        </w:rPr>
        <w:t>.</w:t>
      </w:r>
    </w:p>
    <w:p w14:paraId="172FAACB" w14:textId="2AE8BA64" w:rsidR="0009291D" w:rsidRPr="000479E9" w:rsidRDefault="0009291D" w:rsidP="0009291D">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 xml:space="preserve">Radi veće proporcionalnosti i pravne sigurnosti, precizira se opseg ex ante regulatornog nadzora nad odlukama burze. Obveza pribavljanja prethodne suglasnosti Agencije ograničava se na taksativno određene slučajeve, i to na statusne promjene koje mogu utjecati na kontinuitet urednog funkcioniranja uređenog tržišta, učinkovitost regulatornog nadzora ili financijsku stabilnost burze te na osnivanje podružnice burze izvan Republike Hrvatske. Statusnim promjenama obuhvaćenima obvezom prethodne suglasnosti </w:t>
      </w:r>
      <w:r w:rsidR="00D275F2" w:rsidRPr="000479E9">
        <w:rPr>
          <w:rFonts w:ascii="Times New Roman" w:hAnsi="Times New Roman" w:cs="Times New Roman"/>
          <w:bCs/>
          <w:sz w:val="24"/>
          <w:szCs w:val="24"/>
        </w:rPr>
        <w:t xml:space="preserve">Agencije </w:t>
      </w:r>
      <w:r w:rsidRPr="000479E9">
        <w:rPr>
          <w:rFonts w:ascii="Times New Roman" w:hAnsi="Times New Roman" w:cs="Times New Roman"/>
          <w:bCs/>
          <w:sz w:val="24"/>
          <w:szCs w:val="24"/>
        </w:rPr>
        <w:t>smatraju se pripajanje, spajanje ili podjela burze, preoblikovanje burze, uključujući prekogranično preoblikovanje te prijenos odobrenja za rad uređenog tržišta na drugu pravnu osobu.</w:t>
      </w:r>
    </w:p>
    <w:p w14:paraId="1AB7E74B" w14:textId="77777777" w:rsidR="0009291D" w:rsidRPr="000479E9" w:rsidRDefault="0009291D" w:rsidP="0009291D">
      <w:pPr>
        <w:spacing w:after="0" w:line="240" w:lineRule="auto"/>
        <w:jc w:val="both"/>
        <w:rPr>
          <w:rFonts w:ascii="Times New Roman" w:hAnsi="Times New Roman" w:cs="Times New Roman"/>
          <w:bCs/>
          <w:sz w:val="24"/>
          <w:szCs w:val="24"/>
        </w:rPr>
      </w:pPr>
    </w:p>
    <w:p w14:paraId="1C30EEE8" w14:textId="2742A955" w:rsidR="0009291D" w:rsidRPr="000479E9" w:rsidRDefault="0009291D" w:rsidP="0009291D">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Istodobno se precizira</w:t>
      </w:r>
      <w:r w:rsidR="002C5D0A" w:rsidRPr="000479E9">
        <w:rPr>
          <w:rFonts w:ascii="Times New Roman" w:hAnsi="Times New Roman" w:cs="Times New Roman"/>
          <w:bCs/>
          <w:sz w:val="24"/>
          <w:szCs w:val="24"/>
        </w:rPr>
        <w:t>ju i jasnije određuju slučajevi u kojima je burza dužna prethodno obavijestiti Agenciju</w:t>
      </w:r>
      <w:r w:rsidRPr="000479E9">
        <w:rPr>
          <w:rFonts w:ascii="Times New Roman" w:hAnsi="Times New Roman" w:cs="Times New Roman"/>
          <w:bCs/>
          <w:sz w:val="24"/>
          <w:szCs w:val="24"/>
        </w:rPr>
        <w:t xml:space="preserve">. </w:t>
      </w:r>
      <w:r w:rsidR="002C5D0A" w:rsidRPr="000479E9">
        <w:rPr>
          <w:rFonts w:ascii="Times New Roman" w:hAnsi="Times New Roman" w:cs="Times New Roman"/>
          <w:bCs/>
          <w:sz w:val="24"/>
          <w:szCs w:val="24"/>
        </w:rPr>
        <w:t>Uvodi</w:t>
      </w:r>
      <w:r w:rsidRPr="000479E9">
        <w:rPr>
          <w:rFonts w:ascii="Times New Roman" w:hAnsi="Times New Roman" w:cs="Times New Roman"/>
          <w:bCs/>
          <w:sz w:val="24"/>
          <w:szCs w:val="24"/>
        </w:rPr>
        <w:t xml:space="preserve"> se konkretan i objektivno mj</w:t>
      </w:r>
      <w:r w:rsidR="00D275F2" w:rsidRPr="000479E9">
        <w:rPr>
          <w:rFonts w:ascii="Times New Roman" w:hAnsi="Times New Roman" w:cs="Times New Roman"/>
          <w:bCs/>
          <w:sz w:val="24"/>
          <w:szCs w:val="24"/>
        </w:rPr>
        <w:t>erljiv kriterij prema kojem je b</w:t>
      </w:r>
      <w:r w:rsidRPr="000479E9">
        <w:rPr>
          <w:rFonts w:ascii="Times New Roman" w:hAnsi="Times New Roman" w:cs="Times New Roman"/>
          <w:bCs/>
          <w:sz w:val="24"/>
          <w:szCs w:val="24"/>
        </w:rPr>
        <w:t>urza dužna prethodno obavijestiti Agenciju o izravnom ili neizravnom stjecanju udjela kojim stječe 25 % ili više u drugoj pravnoj osobi.</w:t>
      </w:r>
    </w:p>
    <w:p w14:paraId="1C49F8C6" w14:textId="77777777" w:rsidR="0009291D" w:rsidRPr="000479E9" w:rsidRDefault="0009291D" w:rsidP="0009291D">
      <w:pPr>
        <w:spacing w:after="0" w:line="240" w:lineRule="auto"/>
        <w:jc w:val="both"/>
        <w:rPr>
          <w:rFonts w:ascii="Times New Roman" w:hAnsi="Times New Roman" w:cs="Times New Roman"/>
          <w:bCs/>
          <w:sz w:val="24"/>
          <w:szCs w:val="24"/>
        </w:rPr>
      </w:pPr>
    </w:p>
    <w:p w14:paraId="5CD98A23" w14:textId="77777777" w:rsidR="0009291D" w:rsidRPr="000479E9" w:rsidRDefault="0009291D" w:rsidP="0009291D">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Nadalje, propisuje se rok od 30 dana od zaprimanja obavijesti u kojem Agencija može reagirati te joj se daje ovlast da naloži ograničenja, korektivne mjere ili zabrani provedbu odluke ako na temelju objektivnih i dokazivih razloga ocijeni da bi odluka mogla dovesti u pitanje uvjete za odobrenje burze ili uredno funkcioniranje uređenog tržišta.</w:t>
      </w:r>
    </w:p>
    <w:p w14:paraId="20954220" w14:textId="77777777" w:rsidR="0009291D" w:rsidRPr="000479E9" w:rsidRDefault="0009291D" w:rsidP="0009291D">
      <w:pPr>
        <w:spacing w:after="0" w:line="240" w:lineRule="auto"/>
        <w:jc w:val="both"/>
        <w:rPr>
          <w:rFonts w:ascii="Times New Roman" w:hAnsi="Times New Roman" w:cs="Times New Roman"/>
          <w:bCs/>
          <w:sz w:val="24"/>
          <w:szCs w:val="24"/>
        </w:rPr>
      </w:pPr>
    </w:p>
    <w:p w14:paraId="6AF77A56" w14:textId="71CB1744" w:rsidR="00C02345" w:rsidRPr="000479E9" w:rsidRDefault="00C02345" w:rsidP="0009291D">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Na taj se način osigurava proporcionalan i učinkovit regulatorni nadzor, uz istodobno ograničavanj</w:t>
      </w:r>
      <w:r w:rsidR="00D275F2" w:rsidRPr="000479E9">
        <w:rPr>
          <w:rFonts w:ascii="Times New Roman" w:hAnsi="Times New Roman" w:cs="Times New Roman"/>
          <w:bCs/>
          <w:sz w:val="24"/>
          <w:szCs w:val="24"/>
        </w:rPr>
        <w:t>e administrativnog opterećenja b</w:t>
      </w:r>
      <w:r w:rsidRPr="000479E9">
        <w:rPr>
          <w:rFonts w:ascii="Times New Roman" w:hAnsi="Times New Roman" w:cs="Times New Roman"/>
          <w:bCs/>
          <w:sz w:val="24"/>
          <w:szCs w:val="24"/>
        </w:rPr>
        <w:t>urze na jasno određene i opravdane slučajeve.</w:t>
      </w:r>
    </w:p>
    <w:p w14:paraId="7ECDBF34" w14:textId="77777777" w:rsidR="0009291D" w:rsidRPr="000479E9" w:rsidRDefault="0009291D" w:rsidP="00927C1F">
      <w:pPr>
        <w:spacing w:after="0" w:line="240" w:lineRule="auto"/>
        <w:jc w:val="both"/>
        <w:rPr>
          <w:rFonts w:ascii="Times New Roman" w:hAnsi="Times New Roman" w:cs="Times New Roman"/>
          <w:bCs/>
          <w:sz w:val="24"/>
          <w:szCs w:val="24"/>
        </w:rPr>
      </w:pPr>
    </w:p>
    <w:p w14:paraId="079E7E3D" w14:textId="0F7B8957" w:rsidR="0011067A" w:rsidRPr="000479E9" w:rsidRDefault="0011067A"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BF0B0B" w:rsidRPr="000479E9">
        <w:rPr>
          <w:rFonts w:ascii="Times New Roman" w:hAnsi="Times New Roman" w:cs="Times New Roman"/>
          <w:b/>
          <w:sz w:val="24"/>
          <w:szCs w:val="24"/>
        </w:rPr>
        <w:t>30</w:t>
      </w:r>
      <w:r w:rsidRPr="000479E9">
        <w:rPr>
          <w:rFonts w:ascii="Times New Roman" w:hAnsi="Times New Roman" w:cs="Times New Roman"/>
          <w:b/>
          <w:sz w:val="24"/>
          <w:szCs w:val="24"/>
        </w:rPr>
        <w:t>.</w:t>
      </w:r>
    </w:p>
    <w:p w14:paraId="20F0E85C" w14:textId="5CEFB782" w:rsidR="0011067A" w:rsidRPr="000479E9" w:rsidRDefault="0011067A" w:rsidP="0011067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 xml:space="preserve">U svrhu regulatornog rasterećenja, usklađenja sa važećim Zakonom o reviziji i prevladavajućom praksom u državama članicama, ovim se člankom produljuje rok u kojemu jedan revizor može obavljati zakonsku reviziju burze s dosadašnjih sedam na deset godina. </w:t>
      </w:r>
    </w:p>
    <w:p w14:paraId="7CDB5476" w14:textId="77777777" w:rsidR="0011067A" w:rsidRPr="000479E9" w:rsidRDefault="0011067A" w:rsidP="00927C1F">
      <w:pPr>
        <w:spacing w:after="0" w:line="240" w:lineRule="auto"/>
        <w:jc w:val="both"/>
        <w:rPr>
          <w:rFonts w:ascii="Times New Roman" w:hAnsi="Times New Roman" w:cs="Times New Roman"/>
          <w:b/>
          <w:sz w:val="24"/>
          <w:szCs w:val="24"/>
        </w:rPr>
      </w:pPr>
    </w:p>
    <w:p w14:paraId="3DAB8AAD" w14:textId="595BC8A2"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BF0B0B" w:rsidRPr="000479E9">
        <w:rPr>
          <w:rFonts w:ascii="Times New Roman" w:hAnsi="Times New Roman" w:cs="Times New Roman"/>
          <w:b/>
          <w:sz w:val="24"/>
          <w:szCs w:val="24"/>
        </w:rPr>
        <w:t>31</w:t>
      </w:r>
      <w:r w:rsidRPr="000479E9">
        <w:rPr>
          <w:rFonts w:ascii="Times New Roman" w:hAnsi="Times New Roman" w:cs="Times New Roman"/>
          <w:b/>
          <w:sz w:val="24"/>
          <w:szCs w:val="24"/>
        </w:rPr>
        <w:t>.</w:t>
      </w:r>
    </w:p>
    <w:p w14:paraId="78F3E397" w14:textId="43889D32" w:rsidR="00927C1F" w:rsidRPr="000479E9" w:rsidRDefault="00927C1F"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sz w:val="24"/>
          <w:szCs w:val="24"/>
        </w:rPr>
        <w:t>Izmjenama članka 299. stavka 9. važećeg Zakona uklanja se</w:t>
      </w:r>
      <w:r w:rsidRPr="000479E9">
        <w:rPr>
          <w:rFonts w:ascii="Times New Roman" w:hAnsi="Times New Roman" w:cs="Times New Roman"/>
          <w:bCs/>
          <w:sz w:val="24"/>
          <w:szCs w:val="24"/>
        </w:rPr>
        <w:t xml:space="preserve"> pravna osnova za donošenje pravilnika kojim se reguliraju uvjeti za uspostavu sustava za prekid trgovanja i objave privremenog zaustavljanja trgovanja, a obzirom da se isti propisuju regulatornim tehničkim standardima Europske komisije.</w:t>
      </w:r>
    </w:p>
    <w:p w14:paraId="3F6F0267" w14:textId="77777777" w:rsidR="00927C1F" w:rsidRPr="000479E9" w:rsidRDefault="00927C1F" w:rsidP="00927C1F">
      <w:pPr>
        <w:spacing w:after="0" w:line="240" w:lineRule="auto"/>
        <w:jc w:val="both"/>
        <w:rPr>
          <w:rFonts w:ascii="Times New Roman" w:hAnsi="Times New Roman" w:cs="Times New Roman"/>
          <w:b/>
          <w:sz w:val="24"/>
          <w:szCs w:val="24"/>
        </w:rPr>
      </w:pPr>
    </w:p>
    <w:p w14:paraId="2713C491" w14:textId="22A82B99" w:rsidR="00B23440" w:rsidRPr="000479E9" w:rsidRDefault="00B23440"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BF0B0B" w:rsidRPr="000479E9">
        <w:rPr>
          <w:rFonts w:ascii="Times New Roman" w:hAnsi="Times New Roman" w:cs="Times New Roman"/>
          <w:b/>
          <w:sz w:val="24"/>
          <w:szCs w:val="24"/>
        </w:rPr>
        <w:t>32</w:t>
      </w:r>
      <w:r w:rsidRPr="000479E9">
        <w:rPr>
          <w:rFonts w:ascii="Times New Roman" w:hAnsi="Times New Roman" w:cs="Times New Roman"/>
          <w:b/>
          <w:sz w:val="24"/>
          <w:szCs w:val="24"/>
        </w:rPr>
        <w:t xml:space="preserve">. </w:t>
      </w:r>
    </w:p>
    <w:p w14:paraId="435B7D0C" w14:textId="77777777" w:rsidR="00BF0B0B" w:rsidRPr="000479E9" w:rsidRDefault="00B23440"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 xml:space="preserve">Ovim </w:t>
      </w:r>
      <w:r w:rsidR="00AF4059" w:rsidRPr="000479E9">
        <w:rPr>
          <w:rFonts w:ascii="Times New Roman" w:hAnsi="Times New Roman" w:cs="Times New Roman"/>
          <w:bCs/>
          <w:sz w:val="24"/>
          <w:szCs w:val="24"/>
        </w:rPr>
        <w:t xml:space="preserve">člankom </w:t>
      </w:r>
      <w:r w:rsidRPr="000479E9">
        <w:rPr>
          <w:rFonts w:ascii="Times New Roman" w:hAnsi="Times New Roman" w:cs="Times New Roman"/>
          <w:bCs/>
          <w:sz w:val="24"/>
          <w:szCs w:val="24"/>
        </w:rPr>
        <w:t>mijenja se</w:t>
      </w:r>
      <w:r w:rsidRPr="000479E9">
        <w:rPr>
          <w:rFonts w:ascii="Times New Roman" w:hAnsi="Times New Roman" w:cs="Times New Roman"/>
          <w:b/>
          <w:sz w:val="24"/>
          <w:szCs w:val="24"/>
        </w:rPr>
        <w:t xml:space="preserve"> </w:t>
      </w:r>
      <w:r w:rsidRPr="000479E9">
        <w:rPr>
          <w:rFonts w:ascii="Times New Roman" w:hAnsi="Times New Roman" w:cs="Times New Roman"/>
          <w:bCs/>
          <w:sz w:val="24"/>
          <w:szCs w:val="24"/>
        </w:rPr>
        <w:t>važeće zakonsko rješenje p</w:t>
      </w:r>
      <w:r w:rsidR="006F5AB7" w:rsidRPr="000479E9">
        <w:rPr>
          <w:rFonts w:ascii="Times New Roman" w:hAnsi="Times New Roman" w:cs="Times New Roman"/>
          <w:bCs/>
          <w:sz w:val="24"/>
          <w:szCs w:val="24"/>
        </w:rPr>
        <w:t>rema</w:t>
      </w:r>
      <w:r w:rsidRPr="000479E9">
        <w:rPr>
          <w:rFonts w:ascii="Times New Roman" w:hAnsi="Times New Roman" w:cs="Times New Roman"/>
          <w:bCs/>
          <w:sz w:val="24"/>
          <w:szCs w:val="24"/>
        </w:rPr>
        <w:t xml:space="preserve"> kojemu Agencija odobrava pravila uređenog tržišta. Navedeno je prepoznato kao prekomjerni regulatorni zahtjev koji, zajedno s obveznim javnim savjetovanjem u trajanju od 30 dana </w:t>
      </w:r>
      <w:r w:rsidR="004429EE" w:rsidRPr="000479E9">
        <w:rPr>
          <w:rFonts w:ascii="Times New Roman" w:hAnsi="Times New Roman" w:cs="Times New Roman"/>
          <w:bCs/>
          <w:sz w:val="24"/>
          <w:szCs w:val="24"/>
        </w:rPr>
        <w:t xml:space="preserve">može smanjiti operativnu fleksibilnost burze u prilagodbi tržišnih pravila; radi toga se predlaže skraćivanje roka obveznog savjetovanja na 15 dana te umjesto podnošenja pravila na prethodnu suglasnost, prethodnu dostavu prijedloga </w:t>
      </w:r>
      <w:r w:rsidR="02013361" w:rsidRPr="000479E9">
        <w:rPr>
          <w:rFonts w:ascii="Times New Roman" w:hAnsi="Times New Roman" w:cs="Times New Roman"/>
          <w:sz w:val="24"/>
          <w:szCs w:val="24"/>
        </w:rPr>
        <w:t xml:space="preserve">pravila </w:t>
      </w:r>
      <w:r w:rsidR="004429EE" w:rsidRPr="000479E9">
        <w:rPr>
          <w:rFonts w:ascii="Times New Roman" w:hAnsi="Times New Roman" w:cs="Times New Roman"/>
          <w:bCs/>
          <w:sz w:val="24"/>
          <w:szCs w:val="24"/>
        </w:rPr>
        <w:t xml:space="preserve">Agenciji. </w:t>
      </w:r>
    </w:p>
    <w:p w14:paraId="2353FEDC" w14:textId="77777777" w:rsidR="00BF0B0B" w:rsidRPr="000479E9" w:rsidRDefault="00BF0B0B" w:rsidP="00927C1F">
      <w:pPr>
        <w:spacing w:after="0" w:line="240" w:lineRule="auto"/>
        <w:jc w:val="both"/>
        <w:rPr>
          <w:rFonts w:ascii="Times New Roman" w:hAnsi="Times New Roman" w:cs="Times New Roman"/>
          <w:bCs/>
          <w:sz w:val="24"/>
          <w:szCs w:val="24"/>
        </w:rPr>
      </w:pPr>
    </w:p>
    <w:p w14:paraId="2D624291" w14:textId="289D5291" w:rsidR="00BF0B0B" w:rsidRPr="000479E9" w:rsidRDefault="00BF0B0B" w:rsidP="00BF0B0B">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Predloženim izmjenama napušta se postojeći model prethodnog odobravanja pravila burze od strane Agencije te se odgovornost za donošenje i sadržaj pravila u većoj mjeri prenosi na burzu kao tržišnog operatera, uz zadržavanje nadzornih ovlasti Agencije propisanih Zakonom.</w:t>
      </w:r>
    </w:p>
    <w:p w14:paraId="2DA08AEC" w14:textId="77777777" w:rsidR="00BF0B0B" w:rsidRPr="000479E9" w:rsidRDefault="00BF0B0B" w:rsidP="00BF0B0B">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S obzirom na ukidanje prethodnog odobravanja pravila od strane Agencije, mijenja se i postupak koji prethodi njihovu donošenju. Umjesto dosadašnje obveze provođenja javnog savjetovanja, propisuje se obveza burze da prijedlog pravila, kao i njihovih izmjena i dopuna, učini dostupnim svim članovima burze i Agenciji najkasnije 15 dana prije njihova usvajanja. Na taj se način članovima burze, kao osobama na koje se pravila neposredno primjenjuju i koje sudjeluju u trgovanju na uređenom tržištu, omogućuje pravodobno upoznavanje s predloženim pravilima i njihovim izmjenama, dok se Agenciji omogućuje pravodobno sagledavanje njihova sadržaja radi obavljanja poslova iz njezine nadležnosti.</w:t>
      </w:r>
    </w:p>
    <w:p w14:paraId="02FE4157" w14:textId="0E97B25B" w:rsidR="00BF0B0B" w:rsidRPr="000479E9" w:rsidRDefault="00BF0B0B" w:rsidP="00BF0B0B">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Pravila burze donosi burza u svojstvu tržišnog operatera radi uređenja organizacije i funkcioniranja uređenog tržišta, uključujući uvjete članstva, trgovanja i druga pitanja povezana s funkcioniranjem uređenog tržišta. Navedena pravila n</w:t>
      </w:r>
      <w:r w:rsidR="008B41AC" w:rsidRPr="000479E9">
        <w:rPr>
          <w:rFonts w:ascii="Times New Roman" w:hAnsi="Times New Roman" w:cs="Times New Roman"/>
          <w:bCs/>
          <w:sz w:val="24"/>
          <w:szCs w:val="24"/>
        </w:rPr>
        <w:t>e predstavljaju</w:t>
      </w:r>
      <w:r w:rsidRPr="000479E9">
        <w:rPr>
          <w:rFonts w:ascii="Times New Roman" w:hAnsi="Times New Roman" w:cs="Times New Roman"/>
          <w:bCs/>
          <w:sz w:val="24"/>
          <w:szCs w:val="24"/>
        </w:rPr>
        <w:t xml:space="preserve"> zakon</w:t>
      </w:r>
      <w:r w:rsidR="008B41AC" w:rsidRPr="000479E9">
        <w:rPr>
          <w:rFonts w:ascii="Times New Roman" w:hAnsi="Times New Roman" w:cs="Times New Roman"/>
          <w:bCs/>
          <w:sz w:val="24"/>
          <w:szCs w:val="24"/>
        </w:rPr>
        <w:t>ski akt</w:t>
      </w:r>
      <w:r w:rsidRPr="000479E9">
        <w:rPr>
          <w:rFonts w:ascii="Times New Roman" w:hAnsi="Times New Roman" w:cs="Times New Roman"/>
          <w:bCs/>
          <w:sz w:val="24"/>
          <w:szCs w:val="24"/>
        </w:rPr>
        <w:t>, podzakonski propis niti opći akt koji donosi tijelo javne vlasti u izvršavanju javnih ovlasti, slijedom čega se na postupak njihova donošenja ne primjenjuje postupak savjetovanja s javnošću propisan općim zakonodavnim okvirom kojim se uređuje savjetovanje s javnošću.</w:t>
      </w:r>
    </w:p>
    <w:p w14:paraId="6F1D47E9" w14:textId="77777777" w:rsidR="00BF0B0B" w:rsidRPr="000479E9" w:rsidRDefault="00BF0B0B" w:rsidP="00BF0B0B">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Dosadašnja obveza burze da prije podnošenja zahtjeva Agenciji za odobrenje pravila provede javno savjetovanje bila je posebna obveza propisana Zakonom o tržištu kapitala u okviru postojećeg modela prethodnog odobravanja pravila burze. Budući da se predloženim izmjenama taj model napušta, umjesto javnog savjetovanja uvodi se prethodno stavljanje prijedloga pravila na raspolaganje članovima burze i Agenciji, čime se postupak donošenja pravila prilagođava novom regulatornom modelu.</w:t>
      </w:r>
    </w:p>
    <w:p w14:paraId="7E93444D" w14:textId="0AA627DD" w:rsidR="00B23440" w:rsidRPr="000479E9" w:rsidRDefault="00B23440" w:rsidP="00927C1F">
      <w:pPr>
        <w:spacing w:after="0" w:line="240" w:lineRule="auto"/>
        <w:jc w:val="both"/>
        <w:rPr>
          <w:rFonts w:ascii="Times New Roman" w:hAnsi="Times New Roman" w:cs="Times New Roman"/>
          <w:bCs/>
          <w:sz w:val="24"/>
          <w:szCs w:val="24"/>
        </w:rPr>
      </w:pPr>
    </w:p>
    <w:p w14:paraId="20BC0EA6" w14:textId="3675512E"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Uz članak </w:t>
      </w:r>
      <w:r w:rsidR="000F5420" w:rsidRPr="000479E9">
        <w:rPr>
          <w:rFonts w:ascii="Times New Roman" w:hAnsi="Times New Roman" w:cs="Times New Roman"/>
          <w:b/>
          <w:sz w:val="24"/>
          <w:szCs w:val="24"/>
        </w:rPr>
        <w:t>33</w:t>
      </w:r>
      <w:r w:rsidRPr="000479E9">
        <w:rPr>
          <w:rFonts w:ascii="Times New Roman" w:hAnsi="Times New Roman" w:cs="Times New Roman"/>
          <w:b/>
          <w:sz w:val="24"/>
          <w:szCs w:val="24"/>
        </w:rPr>
        <w:t>.</w:t>
      </w:r>
    </w:p>
    <w:p w14:paraId="698AB8FD" w14:textId="7D4B2269" w:rsidR="00927C1F" w:rsidRPr="000479E9" w:rsidRDefault="00927C1F" w:rsidP="00927C1F">
      <w:pPr>
        <w:spacing w:after="0" w:line="240" w:lineRule="auto"/>
        <w:jc w:val="both"/>
        <w:rPr>
          <w:rFonts w:ascii="Times New Roman" w:hAnsi="Times New Roman" w:cs="Times New Roman"/>
          <w:bCs/>
          <w:sz w:val="24"/>
          <w:szCs w:val="24"/>
        </w:rPr>
      </w:pPr>
      <w:r w:rsidRPr="000479E9">
        <w:rPr>
          <w:rFonts w:ascii="Times New Roman" w:hAnsi="Times New Roman" w:cs="Times New Roman"/>
          <w:bCs/>
          <w:sz w:val="24"/>
          <w:szCs w:val="24"/>
        </w:rPr>
        <w:t xml:space="preserve">Izmjenama članka 306. važećeg Zakona jasnije se uređuje pitanje naknada za usluge uređenog tržišta. </w:t>
      </w:r>
    </w:p>
    <w:p w14:paraId="1AB3EC6A" w14:textId="77777777" w:rsidR="00395A00" w:rsidRPr="000479E9" w:rsidRDefault="00395A00" w:rsidP="00927C1F">
      <w:pPr>
        <w:spacing w:after="0" w:line="240" w:lineRule="auto"/>
        <w:jc w:val="both"/>
        <w:rPr>
          <w:rFonts w:ascii="Times New Roman" w:hAnsi="Times New Roman" w:cs="Times New Roman"/>
          <w:bCs/>
          <w:sz w:val="24"/>
          <w:szCs w:val="24"/>
        </w:rPr>
      </w:pPr>
    </w:p>
    <w:p w14:paraId="191A7AB6" w14:textId="2A4995FA" w:rsidR="00927C1F" w:rsidRPr="000479E9" w:rsidRDefault="00927C1F" w:rsidP="00927C1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Uz člank</w:t>
      </w:r>
      <w:r w:rsidR="00B0795A" w:rsidRPr="000479E9">
        <w:rPr>
          <w:rFonts w:ascii="Times New Roman" w:hAnsi="Times New Roman" w:cs="Times New Roman"/>
          <w:b/>
          <w:sz w:val="24"/>
          <w:szCs w:val="24"/>
        </w:rPr>
        <w:t>e</w:t>
      </w:r>
      <w:r w:rsidRPr="000479E9">
        <w:rPr>
          <w:rFonts w:ascii="Times New Roman" w:hAnsi="Times New Roman" w:cs="Times New Roman"/>
          <w:b/>
          <w:sz w:val="24"/>
          <w:szCs w:val="24"/>
        </w:rPr>
        <w:t xml:space="preserve"> </w:t>
      </w:r>
      <w:r w:rsidR="000F5420" w:rsidRPr="000479E9">
        <w:rPr>
          <w:rFonts w:ascii="Times New Roman" w:hAnsi="Times New Roman" w:cs="Times New Roman"/>
          <w:b/>
          <w:sz w:val="24"/>
          <w:szCs w:val="24"/>
        </w:rPr>
        <w:t>34</w:t>
      </w:r>
      <w:r w:rsidRPr="000479E9">
        <w:rPr>
          <w:rFonts w:ascii="Times New Roman" w:hAnsi="Times New Roman" w:cs="Times New Roman"/>
          <w:b/>
          <w:sz w:val="24"/>
          <w:szCs w:val="24"/>
        </w:rPr>
        <w:t xml:space="preserve">. do </w:t>
      </w:r>
      <w:r w:rsidR="0011067A" w:rsidRPr="000479E9">
        <w:rPr>
          <w:rFonts w:ascii="Times New Roman" w:hAnsi="Times New Roman" w:cs="Times New Roman"/>
          <w:b/>
          <w:sz w:val="24"/>
          <w:szCs w:val="24"/>
        </w:rPr>
        <w:t>4</w:t>
      </w:r>
      <w:r w:rsidR="000F5420" w:rsidRPr="000479E9">
        <w:rPr>
          <w:rFonts w:ascii="Times New Roman" w:hAnsi="Times New Roman" w:cs="Times New Roman"/>
          <w:b/>
          <w:sz w:val="24"/>
          <w:szCs w:val="24"/>
        </w:rPr>
        <w:t>4</w:t>
      </w:r>
      <w:r w:rsidRPr="000479E9">
        <w:rPr>
          <w:rFonts w:ascii="Times New Roman" w:hAnsi="Times New Roman" w:cs="Times New Roman"/>
          <w:b/>
          <w:sz w:val="24"/>
          <w:szCs w:val="24"/>
        </w:rPr>
        <w:t>.</w:t>
      </w:r>
    </w:p>
    <w:p w14:paraId="27E265AB" w14:textId="749374E2" w:rsidR="00927C1F" w:rsidRPr="000479E9" w:rsidRDefault="00927C1F" w:rsidP="00927C1F">
      <w:pPr>
        <w:spacing w:after="0" w:line="240" w:lineRule="auto"/>
        <w:jc w:val="both"/>
        <w:rPr>
          <w:rFonts w:ascii="Times New Roman" w:hAnsi="Times New Roman" w:cs="Times New Roman"/>
          <w:sz w:val="24"/>
          <w:szCs w:val="24"/>
        </w:rPr>
      </w:pPr>
      <w:r w:rsidRPr="000479E9">
        <w:rPr>
          <w:rFonts w:ascii="Times New Roman" w:hAnsi="Times New Roman" w:cs="Times New Roman"/>
          <w:bCs/>
          <w:sz w:val="24"/>
          <w:szCs w:val="24"/>
        </w:rPr>
        <w:t xml:space="preserve">Obzirom da </w:t>
      </w:r>
      <w:bookmarkStart w:id="7" w:name="_Hlk222500074"/>
      <w:r w:rsidRPr="000479E9">
        <w:rPr>
          <w:rFonts w:ascii="Times New Roman" w:hAnsi="Times New Roman" w:cs="Times New Roman"/>
          <w:bCs/>
          <w:sz w:val="24"/>
          <w:szCs w:val="24"/>
        </w:rPr>
        <w:t>Direktiva</w:t>
      </w:r>
      <w:r w:rsidRPr="000479E9">
        <w:rPr>
          <w:rFonts w:ascii="Times New Roman" w:hAnsi="Times New Roman" w:cs="Times New Roman"/>
          <w:b/>
          <w:sz w:val="24"/>
          <w:szCs w:val="24"/>
        </w:rPr>
        <w:t xml:space="preserve"> </w:t>
      </w:r>
      <w:r w:rsidRPr="000479E9">
        <w:rPr>
          <w:rFonts w:ascii="Times New Roman" w:hAnsi="Times New Roman" w:cs="Times New Roman"/>
          <w:sz w:val="24"/>
          <w:szCs w:val="24"/>
        </w:rPr>
        <w:t xml:space="preserve">(EU) 2024/2811 </w:t>
      </w:r>
      <w:bookmarkEnd w:id="7"/>
      <w:r w:rsidRPr="000479E9">
        <w:rPr>
          <w:rFonts w:ascii="Times New Roman" w:hAnsi="Times New Roman" w:cs="Times New Roman"/>
          <w:sz w:val="24"/>
          <w:szCs w:val="24"/>
        </w:rPr>
        <w:t>stavlja van snage Direktivu 2001/34/EZ Europskog parlamenta i Vijeća od 28. svibnja 2001. o uvrštenju vrijednosnih papira u službenu kotaciju burze te o informacijama koje treba objaviti o tim vrijednosnim papirima (SL L 184, 6. 7. 2001</w:t>
      </w:r>
      <w:r w:rsidR="00EF7953" w:rsidRPr="000479E9">
        <w:rPr>
          <w:rFonts w:ascii="Times New Roman" w:hAnsi="Times New Roman" w:cs="Times New Roman"/>
          <w:sz w:val="24"/>
          <w:szCs w:val="24"/>
        </w:rPr>
        <w:t>.</w:t>
      </w:r>
      <w:r w:rsidRPr="000479E9">
        <w:rPr>
          <w:rFonts w:ascii="Times New Roman" w:hAnsi="Times New Roman" w:cs="Times New Roman"/>
          <w:sz w:val="24"/>
          <w:szCs w:val="24"/>
        </w:rPr>
        <w:t>) kojom je bilo propisano uvrštenje vrijednosnih papira u službenu kotaciju te informacije koje treba objavljivati o tim vrijednosnim papirima, u važećem je Zakonu potrebno je ukinuti odredbe o službenom tržištu, kao i obveznim kotacijama na burzi. Izmjenama, dopunama i brisanjem važećih članaka 320. do 338. važećeg Zakona, postiže se usklađivanje s brisanjem zahtjeva iz Direktive 2001/34/EZ</w:t>
      </w:r>
      <w:r w:rsidR="005349D6" w:rsidRPr="000479E9">
        <w:rPr>
          <w:rFonts w:ascii="Times New Roman" w:hAnsi="Times New Roman" w:cs="Times New Roman"/>
          <w:sz w:val="24"/>
          <w:szCs w:val="24"/>
        </w:rPr>
        <w:t>. Direktivom (EU) 2024/</w:t>
      </w:r>
      <w:r w:rsidR="00E45883" w:rsidRPr="000479E9">
        <w:rPr>
          <w:rFonts w:ascii="Times New Roman" w:hAnsi="Times New Roman" w:cs="Times New Roman"/>
          <w:sz w:val="24"/>
          <w:szCs w:val="24"/>
        </w:rPr>
        <w:t>2811</w:t>
      </w:r>
      <w:r w:rsidR="005349D6" w:rsidRPr="000479E9">
        <w:rPr>
          <w:rFonts w:ascii="Times New Roman" w:hAnsi="Times New Roman" w:cs="Times New Roman"/>
          <w:sz w:val="24"/>
          <w:szCs w:val="24"/>
        </w:rPr>
        <w:t xml:space="preserve"> su propisani uvjeti za uvrštenje dionica na uređeno tržište, koji su manje zahtjevni od uvjeta koji su bili propisani za službeno tržište. Za adresate odnosno dionička društva koja namjeravaju uvrstiti dionice u trgovanje na uređenom tržištu navedeno predstavlja rasterećenje, s tim da burza pravilima može propisati segmente sa strožim uvjetima. </w:t>
      </w:r>
      <w:r w:rsidRPr="000479E9">
        <w:rPr>
          <w:rFonts w:ascii="Times New Roman" w:hAnsi="Times New Roman" w:cs="Times New Roman"/>
          <w:sz w:val="24"/>
          <w:szCs w:val="24"/>
        </w:rPr>
        <w:t>Dodatno, izmjenama članka 328. važećeg Zakona prenose se odredbe članka 1. stavka 4. Direktive (EU) 2024/2811, kojima se posebno uređuju uvjeti za uvrštenje dionica na uređeno tržište.</w:t>
      </w:r>
      <w:r w:rsidR="0021039D" w:rsidRPr="000479E9">
        <w:t xml:space="preserve"> </w:t>
      </w:r>
      <w:r w:rsidR="0021039D" w:rsidRPr="000479E9">
        <w:rPr>
          <w:rFonts w:ascii="Times New Roman" w:hAnsi="Times New Roman" w:cs="Times New Roman"/>
          <w:sz w:val="24"/>
          <w:szCs w:val="24"/>
        </w:rPr>
        <w:t>S obzirom da se ukidaju obvezne kotacije, a Burza je dužna svoje poslovanje uskladiti s ovim odredbama u zakonom predviđenom roku, vrijednosni papiri trenutno uvršteni na ukinute obvezne kotacije ostaju uvršteni na uređenom tržištu, obzirom da se uvjeti zakonom nisu postrožili, stoga zakonske izmjene ne utječu negativno na njihova prava i obveze.</w:t>
      </w:r>
    </w:p>
    <w:p w14:paraId="33632AE3" w14:textId="77777777" w:rsidR="00927C1F" w:rsidRPr="000479E9" w:rsidRDefault="00927C1F" w:rsidP="00927C1F">
      <w:pPr>
        <w:spacing w:after="0" w:line="240" w:lineRule="auto"/>
        <w:jc w:val="both"/>
        <w:rPr>
          <w:rFonts w:ascii="Times New Roman" w:hAnsi="Times New Roman" w:cs="Times New Roman"/>
          <w:sz w:val="24"/>
          <w:szCs w:val="24"/>
        </w:rPr>
      </w:pPr>
    </w:p>
    <w:p w14:paraId="1221429E" w14:textId="640B7015" w:rsidR="004429EE" w:rsidRPr="000479E9" w:rsidRDefault="004429EE"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4</w:t>
      </w:r>
      <w:r w:rsidR="000F5420" w:rsidRPr="000479E9">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 xml:space="preserve">. </w:t>
      </w:r>
    </w:p>
    <w:p w14:paraId="53E45FDD" w14:textId="4666A761" w:rsidR="00CE4D90" w:rsidRPr="000479E9" w:rsidRDefault="004429EE" w:rsidP="00CE4D9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U svrhu uklanjanja prekomjerne regulacije, a obzirom da članak 339. </w:t>
      </w:r>
      <w:r w:rsidR="00C52658" w:rsidRPr="000479E9">
        <w:rPr>
          <w:rFonts w:ascii="Times New Roman" w:eastAsia="Times New Roman" w:hAnsi="Times New Roman" w:cs="Times New Roman"/>
          <w:bCs/>
          <w:sz w:val="24"/>
          <w:szCs w:val="24"/>
          <w:lang w:eastAsia="hr-HR"/>
        </w:rPr>
        <w:t>važećeg Zakona</w:t>
      </w:r>
      <w:r w:rsidRPr="000479E9">
        <w:rPr>
          <w:rFonts w:ascii="Times New Roman" w:eastAsia="Times New Roman" w:hAnsi="Times New Roman" w:cs="Times New Roman"/>
          <w:bCs/>
          <w:sz w:val="24"/>
          <w:szCs w:val="24"/>
          <w:lang w:eastAsia="hr-HR"/>
        </w:rPr>
        <w:t xml:space="preserve"> propisuje dodatne obveze izdavatelja prema burzi, mimo zahtjeva </w:t>
      </w:r>
      <w:r w:rsidR="006F5AB7" w:rsidRPr="000479E9">
        <w:rPr>
          <w:rFonts w:ascii="Times New Roman" w:eastAsia="Times New Roman" w:hAnsi="Times New Roman" w:cs="Times New Roman"/>
          <w:bCs/>
          <w:sz w:val="24"/>
          <w:szCs w:val="24"/>
          <w:lang w:eastAsia="hr-HR"/>
        </w:rPr>
        <w:t>pravne stečevine Europske unije</w:t>
      </w:r>
      <w:r w:rsidRPr="000479E9">
        <w:rPr>
          <w:rFonts w:ascii="Times New Roman" w:eastAsia="Times New Roman" w:hAnsi="Times New Roman" w:cs="Times New Roman"/>
          <w:bCs/>
          <w:sz w:val="24"/>
          <w:szCs w:val="24"/>
          <w:lang w:eastAsia="hr-HR"/>
        </w:rPr>
        <w:t xml:space="preserve">, potrebno je ukloniti prekomjerne zakonske obveze koje propisuju obvezu uvrštenja, dostavu i objavu podataka povrh onih koja se zahtjeva </w:t>
      </w:r>
      <w:r w:rsidR="006F5AB7" w:rsidRPr="000479E9">
        <w:rPr>
          <w:rFonts w:ascii="Times New Roman" w:eastAsia="Times New Roman" w:hAnsi="Times New Roman" w:cs="Times New Roman"/>
          <w:bCs/>
          <w:sz w:val="24"/>
          <w:szCs w:val="24"/>
          <w:lang w:eastAsia="hr-HR"/>
        </w:rPr>
        <w:t>pravnom stečevinom Europske unije</w:t>
      </w:r>
      <w:r w:rsidRPr="000479E9">
        <w:rPr>
          <w:rFonts w:ascii="Times New Roman" w:eastAsia="Times New Roman" w:hAnsi="Times New Roman" w:cs="Times New Roman"/>
          <w:bCs/>
          <w:sz w:val="24"/>
          <w:szCs w:val="24"/>
          <w:lang w:eastAsia="hr-HR"/>
        </w:rPr>
        <w:t xml:space="preserve">. </w:t>
      </w:r>
      <w:r w:rsidR="00CE4D90" w:rsidRPr="000479E9">
        <w:rPr>
          <w:rFonts w:ascii="Times New Roman" w:eastAsia="Times New Roman" w:hAnsi="Times New Roman" w:cs="Times New Roman"/>
          <w:bCs/>
          <w:sz w:val="24"/>
          <w:szCs w:val="24"/>
          <w:lang w:eastAsia="hr-HR"/>
        </w:rPr>
        <w:t xml:space="preserve">Slijedom navedenog, predlaže se izmjena članka 339. </w:t>
      </w:r>
      <w:r w:rsidR="007154A2" w:rsidRPr="000479E9">
        <w:rPr>
          <w:rFonts w:ascii="Times New Roman" w:eastAsia="Times New Roman" w:hAnsi="Times New Roman" w:cs="Times New Roman"/>
          <w:bCs/>
          <w:sz w:val="24"/>
          <w:szCs w:val="24"/>
          <w:lang w:eastAsia="hr-HR"/>
        </w:rPr>
        <w:t xml:space="preserve">važećeg Zakona </w:t>
      </w:r>
      <w:r w:rsidR="00CE4D90" w:rsidRPr="000479E9">
        <w:rPr>
          <w:rFonts w:ascii="Times New Roman" w:eastAsia="Times New Roman" w:hAnsi="Times New Roman" w:cs="Times New Roman"/>
          <w:bCs/>
          <w:sz w:val="24"/>
          <w:szCs w:val="24"/>
          <w:lang w:eastAsia="hr-HR"/>
        </w:rPr>
        <w:t>na način da isti postaj</w:t>
      </w:r>
      <w:r w:rsidR="00E208A7" w:rsidRPr="000479E9">
        <w:rPr>
          <w:rFonts w:ascii="Times New Roman" w:eastAsia="Times New Roman" w:hAnsi="Times New Roman" w:cs="Times New Roman"/>
          <w:bCs/>
          <w:sz w:val="24"/>
          <w:szCs w:val="24"/>
          <w:lang w:eastAsia="hr-HR"/>
        </w:rPr>
        <w:t>e</w:t>
      </w:r>
      <w:r w:rsidR="00CE4D90" w:rsidRPr="000479E9">
        <w:rPr>
          <w:rFonts w:ascii="Times New Roman" w:eastAsia="Times New Roman" w:hAnsi="Times New Roman" w:cs="Times New Roman"/>
          <w:bCs/>
          <w:sz w:val="24"/>
          <w:szCs w:val="24"/>
          <w:lang w:eastAsia="hr-HR"/>
        </w:rPr>
        <w:t xml:space="preserve"> učinkovit mehanizam tržišne transparentnosti</w:t>
      </w:r>
      <w:r w:rsidR="006F5AB7" w:rsidRPr="000479E9">
        <w:rPr>
          <w:rFonts w:ascii="Times New Roman" w:eastAsia="Times New Roman" w:hAnsi="Times New Roman" w:cs="Times New Roman"/>
          <w:bCs/>
          <w:sz w:val="24"/>
          <w:szCs w:val="24"/>
          <w:lang w:eastAsia="hr-HR"/>
        </w:rPr>
        <w:t>, odnosno</w:t>
      </w:r>
      <w:r w:rsidR="00CE4D90" w:rsidRPr="000479E9">
        <w:rPr>
          <w:rFonts w:ascii="Times New Roman" w:eastAsia="Times New Roman" w:hAnsi="Times New Roman" w:cs="Times New Roman"/>
          <w:bCs/>
          <w:sz w:val="24"/>
          <w:szCs w:val="24"/>
          <w:lang w:eastAsia="hr-HR"/>
        </w:rPr>
        <w:t xml:space="preserve"> propisuju se samo minimalne informacijske obveze koje proizlaze iz prava </w:t>
      </w:r>
      <w:r w:rsidR="007154A2" w:rsidRPr="000479E9">
        <w:rPr>
          <w:rFonts w:ascii="Times New Roman" w:eastAsia="Times New Roman" w:hAnsi="Times New Roman" w:cs="Times New Roman"/>
          <w:bCs/>
          <w:sz w:val="24"/>
          <w:szCs w:val="24"/>
          <w:lang w:eastAsia="hr-HR"/>
        </w:rPr>
        <w:t>Europske u</w:t>
      </w:r>
      <w:r w:rsidR="00CE4D90" w:rsidRPr="000479E9">
        <w:rPr>
          <w:rFonts w:ascii="Times New Roman" w:eastAsia="Times New Roman" w:hAnsi="Times New Roman" w:cs="Times New Roman"/>
          <w:bCs/>
          <w:sz w:val="24"/>
          <w:szCs w:val="24"/>
          <w:lang w:eastAsia="hr-HR"/>
        </w:rPr>
        <w:t xml:space="preserve">nije, a burza može pravilima urediti dodatne obveze isključivo na ugovornoj osnovi. </w:t>
      </w:r>
    </w:p>
    <w:p w14:paraId="65457781" w14:textId="00488856" w:rsidR="004429EE" w:rsidRPr="000479E9" w:rsidRDefault="004429EE" w:rsidP="00927C1F">
      <w:pPr>
        <w:spacing w:after="0" w:line="240" w:lineRule="auto"/>
        <w:jc w:val="both"/>
        <w:rPr>
          <w:rFonts w:ascii="Times New Roman" w:eastAsia="Times New Roman" w:hAnsi="Times New Roman" w:cs="Times New Roman"/>
          <w:b/>
          <w:sz w:val="24"/>
          <w:szCs w:val="24"/>
          <w:lang w:eastAsia="hr-HR"/>
        </w:rPr>
      </w:pPr>
    </w:p>
    <w:p w14:paraId="79A2FE31" w14:textId="25D7D4C9" w:rsidR="00CE4D90" w:rsidRPr="000479E9" w:rsidRDefault="48055B28" w:rsidP="2B3481CE">
      <w:pPr>
        <w:spacing w:after="0" w:line="240" w:lineRule="auto"/>
        <w:jc w:val="both"/>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Uz </w:t>
      </w:r>
      <w:r w:rsidR="76D8F11E" w:rsidRPr="000479E9">
        <w:rPr>
          <w:rFonts w:ascii="Times New Roman" w:eastAsia="Times New Roman" w:hAnsi="Times New Roman" w:cs="Times New Roman"/>
          <w:b/>
          <w:bCs/>
          <w:sz w:val="24"/>
          <w:szCs w:val="24"/>
          <w:lang w:eastAsia="hr-HR"/>
        </w:rPr>
        <w:t>č</w:t>
      </w:r>
      <w:r w:rsidR="00CE4D90" w:rsidRPr="000479E9">
        <w:rPr>
          <w:rFonts w:ascii="Times New Roman" w:eastAsia="Times New Roman" w:hAnsi="Times New Roman" w:cs="Times New Roman"/>
          <w:b/>
          <w:bCs/>
          <w:sz w:val="24"/>
          <w:szCs w:val="24"/>
          <w:lang w:eastAsia="hr-HR"/>
        </w:rPr>
        <w:t xml:space="preserve">lanak </w:t>
      </w:r>
      <w:r w:rsidR="00766C05" w:rsidRPr="000479E9">
        <w:rPr>
          <w:rFonts w:ascii="Times New Roman" w:eastAsia="Times New Roman" w:hAnsi="Times New Roman" w:cs="Times New Roman"/>
          <w:b/>
          <w:bCs/>
          <w:sz w:val="24"/>
          <w:szCs w:val="24"/>
          <w:lang w:eastAsia="hr-HR"/>
        </w:rPr>
        <w:t>4</w:t>
      </w:r>
      <w:r w:rsidR="000F5420" w:rsidRPr="000479E9">
        <w:rPr>
          <w:rFonts w:ascii="Times New Roman" w:eastAsia="Times New Roman" w:hAnsi="Times New Roman" w:cs="Times New Roman"/>
          <w:b/>
          <w:bCs/>
          <w:sz w:val="24"/>
          <w:szCs w:val="24"/>
          <w:lang w:eastAsia="hr-HR"/>
        </w:rPr>
        <w:t>6</w:t>
      </w:r>
      <w:r w:rsidR="00CE4D90" w:rsidRPr="000479E9">
        <w:rPr>
          <w:rFonts w:ascii="Times New Roman" w:eastAsia="Times New Roman" w:hAnsi="Times New Roman" w:cs="Times New Roman"/>
          <w:b/>
          <w:bCs/>
          <w:sz w:val="24"/>
          <w:szCs w:val="24"/>
          <w:lang w:eastAsia="hr-HR"/>
        </w:rPr>
        <w:t>.</w:t>
      </w:r>
    </w:p>
    <w:p w14:paraId="77A4647B" w14:textId="5A31B3A1" w:rsidR="00CE4D90" w:rsidRPr="000479E9" w:rsidRDefault="00CE4D90" w:rsidP="00CE4D9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Ovim člankom predlaže se brisanje stavka 10. članka 340. </w:t>
      </w:r>
      <w:r w:rsidR="007154A2" w:rsidRPr="000479E9">
        <w:rPr>
          <w:rFonts w:ascii="Times New Roman" w:eastAsia="Times New Roman" w:hAnsi="Times New Roman" w:cs="Times New Roman"/>
          <w:bCs/>
          <w:sz w:val="24"/>
          <w:szCs w:val="24"/>
          <w:lang w:eastAsia="hr-HR"/>
        </w:rPr>
        <w:t>važećeg Zakona</w:t>
      </w:r>
      <w:r w:rsidRPr="000479E9">
        <w:rPr>
          <w:rFonts w:ascii="Times New Roman" w:eastAsia="Times New Roman" w:hAnsi="Times New Roman" w:cs="Times New Roman"/>
          <w:bCs/>
          <w:sz w:val="24"/>
          <w:szCs w:val="24"/>
          <w:lang w:eastAsia="hr-HR"/>
        </w:rPr>
        <w:t>,</w:t>
      </w:r>
      <w:r w:rsidR="00CC07EA" w:rsidRPr="000479E9">
        <w:rPr>
          <w:rFonts w:ascii="Times New Roman" w:eastAsia="Times New Roman" w:hAnsi="Times New Roman" w:cs="Times New Roman"/>
          <w:bCs/>
          <w:sz w:val="24"/>
          <w:szCs w:val="24"/>
          <w:lang w:eastAsia="hr-HR"/>
        </w:rPr>
        <w:t xml:space="preserve"> </w:t>
      </w:r>
      <w:r w:rsidRPr="000479E9">
        <w:rPr>
          <w:rFonts w:ascii="Times New Roman" w:eastAsia="Times New Roman" w:hAnsi="Times New Roman" w:cs="Times New Roman"/>
          <w:bCs/>
          <w:sz w:val="24"/>
          <w:szCs w:val="24"/>
          <w:lang w:eastAsia="hr-HR"/>
        </w:rPr>
        <w:t xml:space="preserve">i prepuštanje pitanja građanskopravne odgovornosti općim pravilima obveznog i trgovačkog prava, uz zadržavanje fokusa članka 340. </w:t>
      </w:r>
      <w:r w:rsidR="007154A2" w:rsidRPr="000479E9">
        <w:rPr>
          <w:rFonts w:ascii="Times New Roman" w:eastAsia="Times New Roman" w:hAnsi="Times New Roman" w:cs="Times New Roman"/>
          <w:bCs/>
          <w:sz w:val="24"/>
          <w:szCs w:val="24"/>
          <w:lang w:eastAsia="hr-HR"/>
        </w:rPr>
        <w:t>važećeg Zakona</w:t>
      </w:r>
      <w:r w:rsidRPr="000479E9">
        <w:rPr>
          <w:rFonts w:ascii="Times New Roman" w:eastAsia="Times New Roman" w:hAnsi="Times New Roman" w:cs="Times New Roman"/>
          <w:bCs/>
          <w:sz w:val="24"/>
          <w:szCs w:val="24"/>
          <w:lang w:eastAsia="hr-HR"/>
        </w:rPr>
        <w:t xml:space="preserve"> isključivo na regulatornim i tržišnim mjerama, obzirom da takav privatnopravni režim odgovornosti nije predviđen MiFD II regulatornim okvirom.</w:t>
      </w:r>
    </w:p>
    <w:p w14:paraId="083F0286" w14:textId="77777777" w:rsidR="00CE4D90" w:rsidRPr="000479E9" w:rsidRDefault="00CE4D90" w:rsidP="00927C1F">
      <w:pPr>
        <w:spacing w:after="0" w:line="240" w:lineRule="auto"/>
        <w:jc w:val="both"/>
        <w:rPr>
          <w:rFonts w:ascii="Times New Roman" w:eastAsia="Times New Roman" w:hAnsi="Times New Roman" w:cs="Times New Roman"/>
          <w:b/>
          <w:sz w:val="24"/>
          <w:szCs w:val="24"/>
          <w:lang w:eastAsia="hr-HR"/>
        </w:rPr>
      </w:pPr>
    </w:p>
    <w:p w14:paraId="35A6B864" w14:textId="640ADFDC" w:rsidR="00CE4D90" w:rsidRPr="000479E9" w:rsidRDefault="6B6D812D" w:rsidP="2B3481CE">
      <w:pPr>
        <w:spacing w:after="0" w:line="240" w:lineRule="auto"/>
        <w:jc w:val="both"/>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lastRenderedPageBreak/>
        <w:t>Uz č</w:t>
      </w:r>
      <w:r w:rsidR="00CE4D90" w:rsidRPr="000479E9">
        <w:rPr>
          <w:rFonts w:ascii="Times New Roman" w:eastAsia="Times New Roman" w:hAnsi="Times New Roman" w:cs="Times New Roman"/>
          <w:b/>
          <w:bCs/>
          <w:sz w:val="24"/>
          <w:szCs w:val="24"/>
          <w:lang w:eastAsia="hr-HR"/>
        </w:rPr>
        <w:t xml:space="preserve">lanak </w:t>
      </w:r>
      <w:r w:rsidR="00766C05" w:rsidRPr="000479E9">
        <w:rPr>
          <w:rFonts w:ascii="Times New Roman" w:eastAsia="Times New Roman" w:hAnsi="Times New Roman" w:cs="Times New Roman"/>
          <w:b/>
          <w:bCs/>
          <w:sz w:val="24"/>
          <w:szCs w:val="24"/>
          <w:lang w:eastAsia="hr-HR"/>
        </w:rPr>
        <w:t>4</w:t>
      </w:r>
      <w:r w:rsidR="000F5420" w:rsidRPr="000479E9">
        <w:rPr>
          <w:rFonts w:ascii="Times New Roman" w:eastAsia="Times New Roman" w:hAnsi="Times New Roman" w:cs="Times New Roman"/>
          <w:b/>
          <w:bCs/>
          <w:sz w:val="24"/>
          <w:szCs w:val="24"/>
          <w:lang w:eastAsia="hr-HR"/>
        </w:rPr>
        <w:t>7</w:t>
      </w:r>
      <w:r w:rsidR="00CE4D90" w:rsidRPr="000479E9">
        <w:rPr>
          <w:rFonts w:ascii="Times New Roman" w:eastAsia="Times New Roman" w:hAnsi="Times New Roman" w:cs="Times New Roman"/>
          <w:b/>
          <w:bCs/>
          <w:sz w:val="24"/>
          <w:szCs w:val="24"/>
          <w:lang w:eastAsia="hr-HR"/>
        </w:rPr>
        <w:t>.</w:t>
      </w:r>
    </w:p>
    <w:p w14:paraId="154A7534" w14:textId="3A8BCF92" w:rsidR="00CE4D90" w:rsidRPr="000479E9" w:rsidRDefault="00CE4D90" w:rsidP="00CE4D9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Članak 341. stavak 6. </w:t>
      </w:r>
      <w:r w:rsidR="007154A2" w:rsidRPr="000479E9">
        <w:rPr>
          <w:rFonts w:ascii="Times New Roman" w:eastAsia="Times New Roman" w:hAnsi="Times New Roman" w:cs="Times New Roman"/>
          <w:bCs/>
          <w:sz w:val="24"/>
          <w:szCs w:val="24"/>
          <w:lang w:eastAsia="hr-HR"/>
        </w:rPr>
        <w:t>važećeg Zakona</w:t>
      </w:r>
      <w:r w:rsidRPr="000479E9">
        <w:rPr>
          <w:rFonts w:ascii="Times New Roman" w:eastAsia="Times New Roman" w:hAnsi="Times New Roman" w:cs="Times New Roman"/>
          <w:bCs/>
          <w:sz w:val="24"/>
          <w:szCs w:val="24"/>
          <w:lang w:eastAsia="hr-HR"/>
        </w:rPr>
        <w:t xml:space="preserve"> propisuje da odluku o povlačenju vrijednosnih papira s uvrštenja na uređenom tržištu nije moguće pobijati zbog toga što novčana naknada za dionice nije pravična. Svrha važeće odredbe jest stabilizacija same odluke o </w:t>
      </w:r>
      <w:r w:rsidR="00BE307F" w:rsidRPr="000479E9">
        <w:rPr>
          <w:rFonts w:ascii="Times New Roman" w:eastAsia="Times New Roman" w:hAnsi="Times New Roman" w:cs="Times New Roman"/>
          <w:bCs/>
          <w:sz w:val="24"/>
          <w:szCs w:val="24"/>
          <w:lang w:eastAsia="hr-HR"/>
        </w:rPr>
        <w:t>povlačenju</w:t>
      </w:r>
      <w:r w:rsidRPr="000479E9">
        <w:rPr>
          <w:rFonts w:ascii="Times New Roman" w:eastAsia="Times New Roman" w:hAnsi="Times New Roman" w:cs="Times New Roman"/>
          <w:bCs/>
          <w:sz w:val="24"/>
          <w:szCs w:val="24"/>
          <w:lang w:eastAsia="hr-HR"/>
        </w:rPr>
        <w:t xml:space="preserve"> i sprječavanje da se korporativna odluka većine ruši zbog spora o </w:t>
      </w:r>
      <w:r w:rsidR="7008039D" w:rsidRPr="000479E9">
        <w:rPr>
          <w:rFonts w:ascii="Times New Roman" w:eastAsia="Times New Roman" w:hAnsi="Times New Roman" w:cs="Times New Roman"/>
          <w:sz w:val="24"/>
          <w:szCs w:val="24"/>
          <w:lang w:eastAsia="hr-HR"/>
        </w:rPr>
        <w:t>iznosu pravične naknade</w:t>
      </w:r>
      <w:r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bCs/>
          <w:sz w:val="24"/>
          <w:szCs w:val="24"/>
          <w:lang w:eastAsia="hr-HR"/>
        </w:rPr>
        <w:t xml:space="preserve"> Međutim, iz samog teksta odredbe nije izričito razvidno da zabrana pobijanja odluke ne isključuje pravo manjinskih dioničara da pred trgovačkim sudom zahtijevaju isplatu razlike do pravične naknade. Iako je takvo tumačenje sustavno i teleološki opravdano te će ga sudska praksa vjerojatno primjenjivati analogno rješenjima iz prava preuzimanja, normativna nepreciznost može stvoriti pravnu nesigurnost za manjinske dioničare te percepciju ograničavanja sudske zaštite imovinskih prava, stoga se ovim prijedlogom</w:t>
      </w:r>
      <w:r w:rsidR="00F00DC7">
        <w:rPr>
          <w:rFonts w:ascii="Times New Roman" w:eastAsia="Times New Roman" w:hAnsi="Times New Roman" w:cs="Times New Roman"/>
          <w:bCs/>
          <w:sz w:val="24"/>
          <w:szCs w:val="24"/>
          <w:lang w:eastAsia="hr-HR"/>
        </w:rPr>
        <w:t xml:space="preserve"> dopune odredbe</w:t>
      </w:r>
      <w:r w:rsidRPr="000479E9">
        <w:rPr>
          <w:rFonts w:ascii="Times New Roman" w:eastAsia="Times New Roman" w:hAnsi="Times New Roman" w:cs="Times New Roman"/>
          <w:bCs/>
          <w:sz w:val="24"/>
          <w:szCs w:val="24"/>
          <w:lang w:eastAsia="hr-HR"/>
        </w:rPr>
        <w:t xml:space="preserve"> navedeno eksplicitno propisuje.</w:t>
      </w:r>
    </w:p>
    <w:p w14:paraId="2134C3CE" w14:textId="77777777" w:rsidR="00CE4D90" w:rsidRPr="000479E9" w:rsidRDefault="00CE4D90" w:rsidP="00927C1F">
      <w:pPr>
        <w:spacing w:after="0" w:line="240" w:lineRule="auto"/>
        <w:jc w:val="both"/>
        <w:rPr>
          <w:rFonts w:ascii="Times New Roman" w:eastAsia="Times New Roman" w:hAnsi="Times New Roman" w:cs="Times New Roman"/>
          <w:b/>
          <w:sz w:val="24"/>
          <w:szCs w:val="24"/>
          <w:lang w:eastAsia="hr-HR"/>
        </w:rPr>
      </w:pPr>
    </w:p>
    <w:p w14:paraId="6C71F3B2" w14:textId="103AE7A5" w:rsidR="00CE4D90" w:rsidRPr="000479E9" w:rsidRDefault="1B81E50B" w:rsidP="2B3481CE">
      <w:pPr>
        <w:spacing w:after="0" w:line="240" w:lineRule="auto"/>
        <w:jc w:val="both"/>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Uz </w:t>
      </w:r>
      <w:r w:rsidR="700303A9" w:rsidRPr="000479E9">
        <w:rPr>
          <w:rFonts w:ascii="Times New Roman" w:eastAsia="Times New Roman" w:hAnsi="Times New Roman" w:cs="Times New Roman"/>
          <w:b/>
          <w:bCs/>
          <w:sz w:val="24"/>
          <w:szCs w:val="24"/>
          <w:lang w:eastAsia="hr-HR"/>
        </w:rPr>
        <w:t>č</w:t>
      </w:r>
      <w:r w:rsidR="00CE4D90" w:rsidRPr="000479E9">
        <w:rPr>
          <w:rFonts w:ascii="Times New Roman" w:eastAsia="Times New Roman" w:hAnsi="Times New Roman" w:cs="Times New Roman"/>
          <w:b/>
          <w:bCs/>
          <w:sz w:val="24"/>
          <w:szCs w:val="24"/>
          <w:lang w:eastAsia="hr-HR"/>
        </w:rPr>
        <w:t xml:space="preserve">lanak </w:t>
      </w:r>
      <w:r w:rsidR="00766C05" w:rsidRPr="000479E9">
        <w:rPr>
          <w:rFonts w:ascii="Times New Roman" w:eastAsia="Times New Roman" w:hAnsi="Times New Roman" w:cs="Times New Roman"/>
          <w:b/>
          <w:bCs/>
          <w:sz w:val="24"/>
          <w:szCs w:val="24"/>
          <w:lang w:eastAsia="hr-HR"/>
        </w:rPr>
        <w:t>4</w:t>
      </w:r>
      <w:r w:rsidR="000F5420" w:rsidRPr="000479E9">
        <w:rPr>
          <w:rFonts w:ascii="Times New Roman" w:eastAsia="Times New Roman" w:hAnsi="Times New Roman" w:cs="Times New Roman"/>
          <w:b/>
          <w:bCs/>
          <w:sz w:val="24"/>
          <w:szCs w:val="24"/>
          <w:lang w:eastAsia="hr-HR"/>
        </w:rPr>
        <w:t>8</w:t>
      </w:r>
      <w:r w:rsidR="00CE4D90" w:rsidRPr="000479E9">
        <w:rPr>
          <w:rFonts w:ascii="Times New Roman" w:eastAsia="Times New Roman" w:hAnsi="Times New Roman" w:cs="Times New Roman"/>
          <w:b/>
          <w:bCs/>
          <w:sz w:val="24"/>
          <w:szCs w:val="24"/>
          <w:lang w:eastAsia="hr-HR"/>
        </w:rPr>
        <w:t xml:space="preserve">. </w:t>
      </w:r>
    </w:p>
    <w:p w14:paraId="24009666" w14:textId="2F9939D4" w:rsidR="00CE4D90" w:rsidRPr="000479E9" w:rsidRDefault="00CE4D90"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se člankom ispravlja uočena pogreška.</w:t>
      </w:r>
    </w:p>
    <w:p w14:paraId="244C5821" w14:textId="77777777" w:rsidR="00CE4D90" w:rsidRPr="000479E9" w:rsidRDefault="00CE4D90" w:rsidP="00927C1F">
      <w:pPr>
        <w:spacing w:after="0" w:line="240" w:lineRule="auto"/>
        <w:jc w:val="both"/>
        <w:rPr>
          <w:rFonts w:ascii="Times New Roman" w:eastAsia="Times New Roman" w:hAnsi="Times New Roman" w:cs="Times New Roman"/>
          <w:bCs/>
          <w:sz w:val="24"/>
          <w:szCs w:val="24"/>
          <w:lang w:eastAsia="hr-HR"/>
        </w:rPr>
      </w:pPr>
    </w:p>
    <w:p w14:paraId="52AC7C21" w14:textId="5D63AE81"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članke </w:t>
      </w:r>
      <w:r w:rsidR="00766C05" w:rsidRPr="000479E9">
        <w:rPr>
          <w:rFonts w:ascii="Times New Roman" w:eastAsia="Times New Roman" w:hAnsi="Times New Roman" w:cs="Times New Roman"/>
          <w:b/>
          <w:sz w:val="24"/>
          <w:szCs w:val="24"/>
          <w:lang w:eastAsia="hr-HR"/>
        </w:rPr>
        <w:t>4</w:t>
      </w:r>
      <w:r w:rsidR="000F5420" w:rsidRPr="000479E9">
        <w:rPr>
          <w:rFonts w:ascii="Times New Roman" w:eastAsia="Times New Roman" w:hAnsi="Times New Roman" w:cs="Times New Roman"/>
          <w:b/>
          <w:sz w:val="24"/>
          <w:szCs w:val="24"/>
          <w:lang w:eastAsia="hr-HR"/>
        </w:rPr>
        <w:t>9</w:t>
      </w:r>
      <w:r w:rsidRPr="000479E9">
        <w:rPr>
          <w:rFonts w:ascii="Times New Roman" w:eastAsia="Times New Roman" w:hAnsi="Times New Roman" w:cs="Times New Roman"/>
          <w:b/>
          <w:sz w:val="24"/>
          <w:szCs w:val="24"/>
          <w:lang w:eastAsia="hr-HR"/>
        </w:rPr>
        <w:t xml:space="preserve">. do </w:t>
      </w:r>
      <w:r w:rsidR="000F5420" w:rsidRPr="000479E9">
        <w:rPr>
          <w:rFonts w:ascii="Times New Roman" w:eastAsia="Times New Roman" w:hAnsi="Times New Roman" w:cs="Times New Roman"/>
          <w:b/>
          <w:sz w:val="24"/>
          <w:szCs w:val="24"/>
          <w:lang w:eastAsia="hr-HR"/>
        </w:rPr>
        <w:t>51</w:t>
      </w:r>
      <w:r w:rsidRPr="000479E9">
        <w:rPr>
          <w:rFonts w:ascii="Times New Roman" w:eastAsia="Times New Roman" w:hAnsi="Times New Roman" w:cs="Times New Roman"/>
          <w:b/>
          <w:sz w:val="24"/>
          <w:szCs w:val="24"/>
          <w:lang w:eastAsia="hr-HR"/>
        </w:rPr>
        <w:t>.</w:t>
      </w:r>
    </w:p>
    <w:p w14:paraId="3E22F234" w14:textId="2089B5ED" w:rsidR="00927C1F" w:rsidRPr="000479E9" w:rsidRDefault="00927C1F" w:rsidP="0028645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Članak 1. stavak 3. Direktive (EU) 2024/2811 propisuje mogućnost da, osim MTP-a kao rastućeg tržišta malih i srednjih poduzeća, operater tržišta može kao rastuće tržište malih i srednjih poduzeća registrirati i segment MTP-a, pod određenim uvjetima. S tim u vezi, odredbe o MTP-u kao rastućem tržištu malih i srednjih poduzeća u člancima 352. do 354. važećeg Zakona dopunjene su tom mogućnošću. Nadalje, u članku 352. važećeg Zakona dodan je novi stavak 4. kojim se propisuju dodatni uvjeti za takav segment MTP-a, a kako je propisano člankom 1. stavkom 3. točkom b. Direktive (EU) 2024/2811</w:t>
      </w:r>
      <w:r w:rsidR="00EC3535" w:rsidRPr="000479E9">
        <w:rPr>
          <w:rFonts w:ascii="Times New Roman" w:hAnsi="Times New Roman" w:cs="Times New Roman"/>
          <w:sz w:val="24"/>
          <w:szCs w:val="24"/>
        </w:rPr>
        <w:t>.</w:t>
      </w:r>
      <w:r w:rsidRPr="000479E9">
        <w:rPr>
          <w:rFonts w:ascii="Times New Roman" w:hAnsi="Times New Roman" w:cs="Times New Roman"/>
          <w:sz w:val="24"/>
          <w:szCs w:val="24"/>
        </w:rPr>
        <w:t xml:space="preserve">  </w:t>
      </w:r>
    </w:p>
    <w:p w14:paraId="7825307D" w14:textId="77777777" w:rsidR="002D416C" w:rsidRPr="000479E9" w:rsidRDefault="002D416C" w:rsidP="00286452">
      <w:pPr>
        <w:spacing w:after="0" w:line="240" w:lineRule="auto"/>
        <w:jc w:val="both"/>
        <w:rPr>
          <w:rFonts w:ascii="Times New Roman" w:hAnsi="Times New Roman" w:cs="Times New Roman"/>
          <w:sz w:val="24"/>
          <w:szCs w:val="24"/>
        </w:rPr>
      </w:pPr>
    </w:p>
    <w:p w14:paraId="7FE0FCFB" w14:textId="7C45FDF4" w:rsidR="002D416C" w:rsidRPr="000479E9" w:rsidRDefault="002D416C" w:rsidP="00286452">
      <w:pPr>
        <w:spacing w:after="0" w:line="240" w:lineRule="auto"/>
        <w:jc w:val="both"/>
        <w:rPr>
          <w:rFonts w:ascii="Times New Roman" w:hAnsi="Times New Roman" w:cs="Times New Roman"/>
          <w:b/>
          <w:bCs/>
          <w:sz w:val="24"/>
          <w:szCs w:val="24"/>
        </w:rPr>
      </w:pPr>
      <w:r w:rsidRPr="000479E9">
        <w:rPr>
          <w:rFonts w:ascii="Times New Roman" w:hAnsi="Times New Roman" w:cs="Times New Roman"/>
          <w:b/>
          <w:bCs/>
          <w:sz w:val="24"/>
          <w:szCs w:val="24"/>
        </w:rPr>
        <w:t xml:space="preserve">Uz članak </w:t>
      </w:r>
      <w:r w:rsidR="000F5420" w:rsidRPr="000479E9">
        <w:rPr>
          <w:rFonts w:ascii="Times New Roman" w:hAnsi="Times New Roman" w:cs="Times New Roman"/>
          <w:b/>
          <w:bCs/>
          <w:sz w:val="24"/>
          <w:szCs w:val="24"/>
        </w:rPr>
        <w:t>52</w:t>
      </w:r>
      <w:r w:rsidRPr="000479E9">
        <w:rPr>
          <w:rFonts w:ascii="Times New Roman" w:hAnsi="Times New Roman" w:cs="Times New Roman"/>
          <w:b/>
          <w:bCs/>
          <w:sz w:val="24"/>
          <w:szCs w:val="24"/>
        </w:rPr>
        <w:t>.</w:t>
      </w:r>
    </w:p>
    <w:p w14:paraId="18F2580C" w14:textId="3A4216A7" w:rsidR="00B17E02" w:rsidRPr="000479E9" w:rsidRDefault="00B17E02" w:rsidP="00B17E02">
      <w:pPr>
        <w:spacing w:after="0" w:line="240" w:lineRule="auto"/>
        <w:jc w:val="both"/>
        <w:rPr>
          <w:rFonts w:ascii="Times New Roman" w:eastAsia="Times New Roman" w:hAnsi="Times New Roman" w:cs="Times New Roman"/>
          <w:bCs/>
          <w:i/>
          <w:sz w:val="24"/>
          <w:szCs w:val="24"/>
          <w:lang w:eastAsia="hr-HR"/>
        </w:rPr>
      </w:pPr>
      <w:r w:rsidRPr="000479E9">
        <w:rPr>
          <w:rFonts w:ascii="Times New Roman" w:eastAsia="Times New Roman" w:hAnsi="Times New Roman" w:cs="Times New Roman"/>
          <w:bCs/>
          <w:sz w:val="24"/>
          <w:szCs w:val="24"/>
          <w:lang w:eastAsia="hr-HR"/>
        </w:rPr>
        <w:t>Novim člankom 354.a propisuje se obveza društava koja uvode ili mijenjaju strukturu dionica s višestrukim pravom glasa da prilikom uvrštenja dionica za trgovanje objave informacije o strukturi svojih dionica. Navedene informacije objavljuju se u prospektu ili dokumentu o uvrštenju, ako se takav dokument objavljuje u skladu s primjenjivim propisima. Ako takve informacije nisu prethodno objavljene ili je došlo do promjena od posljednje objave, društvo ih je dužno objaviti i u godišnjem financijskom izvještaju nakon uvrštenja dionica za trgovanje.</w:t>
      </w:r>
    </w:p>
    <w:p w14:paraId="24288938" w14:textId="77777777" w:rsidR="00B17E02" w:rsidRPr="000479E9" w:rsidRDefault="00B17E02" w:rsidP="00B17E02">
      <w:pPr>
        <w:spacing w:after="0" w:line="240" w:lineRule="auto"/>
        <w:jc w:val="both"/>
        <w:rPr>
          <w:rFonts w:ascii="Times New Roman" w:eastAsia="Times New Roman" w:hAnsi="Times New Roman" w:cs="Times New Roman"/>
          <w:bCs/>
          <w:sz w:val="24"/>
          <w:szCs w:val="24"/>
          <w:lang w:eastAsia="hr-HR"/>
        </w:rPr>
      </w:pPr>
    </w:p>
    <w:p w14:paraId="42250069" w14:textId="3FF9C46E" w:rsidR="00B17E02" w:rsidRPr="000479E9" w:rsidRDefault="00B17E02" w:rsidP="00B17E02">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Za razliku od minimalnog zahtjeva iz navedene Direktive koji se odnosi na uvrštenje za trgovanje na multilateralnoj trgovinskoj platformi (MTP), ovim se </w:t>
      </w:r>
      <w:r w:rsidR="00AF4059" w:rsidRPr="000479E9">
        <w:rPr>
          <w:rFonts w:ascii="Times New Roman" w:eastAsia="Times New Roman" w:hAnsi="Times New Roman" w:cs="Times New Roman"/>
          <w:bCs/>
          <w:sz w:val="24"/>
          <w:szCs w:val="24"/>
          <w:lang w:eastAsia="hr-HR"/>
        </w:rPr>
        <w:t>člankom</w:t>
      </w:r>
      <w:r w:rsidRPr="000479E9">
        <w:rPr>
          <w:rFonts w:ascii="Times New Roman" w:eastAsia="Times New Roman" w:hAnsi="Times New Roman" w:cs="Times New Roman"/>
          <w:bCs/>
          <w:sz w:val="24"/>
          <w:szCs w:val="24"/>
          <w:lang w:eastAsia="hr-HR"/>
        </w:rPr>
        <w:t xml:space="preserve"> obveza objavljivanja navedenih informacija proširuje i na društva čije su dionice uvrštene za trgovanje na uređenom tržištu, obzirom da je navedena struktura Zakonom o trgovačkim društvima omogućena za sva dionička društva koja ispune uvjete propisane tim Zakonom.</w:t>
      </w:r>
    </w:p>
    <w:p w14:paraId="208D9889" w14:textId="77777777" w:rsidR="00B17E02" w:rsidRPr="000479E9" w:rsidRDefault="00B17E02" w:rsidP="00B17E02">
      <w:pPr>
        <w:spacing w:after="0" w:line="240" w:lineRule="auto"/>
        <w:jc w:val="both"/>
        <w:rPr>
          <w:rFonts w:ascii="Times New Roman" w:eastAsia="Times New Roman" w:hAnsi="Times New Roman" w:cs="Times New Roman"/>
          <w:bCs/>
          <w:sz w:val="24"/>
          <w:szCs w:val="24"/>
          <w:lang w:eastAsia="hr-HR"/>
        </w:rPr>
      </w:pPr>
    </w:p>
    <w:p w14:paraId="732171D2" w14:textId="77777777" w:rsidR="00B17E02" w:rsidRPr="000479E9" w:rsidRDefault="00B17E02" w:rsidP="00B17E02">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U informacijama koje su dužna objaviti, društva su dužna između ostalog navesti postoje li ograničenja u pogledu prenosivosti dionica, kao i eventualna ograničenja glasačkih prava, uključujući ograničenja koja se odnose na određeni postotak ili broj </w:t>
      </w:r>
      <w:r w:rsidRPr="000479E9">
        <w:rPr>
          <w:rFonts w:ascii="Times New Roman" w:eastAsia="Times New Roman" w:hAnsi="Times New Roman" w:cs="Times New Roman"/>
          <w:bCs/>
          <w:sz w:val="24"/>
          <w:szCs w:val="24"/>
          <w:lang w:eastAsia="hr-HR"/>
        </w:rPr>
        <w:lastRenderedPageBreak/>
        <w:t>glasova, rokove za ostvarivanje glasačkih prava ili sustave u kojima su financijska prava odvojena od vlasništva nad dionicama. Nadalje, društva su dužna objaviti, u mjeri u kojoj su im te informacije poznate, identitet imatelja dionica s višestrukim pravom glasa koji predstavljaju više od 5 % ukupnih glasačkih prava u društvu, kao i identitet fizičkih ili pravnih osoba koje imaju pravo ostvarivati glasačka prava u ime takvih dioničara. Ako se objava odnosi na fizičke osobe, identitet se ograničava na navođenje imena.</w:t>
      </w:r>
    </w:p>
    <w:p w14:paraId="65186C04" w14:textId="77777777" w:rsidR="00B17E02" w:rsidRPr="000479E9" w:rsidRDefault="00B17E02" w:rsidP="00B17E02">
      <w:pPr>
        <w:spacing w:after="0" w:line="240" w:lineRule="auto"/>
        <w:jc w:val="both"/>
        <w:rPr>
          <w:rFonts w:ascii="Times New Roman" w:eastAsia="Times New Roman" w:hAnsi="Times New Roman" w:cs="Times New Roman"/>
          <w:bCs/>
          <w:sz w:val="24"/>
          <w:szCs w:val="24"/>
          <w:lang w:eastAsia="hr-HR"/>
        </w:rPr>
      </w:pPr>
    </w:p>
    <w:p w14:paraId="74F4B07D" w14:textId="77777777" w:rsidR="00B17E02" w:rsidRPr="000479E9" w:rsidRDefault="00B17E02" w:rsidP="00B17E02">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Radi dodatnog povećanja transparentnosti i razumljivosti za ulagatelje, predviđa se i jasno označavanje dionica društava koja imaju strukturu dionica s višestrukim pravom glasa, primjerice dodavanjem odgovarajuće oznake u oznaku dionice koju koriste tržišni operateri ili investicijska društva koja upravljaju trgovinskim platformama. Time se ulagateljima omogućuje lakše prepoznavanje takvih struktura vlasništva i donošenje informiranih odluka o ulaganjima.</w:t>
      </w:r>
    </w:p>
    <w:p w14:paraId="6A239FD9" w14:textId="77777777" w:rsidR="00B17E02" w:rsidRPr="000479E9" w:rsidRDefault="00B17E02" w:rsidP="00B17E02">
      <w:pPr>
        <w:spacing w:after="0" w:line="240" w:lineRule="auto"/>
        <w:jc w:val="both"/>
        <w:rPr>
          <w:rFonts w:ascii="Times New Roman" w:eastAsia="Times New Roman" w:hAnsi="Times New Roman" w:cs="Times New Roman"/>
          <w:bCs/>
          <w:sz w:val="24"/>
          <w:szCs w:val="24"/>
          <w:lang w:eastAsia="hr-HR"/>
        </w:rPr>
      </w:pPr>
    </w:p>
    <w:p w14:paraId="2E80809A" w14:textId="242C6637" w:rsidR="00CE4D90" w:rsidRPr="000479E9" w:rsidRDefault="00CE4D90"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5</w:t>
      </w:r>
      <w:r w:rsidR="000F5420" w:rsidRPr="000479E9">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 xml:space="preserve">. </w:t>
      </w:r>
    </w:p>
    <w:p w14:paraId="54D69EE0" w14:textId="3188822B" w:rsidR="00CE4D90" w:rsidRPr="000479E9" w:rsidRDefault="00CE4D90" w:rsidP="00CE4D9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Uredba (EU) br. 648/2012 (EMIR) uspostavlja u potpunosti harmoniziran i izravno primjenjiv regulatorni okvir za OTC izvedenice, središnje poravnanje i izvještavanje, pri čemu državama članicama ostavlja ograničen prostor za nacionalno postupanje isključivo u pogledu imenovanja nadležnih tijela, sankcija i nadzornih mehanizama. Temeljna pretpostavka EMIR‑a jest da se sustavni i koncentracijski rizici na tržištu izvedenica učinkovito prate kroz obvezno izvještavanje trgovinskim repozitorijima te kroz agregaciju podataka na razini ESMA‑e, čime se osigurava jedinstven, usporediv i sveobuhvatan nadzor na razini Unije. </w:t>
      </w:r>
    </w:p>
    <w:p w14:paraId="4899D33D" w14:textId="77777777" w:rsidR="00CE4D90" w:rsidRPr="000479E9" w:rsidRDefault="00CE4D90" w:rsidP="00CE4D90">
      <w:pPr>
        <w:spacing w:after="0" w:line="240" w:lineRule="auto"/>
        <w:jc w:val="both"/>
        <w:rPr>
          <w:rFonts w:ascii="Times New Roman" w:eastAsia="Times New Roman" w:hAnsi="Times New Roman" w:cs="Times New Roman"/>
          <w:bCs/>
          <w:sz w:val="24"/>
          <w:szCs w:val="24"/>
          <w:lang w:eastAsia="hr-HR"/>
        </w:rPr>
      </w:pPr>
    </w:p>
    <w:p w14:paraId="7301762D" w14:textId="31256232" w:rsidR="00CE4D90" w:rsidRPr="000479E9" w:rsidRDefault="00CE4D90" w:rsidP="00CE4D9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Odredbe članaka 387. do 390. </w:t>
      </w:r>
      <w:r w:rsidR="007154A2" w:rsidRPr="000479E9">
        <w:rPr>
          <w:rFonts w:ascii="Times New Roman" w:eastAsia="Times New Roman" w:hAnsi="Times New Roman" w:cs="Times New Roman"/>
          <w:bCs/>
          <w:sz w:val="24"/>
          <w:szCs w:val="24"/>
          <w:lang w:eastAsia="hr-HR"/>
        </w:rPr>
        <w:t>važećeg Zakona</w:t>
      </w:r>
      <w:r w:rsidRPr="000479E9">
        <w:rPr>
          <w:rFonts w:ascii="Times New Roman" w:eastAsia="Times New Roman" w:hAnsi="Times New Roman" w:cs="Times New Roman"/>
          <w:bCs/>
          <w:sz w:val="24"/>
          <w:szCs w:val="24"/>
          <w:lang w:eastAsia="hr-HR"/>
        </w:rPr>
        <w:t xml:space="preserve">, uvode dodatni nacionalni sloj obveza koji ne proizlazi iz EMIR‑a. Iako su te odredbe uvedene s ciljem pojačanog praćenja rizika i usklađenosti, u praksi predstavljaju paralelni i preventivni režim praćenja usklađenosti koji nadilazi ono što je predviđeno </w:t>
      </w:r>
      <w:r w:rsidR="00D215C8" w:rsidRPr="000479E9">
        <w:rPr>
          <w:rFonts w:ascii="Times New Roman" w:eastAsia="Times New Roman" w:hAnsi="Times New Roman" w:cs="Times New Roman"/>
          <w:bCs/>
          <w:sz w:val="24"/>
          <w:szCs w:val="24"/>
          <w:lang w:eastAsia="hr-HR"/>
        </w:rPr>
        <w:t xml:space="preserve">predmetnom </w:t>
      </w:r>
      <w:r w:rsidRPr="000479E9">
        <w:rPr>
          <w:rFonts w:ascii="Times New Roman" w:eastAsia="Times New Roman" w:hAnsi="Times New Roman" w:cs="Times New Roman"/>
          <w:bCs/>
          <w:sz w:val="24"/>
          <w:szCs w:val="24"/>
          <w:lang w:eastAsia="hr-HR"/>
        </w:rPr>
        <w:t>uredbom</w:t>
      </w:r>
      <w:r w:rsidR="00D215C8" w:rsidRPr="000479E9">
        <w:rPr>
          <w:rFonts w:ascii="Times New Roman" w:eastAsia="Times New Roman" w:hAnsi="Times New Roman" w:cs="Times New Roman"/>
          <w:bCs/>
          <w:sz w:val="24"/>
          <w:szCs w:val="24"/>
          <w:lang w:eastAsia="hr-HR"/>
        </w:rPr>
        <w:t xml:space="preserve"> (EMIR)</w:t>
      </w:r>
      <w:r w:rsidRPr="000479E9">
        <w:rPr>
          <w:rFonts w:ascii="Times New Roman" w:eastAsia="Times New Roman" w:hAnsi="Times New Roman" w:cs="Times New Roman"/>
          <w:bCs/>
          <w:sz w:val="24"/>
          <w:szCs w:val="24"/>
          <w:lang w:eastAsia="hr-HR"/>
        </w:rPr>
        <w:t xml:space="preserve"> te predstavljaju značajno prekomjerno regulatorno opterećenje, posebno za nefinancijske druge ugovorne stra</w:t>
      </w:r>
      <w:r w:rsidR="00055F9F" w:rsidRPr="000479E9">
        <w:rPr>
          <w:rFonts w:ascii="Times New Roman" w:eastAsia="Times New Roman" w:hAnsi="Times New Roman" w:cs="Times New Roman"/>
          <w:bCs/>
          <w:sz w:val="24"/>
          <w:szCs w:val="24"/>
          <w:lang w:eastAsia="hr-HR"/>
        </w:rPr>
        <w:t>ne</w:t>
      </w:r>
      <w:r w:rsidRPr="000479E9">
        <w:rPr>
          <w:rFonts w:ascii="Times New Roman" w:eastAsia="Times New Roman" w:hAnsi="Times New Roman" w:cs="Times New Roman"/>
          <w:bCs/>
          <w:sz w:val="24"/>
          <w:szCs w:val="24"/>
          <w:lang w:eastAsia="hr-HR"/>
        </w:rPr>
        <w:t xml:space="preserve">, koje često koriste izvedenice isključivo u svrhu zaštite od poslovnih i financijskih rizika. Za te subjekte dodatne obveze izrade formalnih izvješća, uključivanja vanjskih stručnjaka i upravne odgovornosti znače znatno povećanje troškova i administrativnog opterećenja, bez razmjernog povećanja regulatorne dodane vrijednosti. </w:t>
      </w:r>
      <w:r w:rsidR="00055F9F" w:rsidRPr="000479E9">
        <w:rPr>
          <w:rFonts w:ascii="Times New Roman" w:eastAsia="Times New Roman" w:hAnsi="Times New Roman" w:cs="Times New Roman"/>
          <w:bCs/>
          <w:sz w:val="24"/>
          <w:szCs w:val="24"/>
          <w:lang w:eastAsia="hr-HR"/>
        </w:rPr>
        <w:t>Slijedom navedenog, predlaže se brisanje cijele glave VI. važećeg Zakona.</w:t>
      </w:r>
    </w:p>
    <w:p w14:paraId="773B13E7" w14:textId="69E60611" w:rsidR="00CE4D90" w:rsidRPr="000479E9" w:rsidRDefault="00CE4D90" w:rsidP="00927C1F">
      <w:pPr>
        <w:spacing w:after="0" w:line="240" w:lineRule="auto"/>
        <w:jc w:val="both"/>
        <w:rPr>
          <w:rFonts w:ascii="Times New Roman" w:eastAsia="Times New Roman" w:hAnsi="Times New Roman" w:cs="Times New Roman"/>
          <w:b/>
          <w:sz w:val="24"/>
          <w:szCs w:val="24"/>
          <w:lang w:eastAsia="hr-HR"/>
        </w:rPr>
      </w:pPr>
    </w:p>
    <w:p w14:paraId="3883A9E5" w14:textId="565A0719" w:rsidR="00055F9F" w:rsidRPr="000479E9" w:rsidRDefault="00055F9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5</w:t>
      </w:r>
      <w:r w:rsidR="000F5420"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w:t>
      </w:r>
    </w:p>
    <w:p w14:paraId="136C43F9" w14:textId="4EA4A843" w:rsidR="00055F9F" w:rsidRPr="000479E9" w:rsidRDefault="00055F9F"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Navedeno se predlaže radi usklađenja normativnog okvira s izmjenama Uredbe (EU) 2017/1129 iz Uredbe (EU) 2024/2809.</w:t>
      </w:r>
    </w:p>
    <w:p w14:paraId="6C5DE9FA" w14:textId="77777777" w:rsidR="00055F9F" w:rsidRPr="000479E9" w:rsidRDefault="00055F9F" w:rsidP="00927C1F">
      <w:pPr>
        <w:spacing w:after="0" w:line="240" w:lineRule="auto"/>
        <w:jc w:val="both"/>
        <w:rPr>
          <w:rFonts w:ascii="Times New Roman" w:eastAsia="Times New Roman" w:hAnsi="Times New Roman" w:cs="Times New Roman"/>
          <w:b/>
          <w:sz w:val="24"/>
          <w:szCs w:val="24"/>
          <w:lang w:eastAsia="hr-HR"/>
        </w:rPr>
      </w:pPr>
    </w:p>
    <w:p w14:paraId="24851FD8" w14:textId="56CF2FFC"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5</w:t>
      </w:r>
      <w:r w:rsidR="000F5420" w:rsidRPr="000479E9">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w:t>
      </w:r>
    </w:p>
    <w:p w14:paraId="22235A1E" w14:textId="43F2038E"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sz w:val="24"/>
          <w:szCs w:val="24"/>
          <w:lang w:eastAsia="hr-HR"/>
        </w:rPr>
        <w:t xml:space="preserve">Članak 409. važećeg Zakona usklađuje se s izmjenama koje proizlaze iz Uredbe (EU) 2024/2809, a koja mijenja članak 3. stavak 2. Uredbe (EU) br. 2017/1129 Europskog parlamenta i Vijeća od 14. lipnja 2017. o prospektu koji je potrebno objaviti prilikom </w:t>
      </w:r>
      <w:r w:rsidRPr="000479E9">
        <w:rPr>
          <w:rFonts w:ascii="Times New Roman" w:eastAsia="Times New Roman" w:hAnsi="Times New Roman" w:cs="Times New Roman"/>
          <w:sz w:val="24"/>
          <w:szCs w:val="24"/>
          <w:lang w:eastAsia="hr-HR"/>
        </w:rPr>
        <w:lastRenderedPageBreak/>
        <w:t>javne ponude vrijednosnih papira ili prilikom uvrštavanja za trgovanje na uređenom tržištu te stavljanju izvan snage Direktive 2003/71/EZ (SL L 168, 30.6.2017.) (u daljnjem tekstu: Uredba (EU) br. 2017/1129).</w:t>
      </w:r>
      <w:r w:rsidRPr="000479E9" w:rsidDel="0072529B">
        <w:rPr>
          <w:rFonts w:ascii="Times New Roman" w:eastAsia="Times New Roman" w:hAnsi="Times New Roman" w:cs="Times New Roman"/>
          <w:sz w:val="24"/>
          <w:szCs w:val="24"/>
          <w:lang w:eastAsia="hr-HR"/>
        </w:rPr>
        <w:t xml:space="preserve"> </w:t>
      </w:r>
      <w:r w:rsidR="00055F9F" w:rsidRPr="000479E9">
        <w:rPr>
          <w:rFonts w:ascii="Times New Roman" w:eastAsia="Times New Roman" w:hAnsi="Times New Roman" w:cs="Times New Roman"/>
          <w:sz w:val="24"/>
          <w:szCs w:val="24"/>
          <w:lang w:eastAsia="hr-HR"/>
        </w:rPr>
        <w:t>Kako izrada informacijskog dokumenta nije obveza iz Uredbe o prospektu, radi daljnjeg regulatornog usklađenja predlaže se ukinuti takvu obvezu.</w:t>
      </w:r>
    </w:p>
    <w:p w14:paraId="4144F0AA" w14:textId="77777777"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p>
    <w:p w14:paraId="47099D46" w14:textId="6570B195" w:rsidR="00055F9F" w:rsidRPr="000479E9" w:rsidRDefault="00055F9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766C05" w:rsidRPr="000479E9">
        <w:rPr>
          <w:rFonts w:ascii="Times New Roman" w:eastAsia="Times New Roman" w:hAnsi="Times New Roman" w:cs="Times New Roman"/>
          <w:b/>
          <w:sz w:val="24"/>
          <w:szCs w:val="24"/>
          <w:lang w:eastAsia="hr-HR"/>
        </w:rPr>
        <w:t>5</w:t>
      </w:r>
      <w:r w:rsidR="000F5420"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w:t>
      </w:r>
    </w:p>
    <w:p w14:paraId="2B56684A" w14:textId="523176A5" w:rsidR="00055F9F" w:rsidRPr="000479E9" w:rsidRDefault="00055F9F"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Ovom se odredbom jasno precizira kako se na dokumente iz članka 1. stavaka 4. i 5. </w:t>
      </w:r>
      <w:r w:rsidR="00D215C8" w:rsidRPr="000479E9">
        <w:rPr>
          <w:rFonts w:ascii="Times New Roman" w:eastAsia="Times New Roman" w:hAnsi="Times New Roman" w:cs="Times New Roman"/>
          <w:bCs/>
          <w:sz w:val="24"/>
          <w:szCs w:val="24"/>
          <w:lang w:eastAsia="hr-HR"/>
        </w:rPr>
        <w:t>Uredbe (EU) br. 2017/1129</w:t>
      </w:r>
      <w:r w:rsidRPr="000479E9">
        <w:rPr>
          <w:rFonts w:ascii="Times New Roman" w:eastAsia="Times New Roman" w:hAnsi="Times New Roman" w:cs="Times New Roman"/>
          <w:bCs/>
          <w:sz w:val="24"/>
          <w:szCs w:val="24"/>
          <w:lang w:eastAsia="hr-HR"/>
        </w:rPr>
        <w:t xml:space="preserve"> ne primjenjuju posebna prospektna pravila o odgovornosti, nego isključivo opća pravila građanskog i obveznog prava.</w:t>
      </w:r>
    </w:p>
    <w:p w14:paraId="6B6CCEAF" w14:textId="77777777" w:rsidR="00055F9F" w:rsidRPr="000479E9" w:rsidRDefault="00055F9F" w:rsidP="00927C1F">
      <w:pPr>
        <w:spacing w:after="0" w:line="240" w:lineRule="auto"/>
        <w:jc w:val="both"/>
        <w:rPr>
          <w:rFonts w:ascii="Times New Roman" w:eastAsia="Times New Roman" w:hAnsi="Times New Roman" w:cs="Times New Roman"/>
          <w:bCs/>
          <w:sz w:val="24"/>
          <w:szCs w:val="24"/>
          <w:lang w:eastAsia="hr-HR"/>
        </w:rPr>
      </w:pPr>
    </w:p>
    <w:p w14:paraId="0CD17357" w14:textId="57F7ED2C"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člank</w:t>
      </w:r>
      <w:r w:rsidR="00F00DC7">
        <w:rPr>
          <w:rFonts w:ascii="Times New Roman" w:eastAsia="Times New Roman" w:hAnsi="Times New Roman" w:cs="Times New Roman"/>
          <w:b/>
          <w:sz w:val="24"/>
          <w:szCs w:val="24"/>
          <w:lang w:eastAsia="hr-HR"/>
        </w:rPr>
        <w:t>e</w:t>
      </w:r>
      <w:r w:rsidRPr="000479E9">
        <w:rPr>
          <w:rFonts w:ascii="Times New Roman" w:eastAsia="Times New Roman" w:hAnsi="Times New Roman" w:cs="Times New Roman"/>
          <w:b/>
          <w:sz w:val="24"/>
          <w:szCs w:val="24"/>
          <w:lang w:eastAsia="hr-HR"/>
        </w:rPr>
        <w:t xml:space="preserve"> </w:t>
      </w:r>
      <w:r w:rsidR="00766C05" w:rsidRPr="000479E9">
        <w:rPr>
          <w:rFonts w:ascii="Times New Roman" w:eastAsia="Times New Roman" w:hAnsi="Times New Roman" w:cs="Times New Roman"/>
          <w:b/>
          <w:sz w:val="24"/>
          <w:szCs w:val="24"/>
          <w:lang w:eastAsia="hr-HR"/>
        </w:rPr>
        <w:t>5</w:t>
      </w:r>
      <w:r w:rsidR="000F5420" w:rsidRPr="000479E9">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w:t>
      </w:r>
      <w:r w:rsidR="00055F9F" w:rsidRPr="000479E9">
        <w:rPr>
          <w:rFonts w:ascii="Times New Roman" w:eastAsia="Times New Roman" w:hAnsi="Times New Roman" w:cs="Times New Roman"/>
          <w:b/>
          <w:sz w:val="24"/>
          <w:szCs w:val="24"/>
          <w:lang w:eastAsia="hr-HR"/>
        </w:rPr>
        <w:t xml:space="preserve"> i 5</w:t>
      </w:r>
      <w:r w:rsidR="000F5420" w:rsidRPr="000479E9">
        <w:rPr>
          <w:rFonts w:ascii="Times New Roman" w:eastAsia="Times New Roman" w:hAnsi="Times New Roman" w:cs="Times New Roman"/>
          <w:b/>
          <w:sz w:val="24"/>
          <w:szCs w:val="24"/>
          <w:lang w:eastAsia="hr-HR"/>
        </w:rPr>
        <w:t>8</w:t>
      </w:r>
      <w:r w:rsidR="00055F9F" w:rsidRPr="000479E9">
        <w:rPr>
          <w:rFonts w:ascii="Times New Roman" w:eastAsia="Times New Roman" w:hAnsi="Times New Roman" w:cs="Times New Roman"/>
          <w:b/>
          <w:sz w:val="24"/>
          <w:szCs w:val="24"/>
          <w:lang w:eastAsia="hr-HR"/>
        </w:rPr>
        <w:t>.</w:t>
      </w:r>
    </w:p>
    <w:p w14:paraId="5A429251" w14:textId="3B60922C"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Cs/>
          <w:sz w:val="24"/>
          <w:szCs w:val="24"/>
          <w:lang w:eastAsia="hr-HR"/>
        </w:rPr>
        <w:t xml:space="preserve">Izmjenama </w:t>
      </w:r>
      <w:r w:rsidR="00055F9F" w:rsidRPr="000479E9">
        <w:rPr>
          <w:rFonts w:ascii="Times New Roman" w:eastAsia="Times New Roman" w:hAnsi="Times New Roman" w:cs="Times New Roman"/>
          <w:bCs/>
          <w:sz w:val="24"/>
          <w:szCs w:val="24"/>
          <w:lang w:eastAsia="hr-HR"/>
        </w:rPr>
        <w:t xml:space="preserve">članci </w:t>
      </w:r>
      <w:r w:rsidRPr="000479E9">
        <w:rPr>
          <w:rFonts w:ascii="Times New Roman" w:eastAsia="Times New Roman" w:hAnsi="Times New Roman" w:cs="Times New Roman"/>
          <w:bCs/>
          <w:sz w:val="24"/>
          <w:szCs w:val="24"/>
          <w:lang w:eastAsia="hr-HR"/>
        </w:rPr>
        <w:t>420.</w:t>
      </w:r>
      <w:r w:rsidR="00055F9F" w:rsidRPr="000479E9">
        <w:rPr>
          <w:rFonts w:ascii="Times New Roman" w:eastAsia="Times New Roman" w:hAnsi="Times New Roman" w:cs="Times New Roman"/>
          <w:bCs/>
          <w:sz w:val="24"/>
          <w:szCs w:val="24"/>
          <w:lang w:eastAsia="hr-HR"/>
        </w:rPr>
        <w:t xml:space="preserve"> i 421.</w:t>
      </w:r>
      <w:r w:rsidRPr="000479E9">
        <w:rPr>
          <w:rFonts w:ascii="Times New Roman" w:eastAsia="Times New Roman" w:hAnsi="Times New Roman" w:cs="Times New Roman"/>
          <w:bCs/>
          <w:sz w:val="24"/>
          <w:szCs w:val="24"/>
          <w:lang w:eastAsia="hr-HR"/>
        </w:rPr>
        <w:t xml:space="preserve"> važećeg Zakona</w:t>
      </w:r>
      <w:r w:rsidR="00055F9F" w:rsidRPr="000479E9">
        <w:rPr>
          <w:rFonts w:ascii="Times New Roman" w:eastAsia="Times New Roman" w:hAnsi="Times New Roman" w:cs="Times New Roman"/>
          <w:bCs/>
          <w:sz w:val="24"/>
          <w:szCs w:val="24"/>
          <w:lang w:eastAsia="hr-HR"/>
        </w:rPr>
        <w:t xml:space="preserve"> </w:t>
      </w:r>
      <w:r w:rsidRPr="000479E9">
        <w:rPr>
          <w:rFonts w:ascii="Times New Roman" w:eastAsia="Times New Roman" w:hAnsi="Times New Roman" w:cs="Times New Roman"/>
          <w:bCs/>
          <w:sz w:val="24"/>
          <w:szCs w:val="24"/>
          <w:lang w:eastAsia="hr-HR"/>
        </w:rPr>
        <w:t>usklađuje se s izmjenama odredbi</w:t>
      </w:r>
      <w:r w:rsidRPr="000479E9">
        <w:rPr>
          <w:rFonts w:ascii="Times New Roman" w:eastAsia="Times New Roman" w:hAnsi="Times New Roman" w:cs="Times New Roman"/>
          <w:b/>
          <w:sz w:val="24"/>
          <w:szCs w:val="24"/>
          <w:lang w:eastAsia="hr-HR"/>
        </w:rPr>
        <w:t xml:space="preserve"> </w:t>
      </w:r>
      <w:r w:rsidRPr="000479E9">
        <w:rPr>
          <w:rFonts w:ascii="Times New Roman" w:eastAsia="Times New Roman" w:hAnsi="Times New Roman" w:cs="Times New Roman"/>
          <w:sz w:val="24"/>
          <w:szCs w:val="24"/>
          <w:lang w:eastAsia="hr-HR"/>
        </w:rPr>
        <w:t>Uredbe (EU) br. 2017/1129 koje proizlaze iz Uredbe (EU) 2024/2809, a koje se odnose na jezik prospekta.</w:t>
      </w:r>
    </w:p>
    <w:p w14:paraId="1C7F5997" w14:textId="77777777"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p>
    <w:p w14:paraId="601257A0" w14:textId="158C08C8" w:rsidR="00055F9F" w:rsidRPr="000479E9" w:rsidRDefault="00055F9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766C05" w:rsidRPr="000479E9">
        <w:rPr>
          <w:rFonts w:ascii="Times New Roman" w:eastAsia="Times New Roman" w:hAnsi="Times New Roman" w:cs="Times New Roman"/>
          <w:b/>
          <w:sz w:val="24"/>
          <w:szCs w:val="24"/>
          <w:lang w:eastAsia="hr-HR"/>
        </w:rPr>
        <w:t>5</w:t>
      </w:r>
      <w:r w:rsidR="000F5420" w:rsidRPr="000479E9">
        <w:rPr>
          <w:rFonts w:ascii="Times New Roman" w:eastAsia="Times New Roman" w:hAnsi="Times New Roman" w:cs="Times New Roman"/>
          <w:b/>
          <w:sz w:val="24"/>
          <w:szCs w:val="24"/>
          <w:lang w:eastAsia="hr-HR"/>
        </w:rPr>
        <w:t>9</w:t>
      </w:r>
      <w:r w:rsidRPr="000479E9">
        <w:rPr>
          <w:rFonts w:ascii="Times New Roman" w:eastAsia="Times New Roman" w:hAnsi="Times New Roman" w:cs="Times New Roman"/>
          <w:b/>
          <w:sz w:val="24"/>
          <w:szCs w:val="24"/>
          <w:lang w:eastAsia="hr-HR"/>
        </w:rPr>
        <w:t>.</w:t>
      </w:r>
    </w:p>
    <w:p w14:paraId="1F29C032" w14:textId="24705D48" w:rsidR="00055F9F" w:rsidRPr="000479E9" w:rsidRDefault="00055F9F"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svrhu regulatornog rasterećenja</w:t>
      </w:r>
      <w:r w:rsidR="00594F24" w:rsidRPr="000479E9">
        <w:rPr>
          <w:rFonts w:ascii="Times New Roman" w:eastAsia="Times New Roman" w:hAnsi="Times New Roman" w:cs="Times New Roman"/>
          <w:bCs/>
          <w:sz w:val="24"/>
          <w:szCs w:val="24"/>
          <w:lang w:eastAsia="hr-HR"/>
        </w:rPr>
        <w:t xml:space="preserve"> </w:t>
      </w:r>
      <w:r w:rsidRPr="000479E9">
        <w:rPr>
          <w:rFonts w:ascii="Times New Roman" w:eastAsia="Times New Roman" w:hAnsi="Times New Roman" w:cs="Times New Roman"/>
          <w:bCs/>
          <w:sz w:val="24"/>
          <w:szCs w:val="24"/>
          <w:lang w:eastAsia="hr-HR"/>
        </w:rPr>
        <w:t xml:space="preserve">ukida se obveza </w:t>
      </w:r>
      <w:r w:rsidR="00594F24" w:rsidRPr="000479E9">
        <w:rPr>
          <w:rFonts w:ascii="Times New Roman" w:eastAsia="Times New Roman" w:hAnsi="Times New Roman" w:cs="Times New Roman"/>
          <w:bCs/>
          <w:sz w:val="24"/>
          <w:szCs w:val="24"/>
          <w:lang w:eastAsia="hr-HR"/>
        </w:rPr>
        <w:t xml:space="preserve">obavještavanja </w:t>
      </w:r>
      <w:r w:rsidR="00F71D11" w:rsidRPr="000479E9">
        <w:rPr>
          <w:rFonts w:ascii="Times New Roman" w:eastAsia="Times New Roman" w:hAnsi="Times New Roman" w:cs="Times New Roman"/>
          <w:bCs/>
          <w:sz w:val="24"/>
          <w:szCs w:val="24"/>
          <w:lang w:eastAsia="hr-HR"/>
        </w:rPr>
        <w:t>Agencije</w:t>
      </w:r>
      <w:r w:rsidR="00594F24" w:rsidRPr="000479E9">
        <w:rPr>
          <w:rFonts w:ascii="Times New Roman" w:eastAsia="Times New Roman" w:hAnsi="Times New Roman" w:cs="Times New Roman"/>
          <w:bCs/>
          <w:sz w:val="24"/>
          <w:szCs w:val="24"/>
          <w:lang w:eastAsia="hr-HR"/>
        </w:rPr>
        <w:t xml:space="preserve"> o korištenju iznimke od obveze objave prospekta za sve javne ponude i uvrštenja vrijednosnih papira koji se provode na temelju izuzeća iz članka 1. stavaka 4. i 5. </w:t>
      </w:r>
      <w:r w:rsidR="00F74BC1" w:rsidRPr="000479E9">
        <w:rPr>
          <w:rFonts w:ascii="Times New Roman" w:eastAsia="Times New Roman" w:hAnsi="Times New Roman" w:cs="Times New Roman"/>
          <w:bCs/>
          <w:sz w:val="24"/>
          <w:szCs w:val="24"/>
          <w:lang w:eastAsia="hr-HR"/>
        </w:rPr>
        <w:t>Uredbe (EU) br. 2017/1129</w:t>
      </w:r>
      <w:r w:rsidR="00594F24" w:rsidRPr="000479E9">
        <w:rPr>
          <w:rFonts w:ascii="Times New Roman" w:eastAsia="Times New Roman" w:hAnsi="Times New Roman" w:cs="Times New Roman"/>
          <w:bCs/>
          <w:sz w:val="24"/>
          <w:szCs w:val="24"/>
          <w:lang w:eastAsia="hr-HR"/>
        </w:rPr>
        <w:t xml:space="preserve">, kao i izuzeća propisanih nacionalnim pravom, a obzirom da takva obveza ne proizlazi iz </w:t>
      </w:r>
      <w:r w:rsidR="00F74BC1" w:rsidRPr="000479E9">
        <w:rPr>
          <w:rFonts w:ascii="Times New Roman" w:eastAsia="Times New Roman" w:hAnsi="Times New Roman" w:cs="Times New Roman"/>
          <w:bCs/>
          <w:sz w:val="24"/>
          <w:szCs w:val="24"/>
          <w:lang w:eastAsia="hr-HR"/>
        </w:rPr>
        <w:t>Uredbe (EU) br. 2017/1129</w:t>
      </w:r>
      <w:r w:rsidR="00594F24" w:rsidRPr="000479E9">
        <w:rPr>
          <w:rFonts w:ascii="Times New Roman" w:eastAsia="Times New Roman" w:hAnsi="Times New Roman" w:cs="Times New Roman"/>
          <w:bCs/>
          <w:sz w:val="24"/>
          <w:szCs w:val="24"/>
          <w:lang w:eastAsia="hr-HR"/>
        </w:rPr>
        <w:t xml:space="preserve">. </w:t>
      </w:r>
      <w:r w:rsidR="00F74BC1" w:rsidRPr="000479E9">
        <w:rPr>
          <w:rFonts w:ascii="Times New Roman" w:eastAsia="Times New Roman" w:hAnsi="Times New Roman" w:cs="Times New Roman"/>
          <w:bCs/>
          <w:sz w:val="24"/>
          <w:szCs w:val="24"/>
          <w:lang w:eastAsia="hr-HR"/>
        </w:rPr>
        <w:t>R</w:t>
      </w:r>
      <w:r w:rsidR="00594F24" w:rsidRPr="000479E9">
        <w:rPr>
          <w:rFonts w:ascii="Times New Roman" w:eastAsia="Times New Roman" w:hAnsi="Times New Roman" w:cs="Times New Roman"/>
          <w:bCs/>
          <w:sz w:val="24"/>
          <w:szCs w:val="24"/>
          <w:lang w:eastAsia="hr-HR"/>
        </w:rPr>
        <w:t>egulatorni okvir</w:t>
      </w:r>
      <w:r w:rsidR="00F74BC1" w:rsidRPr="000479E9">
        <w:rPr>
          <w:rFonts w:ascii="Times New Roman" w:eastAsia="Times New Roman" w:hAnsi="Times New Roman" w:cs="Times New Roman"/>
          <w:bCs/>
          <w:sz w:val="24"/>
          <w:szCs w:val="24"/>
          <w:lang w:eastAsia="hr-HR"/>
        </w:rPr>
        <w:t xml:space="preserve"> Europske unije</w:t>
      </w:r>
      <w:r w:rsidR="00594F24" w:rsidRPr="000479E9">
        <w:rPr>
          <w:rFonts w:ascii="Times New Roman" w:eastAsia="Times New Roman" w:hAnsi="Times New Roman" w:cs="Times New Roman"/>
          <w:bCs/>
          <w:sz w:val="24"/>
          <w:szCs w:val="24"/>
          <w:lang w:eastAsia="hr-HR"/>
        </w:rPr>
        <w:t xml:space="preserve"> polazi od toga da su ponude i uvrštenja koji ispunjavaju uvjete izuzeća izvan prospektnog režima, uz zadržavanje općih </w:t>
      </w:r>
      <w:r w:rsidR="00594F24" w:rsidRPr="000479E9">
        <w:rPr>
          <w:rFonts w:ascii="Times New Roman" w:eastAsia="Times New Roman" w:hAnsi="Times New Roman" w:cs="Times New Roman"/>
          <w:bCs/>
          <w:i/>
          <w:sz w:val="24"/>
          <w:szCs w:val="24"/>
          <w:lang w:eastAsia="hr-HR"/>
        </w:rPr>
        <w:t>ex post</w:t>
      </w:r>
      <w:r w:rsidR="00594F24" w:rsidRPr="000479E9">
        <w:rPr>
          <w:rFonts w:ascii="Times New Roman" w:eastAsia="Times New Roman" w:hAnsi="Times New Roman" w:cs="Times New Roman"/>
          <w:bCs/>
          <w:sz w:val="24"/>
          <w:szCs w:val="24"/>
          <w:lang w:eastAsia="hr-HR"/>
        </w:rPr>
        <w:t xml:space="preserve"> nadzornih ovlasti nadležnih tijela. </w:t>
      </w:r>
      <w:r w:rsidR="00F74BC1" w:rsidRPr="000479E9">
        <w:rPr>
          <w:rFonts w:ascii="Times New Roman" w:eastAsia="Times New Roman" w:hAnsi="Times New Roman" w:cs="Times New Roman"/>
          <w:bCs/>
          <w:sz w:val="24"/>
          <w:szCs w:val="24"/>
          <w:lang w:eastAsia="hr-HR"/>
        </w:rPr>
        <w:t xml:space="preserve">Uredba (EU) br. 2017/1129 </w:t>
      </w:r>
      <w:r w:rsidR="00594F24" w:rsidRPr="000479E9">
        <w:rPr>
          <w:rFonts w:ascii="Times New Roman" w:eastAsia="Times New Roman" w:hAnsi="Times New Roman" w:cs="Times New Roman"/>
          <w:bCs/>
          <w:sz w:val="24"/>
          <w:szCs w:val="24"/>
          <w:lang w:eastAsia="hr-HR"/>
        </w:rPr>
        <w:t xml:space="preserve">detaljno uređuje sadržaj i dostupnost dokumenata u određenim izuzetim slučajevima (primjerice kod preuzimanja, spajanja ili dividendi u dionicama), ali ne uvodi opću obvezu prethodnog obavještavanja niti regulatorne validacije korištenja iznimke. </w:t>
      </w:r>
    </w:p>
    <w:p w14:paraId="530C8E4E" w14:textId="77777777" w:rsidR="00055F9F" w:rsidRPr="000479E9" w:rsidRDefault="00055F9F" w:rsidP="00927C1F">
      <w:pPr>
        <w:spacing w:after="0" w:line="240" w:lineRule="auto"/>
        <w:jc w:val="both"/>
        <w:rPr>
          <w:rFonts w:ascii="Times New Roman" w:eastAsia="Times New Roman" w:hAnsi="Times New Roman" w:cs="Times New Roman"/>
          <w:b/>
          <w:sz w:val="24"/>
          <w:szCs w:val="24"/>
          <w:lang w:eastAsia="hr-HR"/>
        </w:rPr>
      </w:pPr>
    </w:p>
    <w:p w14:paraId="6BA86FE8" w14:textId="14E6232A" w:rsidR="00594F24" w:rsidRPr="000479E9" w:rsidRDefault="00594F24"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0F5420" w:rsidRPr="000479E9">
        <w:rPr>
          <w:rFonts w:ascii="Times New Roman" w:eastAsia="Times New Roman" w:hAnsi="Times New Roman" w:cs="Times New Roman"/>
          <w:b/>
          <w:sz w:val="24"/>
          <w:szCs w:val="24"/>
          <w:lang w:eastAsia="hr-HR"/>
        </w:rPr>
        <w:t>60</w:t>
      </w:r>
      <w:r w:rsidRPr="000479E9">
        <w:rPr>
          <w:rFonts w:ascii="Times New Roman" w:eastAsia="Times New Roman" w:hAnsi="Times New Roman" w:cs="Times New Roman"/>
          <w:b/>
          <w:sz w:val="24"/>
          <w:szCs w:val="24"/>
          <w:lang w:eastAsia="hr-HR"/>
        </w:rPr>
        <w:t>.</w:t>
      </w:r>
    </w:p>
    <w:p w14:paraId="313760DE" w14:textId="7A3AE3D2" w:rsidR="00594F24" w:rsidRPr="000479E9" w:rsidRDefault="004B45B4" w:rsidP="00594F24">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w:t>
      </w:r>
      <w:r w:rsidR="00594F24" w:rsidRPr="000479E9">
        <w:rPr>
          <w:rFonts w:ascii="Times New Roman" w:eastAsia="Times New Roman" w:hAnsi="Times New Roman" w:cs="Times New Roman"/>
          <w:bCs/>
          <w:sz w:val="24"/>
          <w:szCs w:val="24"/>
          <w:lang w:eastAsia="hr-HR"/>
        </w:rPr>
        <w:t xml:space="preserve"> svrhu regulatornog rasterećenja izdavatelja, obveze koje nisu zahtijevane pravom Unije – obveza javne objave odluke nadležnog organa o utvrđenju godišnjih financijskih izvještaja te obveza objave prijedloga ili odluke o upotrebi dobiti ili pokriću gubitka, brišu se.</w:t>
      </w:r>
    </w:p>
    <w:p w14:paraId="361A7A93" w14:textId="77777777" w:rsidR="00594F24" w:rsidRPr="000479E9" w:rsidRDefault="00594F24" w:rsidP="00927C1F">
      <w:pPr>
        <w:spacing w:after="0" w:line="240" w:lineRule="auto"/>
        <w:jc w:val="both"/>
        <w:rPr>
          <w:rFonts w:ascii="Times New Roman" w:eastAsia="Times New Roman" w:hAnsi="Times New Roman" w:cs="Times New Roman"/>
          <w:b/>
          <w:sz w:val="24"/>
          <w:szCs w:val="24"/>
          <w:lang w:eastAsia="hr-HR"/>
        </w:rPr>
      </w:pPr>
    </w:p>
    <w:p w14:paraId="401237DA" w14:textId="3018014C" w:rsidR="00594F24" w:rsidRPr="000479E9" w:rsidRDefault="00873E95"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w:t>
      </w:r>
      <w:r w:rsidR="00594F24" w:rsidRPr="000479E9">
        <w:rPr>
          <w:rFonts w:ascii="Times New Roman" w:eastAsia="Times New Roman" w:hAnsi="Times New Roman" w:cs="Times New Roman"/>
          <w:b/>
          <w:sz w:val="24"/>
          <w:szCs w:val="24"/>
          <w:lang w:eastAsia="hr-HR"/>
        </w:rPr>
        <w:t xml:space="preserve">lanak </w:t>
      </w:r>
      <w:r w:rsidR="000F5420" w:rsidRPr="000479E9">
        <w:rPr>
          <w:rFonts w:ascii="Times New Roman" w:eastAsia="Times New Roman" w:hAnsi="Times New Roman" w:cs="Times New Roman"/>
          <w:b/>
          <w:sz w:val="24"/>
          <w:szCs w:val="24"/>
          <w:lang w:eastAsia="hr-HR"/>
        </w:rPr>
        <w:t>61</w:t>
      </w:r>
      <w:r w:rsidR="00594F24" w:rsidRPr="000479E9">
        <w:rPr>
          <w:rFonts w:ascii="Times New Roman" w:eastAsia="Times New Roman" w:hAnsi="Times New Roman" w:cs="Times New Roman"/>
          <w:b/>
          <w:sz w:val="24"/>
          <w:szCs w:val="24"/>
          <w:lang w:eastAsia="hr-HR"/>
        </w:rPr>
        <w:t xml:space="preserve">. </w:t>
      </w:r>
    </w:p>
    <w:p w14:paraId="6276D544" w14:textId="45E62CD2" w:rsidR="00594F24" w:rsidRPr="000479E9" w:rsidRDefault="0042713E" w:rsidP="00873E95">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I</w:t>
      </w:r>
      <w:r w:rsidR="00873E95" w:rsidRPr="000479E9">
        <w:rPr>
          <w:rFonts w:ascii="Times New Roman" w:eastAsia="Times New Roman" w:hAnsi="Times New Roman" w:cs="Times New Roman"/>
          <w:bCs/>
          <w:sz w:val="24"/>
          <w:szCs w:val="24"/>
          <w:lang w:eastAsia="hr-HR"/>
        </w:rPr>
        <w:t>z</w:t>
      </w:r>
      <w:r w:rsidR="00594F24" w:rsidRPr="000479E9">
        <w:rPr>
          <w:rFonts w:ascii="Times New Roman" w:eastAsia="Times New Roman" w:hAnsi="Times New Roman" w:cs="Times New Roman"/>
          <w:bCs/>
          <w:sz w:val="24"/>
          <w:szCs w:val="24"/>
          <w:lang w:eastAsia="hr-HR"/>
        </w:rPr>
        <w:t>mjenama članka 466.</w:t>
      </w:r>
      <w:r w:rsidR="00873E95" w:rsidRPr="000479E9">
        <w:rPr>
          <w:rFonts w:ascii="Times New Roman" w:eastAsia="Times New Roman" w:hAnsi="Times New Roman" w:cs="Times New Roman"/>
          <w:bCs/>
          <w:sz w:val="24"/>
          <w:szCs w:val="24"/>
          <w:lang w:eastAsia="hr-HR"/>
        </w:rPr>
        <w:t xml:space="preserve"> </w:t>
      </w:r>
      <w:r w:rsidR="007154A2" w:rsidRPr="000479E9">
        <w:rPr>
          <w:rFonts w:ascii="Times New Roman" w:eastAsia="Times New Roman" w:hAnsi="Times New Roman" w:cs="Times New Roman"/>
          <w:bCs/>
          <w:sz w:val="24"/>
          <w:szCs w:val="24"/>
          <w:lang w:eastAsia="hr-HR"/>
        </w:rPr>
        <w:t xml:space="preserve">važećeg Zakona </w:t>
      </w:r>
      <w:r w:rsidR="00873E95" w:rsidRPr="000479E9">
        <w:rPr>
          <w:rFonts w:ascii="Times New Roman" w:eastAsia="Times New Roman" w:hAnsi="Times New Roman" w:cs="Times New Roman"/>
          <w:bCs/>
          <w:sz w:val="24"/>
          <w:szCs w:val="24"/>
          <w:lang w:eastAsia="hr-HR"/>
        </w:rPr>
        <w:t>rasterećuje</w:t>
      </w:r>
      <w:r w:rsidRPr="000479E9">
        <w:rPr>
          <w:rFonts w:ascii="Times New Roman" w:eastAsia="Times New Roman" w:hAnsi="Times New Roman" w:cs="Times New Roman"/>
          <w:bCs/>
          <w:sz w:val="24"/>
          <w:szCs w:val="24"/>
          <w:lang w:eastAsia="hr-HR"/>
        </w:rPr>
        <w:t xml:space="preserve"> se</w:t>
      </w:r>
      <w:r w:rsidR="00873E95" w:rsidRPr="000479E9">
        <w:rPr>
          <w:rFonts w:ascii="Times New Roman" w:eastAsia="Times New Roman" w:hAnsi="Times New Roman" w:cs="Times New Roman"/>
          <w:bCs/>
          <w:sz w:val="24"/>
          <w:szCs w:val="24"/>
          <w:lang w:eastAsia="hr-HR"/>
        </w:rPr>
        <w:t xml:space="preserve"> izdavatelje po</w:t>
      </w:r>
      <w:r w:rsidR="00594F24" w:rsidRPr="000479E9">
        <w:rPr>
          <w:rFonts w:ascii="Times New Roman" w:eastAsia="Times New Roman" w:hAnsi="Times New Roman" w:cs="Times New Roman"/>
          <w:bCs/>
          <w:sz w:val="24"/>
          <w:szCs w:val="24"/>
          <w:lang w:eastAsia="hr-HR"/>
        </w:rPr>
        <w:t xml:space="preserve"> pitanju sadržaja</w:t>
      </w:r>
      <w:r w:rsidR="00873E95" w:rsidRPr="000479E9">
        <w:rPr>
          <w:rFonts w:ascii="Times New Roman" w:eastAsia="Times New Roman" w:hAnsi="Times New Roman" w:cs="Times New Roman"/>
          <w:bCs/>
          <w:sz w:val="24"/>
          <w:szCs w:val="24"/>
          <w:lang w:eastAsia="hr-HR"/>
        </w:rPr>
        <w:t xml:space="preserve"> polugodišnjih financijskih izvještaja te se podredno navedeni zahtjevi</w:t>
      </w:r>
      <w:r w:rsidR="00594F24" w:rsidRPr="000479E9">
        <w:rPr>
          <w:rFonts w:ascii="Times New Roman" w:eastAsia="Times New Roman" w:hAnsi="Times New Roman" w:cs="Times New Roman"/>
          <w:bCs/>
          <w:sz w:val="24"/>
          <w:szCs w:val="24"/>
          <w:lang w:eastAsia="hr-HR"/>
        </w:rPr>
        <w:t xml:space="preserve"> usklađ</w:t>
      </w:r>
      <w:r w:rsidR="00873E95" w:rsidRPr="000479E9">
        <w:rPr>
          <w:rFonts w:ascii="Times New Roman" w:eastAsia="Times New Roman" w:hAnsi="Times New Roman" w:cs="Times New Roman"/>
          <w:bCs/>
          <w:sz w:val="24"/>
          <w:szCs w:val="24"/>
          <w:lang w:eastAsia="hr-HR"/>
        </w:rPr>
        <w:t>uju</w:t>
      </w:r>
      <w:r w:rsidR="00594F24" w:rsidRPr="000479E9">
        <w:rPr>
          <w:rFonts w:ascii="Times New Roman" w:eastAsia="Times New Roman" w:hAnsi="Times New Roman" w:cs="Times New Roman"/>
          <w:bCs/>
          <w:sz w:val="24"/>
          <w:szCs w:val="24"/>
          <w:lang w:eastAsia="hr-HR"/>
        </w:rPr>
        <w:t xml:space="preserve"> s Direktivom 2004/109 (čl</w:t>
      </w:r>
      <w:r w:rsidR="007154A2" w:rsidRPr="000479E9">
        <w:rPr>
          <w:rFonts w:ascii="Times New Roman" w:eastAsia="Times New Roman" w:hAnsi="Times New Roman" w:cs="Times New Roman"/>
          <w:bCs/>
          <w:sz w:val="24"/>
          <w:szCs w:val="24"/>
          <w:lang w:eastAsia="hr-HR"/>
        </w:rPr>
        <w:t xml:space="preserve">anak </w:t>
      </w:r>
      <w:r w:rsidR="00594F24" w:rsidRPr="000479E9">
        <w:rPr>
          <w:rFonts w:ascii="Times New Roman" w:eastAsia="Times New Roman" w:hAnsi="Times New Roman" w:cs="Times New Roman"/>
          <w:bCs/>
          <w:sz w:val="24"/>
          <w:szCs w:val="24"/>
          <w:lang w:eastAsia="hr-HR"/>
        </w:rPr>
        <w:t>5. s</w:t>
      </w:r>
      <w:r w:rsidR="007154A2" w:rsidRPr="000479E9">
        <w:rPr>
          <w:rFonts w:ascii="Times New Roman" w:eastAsia="Times New Roman" w:hAnsi="Times New Roman" w:cs="Times New Roman"/>
          <w:bCs/>
          <w:sz w:val="24"/>
          <w:szCs w:val="24"/>
          <w:lang w:eastAsia="hr-HR"/>
        </w:rPr>
        <w:t>tav</w:t>
      </w:r>
      <w:r w:rsidR="001146DC">
        <w:rPr>
          <w:rFonts w:ascii="Times New Roman" w:eastAsia="Times New Roman" w:hAnsi="Times New Roman" w:cs="Times New Roman"/>
          <w:bCs/>
          <w:sz w:val="24"/>
          <w:szCs w:val="24"/>
          <w:lang w:eastAsia="hr-HR"/>
        </w:rPr>
        <w:t>ci</w:t>
      </w:r>
      <w:r w:rsidR="007154A2" w:rsidRPr="000479E9">
        <w:rPr>
          <w:rFonts w:ascii="Times New Roman" w:eastAsia="Times New Roman" w:hAnsi="Times New Roman" w:cs="Times New Roman"/>
          <w:bCs/>
          <w:sz w:val="24"/>
          <w:szCs w:val="24"/>
          <w:lang w:eastAsia="hr-HR"/>
        </w:rPr>
        <w:t xml:space="preserve"> </w:t>
      </w:r>
      <w:r w:rsidR="00594F24" w:rsidRPr="000479E9">
        <w:rPr>
          <w:rFonts w:ascii="Times New Roman" w:eastAsia="Times New Roman" w:hAnsi="Times New Roman" w:cs="Times New Roman"/>
          <w:bCs/>
          <w:sz w:val="24"/>
          <w:szCs w:val="24"/>
          <w:lang w:eastAsia="hr-HR"/>
        </w:rPr>
        <w:t>3. i 4.) i Direktivom</w:t>
      </w:r>
      <w:r w:rsidR="00611791" w:rsidRPr="000479E9">
        <w:rPr>
          <w:rFonts w:ascii="Times New Roman" w:eastAsia="Times New Roman" w:hAnsi="Times New Roman" w:cs="Times New Roman"/>
          <w:bCs/>
          <w:sz w:val="24"/>
          <w:szCs w:val="24"/>
          <w:lang w:eastAsia="hr-HR"/>
        </w:rPr>
        <w:t xml:space="preserve"> Komisije</w:t>
      </w:r>
      <w:r w:rsidR="00594F24" w:rsidRPr="000479E9">
        <w:rPr>
          <w:rFonts w:ascii="Times New Roman" w:eastAsia="Times New Roman" w:hAnsi="Times New Roman" w:cs="Times New Roman"/>
          <w:bCs/>
          <w:sz w:val="24"/>
          <w:szCs w:val="24"/>
          <w:lang w:eastAsia="hr-HR"/>
        </w:rPr>
        <w:t xml:space="preserve"> 2004/17 (čl</w:t>
      </w:r>
      <w:r w:rsidRPr="000479E9">
        <w:rPr>
          <w:rFonts w:ascii="Times New Roman" w:eastAsia="Times New Roman" w:hAnsi="Times New Roman" w:cs="Times New Roman"/>
          <w:bCs/>
          <w:sz w:val="24"/>
          <w:szCs w:val="24"/>
          <w:lang w:eastAsia="hr-HR"/>
        </w:rPr>
        <w:t>an</w:t>
      </w:r>
      <w:r w:rsidR="001146DC">
        <w:rPr>
          <w:rFonts w:ascii="Times New Roman" w:eastAsia="Times New Roman" w:hAnsi="Times New Roman" w:cs="Times New Roman"/>
          <w:bCs/>
          <w:sz w:val="24"/>
          <w:szCs w:val="24"/>
          <w:lang w:eastAsia="hr-HR"/>
        </w:rPr>
        <w:t>ci</w:t>
      </w:r>
      <w:r w:rsidRPr="000479E9">
        <w:rPr>
          <w:rFonts w:ascii="Times New Roman" w:eastAsia="Times New Roman" w:hAnsi="Times New Roman" w:cs="Times New Roman"/>
          <w:bCs/>
          <w:sz w:val="24"/>
          <w:szCs w:val="24"/>
          <w:lang w:eastAsia="hr-HR"/>
        </w:rPr>
        <w:t xml:space="preserve"> </w:t>
      </w:r>
      <w:r w:rsidR="00594F24" w:rsidRPr="000479E9">
        <w:rPr>
          <w:rFonts w:ascii="Times New Roman" w:eastAsia="Times New Roman" w:hAnsi="Times New Roman" w:cs="Times New Roman"/>
          <w:bCs/>
          <w:sz w:val="24"/>
          <w:szCs w:val="24"/>
          <w:lang w:eastAsia="hr-HR"/>
        </w:rPr>
        <w:t>3. i 4.)</w:t>
      </w:r>
      <w:r w:rsidRPr="000479E9">
        <w:rPr>
          <w:rFonts w:ascii="Times New Roman" w:eastAsia="Times New Roman" w:hAnsi="Times New Roman" w:cs="Times New Roman"/>
          <w:bCs/>
          <w:sz w:val="24"/>
          <w:szCs w:val="24"/>
          <w:lang w:eastAsia="hr-HR"/>
        </w:rPr>
        <w:t>.</w:t>
      </w:r>
      <w:r w:rsidR="00BE3A26" w:rsidRPr="000479E9">
        <w:t xml:space="preserve"> </w:t>
      </w:r>
      <w:r w:rsidR="00BE3A26" w:rsidRPr="000479E9">
        <w:rPr>
          <w:rFonts w:ascii="Times New Roman" w:hAnsi="Times New Roman" w:cs="Times New Roman"/>
          <w:sz w:val="24"/>
          <w:szCs w:val="24"/>
        </w:rPr>
        <w:t>Naime,</w:t>
      </w:r>
      <w:r w:rsidR="00BE3A26" w:rsidRPr="000479E9">
        <w:rPr>
          <w:rFonts w:ascii="Times New Roman" w:hAnsi="Times New Roman" w:cs="Times New Roman"/>
        </w:rPr>
        <w:t xml:space="preserve"> v</w:t>
      </w:r>
      <w:r w:rsidR="00BE3A26" w:rsidRPr="000479E9">
        <w:rPr>
          <w:rFonts w:ascii="Times New Roman" w:eastAsia="Times New Roman" w:hAnsi="Times New Roman" w:cs="Times New Roman"/>
          <w:bCs/>
          <w:sz w:val="24"/>
          <w:szCs w:val="24"/>
          <w:lang w:eastAsia="hr-HR"/>
        </w:rPr>
        <w:t xml:space="preserve">ažeći Zakon koristi mogućnost koju Direktivom 2004/109/EZ (tzv. Direktiva o transparentnosti) imaju države članice da u određenim područjima propišu zahtjeve koji prelaze minimalni regulatorni standard utvrđen to direktivom. Međutim, predloženom izmjenom odustaje se od tog nacionalnog regulatornog standarda te se zakon usklađuje s minimalnim zahtjevima propisanima Direktivom 2004/109, </w:t>
      </w:r>
      <w:r w:rsidR="00BE3A26" w:rsidRPr="000479E9">
        <w:rPr>
          <w:rFonts w:ascii="Times New Roman" w:eastAsia="Times New Roman" w:hAnsi="Times New Roman" w:cs="Times New Roman"/>
          <w:bCs/>
          <w:sz w:val="24"/>
          <w:szCs w:val="24"/>
          <w:lang w:eastAsia="hr-HR"/>
        </w:rPr>
        <w:lastRenderedPageBreak/>
        <w:t>budući da je ocijenjeno kako dodatni nacionalni zahtjevi više nisu nužni za ostvarivanje ciljeva transparentnosti tržišta i zaštite ulagatelja.</w:t>
      </w:r>
      <w:r w:rsidRPr="000479E9">
        <w:rPr>
          <w:rFonts w:ascii="Times New Roman" w:eastAsia="Times New Roman" w:hAnsi="Times New Roman" w:cs="Times New Roman"/>
          <w:bCs/>
          <w:sz w:val="24"/>
          <w:szCs w:val="24"/>
          <w:lang w:eastAsia="hr-HR"/>
        </w:rPr>
        <w:t xml:space="preserve"> P</w:t>
      </w:r>
      <w:r w:rsidR="00873E95" w:rsidRPr="000479E9">
        <w:rPr>
          <w:rFonts w:ascii="Times New Roman" w:eastAsia="Times New Roman" w:hAnsi="Times New Roman" w:cs="Times New Roman"/>
          <w:bCs/>
          <w:sz w:val="24"/>
          <w:szCs w:val="24"/>
          <w:lang w:eastAsia="hr-HR"/>
        </w:rPr>
        <w:t>redmetna izmjena znači da izdavatelj može birati između dvije opcije polugodišnjeg financijskog izvještavanja: financijskih izvještaja sastavljenih u skladu s međunarodnim standardom za razdoblja tijekom godine (IAS 34), ili skraćenog seta financijskih izvještaja (</w:t>
      </w:r>
      <w:r w:rsidR="00873E95" w:rsidRPr="000479E9">
        <w:rPr>
          <w:rFonts w:ascii="Times New Roman" w:eastAsia="Times New Roman" w:hAnsi="Times New Roman" w:cs="Times New Roman"/>
          <w:bCs/>
          <w:i/>
          <w:sz w:val="24"/>
          <w:szCs w:val="24"/>
          <w:lang w:eastAsia="hr-HR"/>
        </w:rPr>
        <w:t>condensed financial statements</w:t>
      </w:r>
      <w:r w:rsidR="00873E95" w:rsidRPr="000479E9">
        <w:rPr>
          <w:rFonts w:ascii="Times New Roman" w:eastAsia="Times New Roman" w:hAnsi="Times New Roman" w:cs="Times New Roman"/>
          <w:bCs/>
          <w:sz w:val="24"/>
          <w:szCs w:val="24"/>
          <w:lang w:eastAsia="hr-HR"/>
        </w:rPr>
        <w:t>) s minimalnim sadržajem propisanim člankom 5. stavkom 3. Direktive</w:t>
      </w:r>
      <w:r w:rsidR="001D143D" w:rsidRPr="000479E9">
        <w:rPr>
          <w:rFonts w:ascii="Times New Roman" w:eastAsia="Times New Roman" w:hAnsi="Times New Roman" w:cs="Times New Roman"/>
          <w:bCs/>
          <w:sz w:val="24"/>
          <w:szCs w:val="24"/>
          <w:lang w:eastAsia="hr-HR"/>
        </w:rPr>
        <w:t xml:space="preserve"> 2004/109</w:t>
      </w:r>
      <w:r w:rsidR="00873E95" w:rsidRPr="000479E9">
        <w:rPr>
          <w:rFonts w:ascii="Times New Roman" w:eastAsia="Times New Roman" w:hAnsi="Times New Roman" w:cs="Times New Roman"/>
          <w:bCs/>
          <w:sz w:val="24"/>
          <w:szCs w:val="24"/>
          <w:lang w:eastAsia="hr-HR"/>
        </w:rPr>
        <w:t xml:space="preserve">, razrađenim Direktivom </w:t>
      </w:r>
      <w:r w:rsidR="001D143D" w:rsidRPr="000479E9">
        <w:rPr>
          <w:rFonts w:ascii="Times New Roman" w:eastAsia="Times New Roman" w:hAnsi="Times New Roman" w:cs="Times New Roman"/>
          <w:bCs/>
          <w:sz w:val="24"/>
          <w:szCs w:val="24"/>
          <w:lang w:eastAsia="hr-HR"/>
        </w:rPr>
        <w:t xml:space="preserve">Komisije </w:t>
      </w:r>
      <w:r w:rsidR="00873E95" w:rsidRPr="000479E9">
        <w:rPr>
          <w:rFonts w:ascii="Times New Roman" w:eastAsia="Times New Roman" w:hAnsi="Times New Roman" w:cs="Times New Roman"/>
          <w:bCs/>
          <w:sz w:val="24"/>
          <w:szCs w:val="24"/>
          <w:lang w:eastAsia="hr-HR"/>
        </w:rPr>
        <w:t xml:space="preserve">2007/14/EZ.  </w:t>
      </w:r>
    </w:p>
    <w:p w14:paraId="30684C02" w14:textId="77777777" w:rsidR="00594F24" w:rsidRPr="000479E9" w:rsidRDefault="00594F24" w:rsidP="00927C1F">
      <w:pPr>
        <w:spacing w:after="0" w:line="240" w:lineRule="auto"/>
        <w:jc w:val="both"/>
        <w:rPr>
          <w:rFonts w:ascii="Times New Roman" w:eastAsia="Times New Roman" w:hAnsi="Times New Roman" w:cs="Times New Roman"/>
          <w:b/>
          <w:sz w:val="24"/>
          <w:szCs w:val="24"/>
          <w:lang w:eastAsia="hr-HR"/>
        </w:rPr>
      </w:pPr>
    </w:p>
    <w:p w14:paraId="705D4608" w14:textId="461D049F" w:rsidR="00873E95" w:rsidRPr="000479E9" w:rsidRDefault="00873E95"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0F5420" w:rsidRPr="000479E9">
        <w:rPr>
          <w:rFonts w:ascii="Times New Roman" w:eastAsia="Times New Roman" w:hAnsi="Times New Roman" w:cs="Times New Roman"/>
          <w:b/>
          <w:sz w:val="24"/>
          <w:szCs w:val="24"/>
          <w:lang w:eastAsia="hr-HR"/>
        </w:rPr>
        <w:t>62</w:t>
      </w:r>
      <w:r w:rsidRPr="000479E9">
        <w:rPr>
          <w:rFonts w:ascii="Times New Roman" w:eastAsia="Times New Roman" w:hAnsi="Times New Roman" w:cs="Times New Roman"/>
          <w:b/>
          <w:sz w:val="24"/>
          <w:szCs w:val="24"/>
          <w:lang w:eastAsia="hr-HR"/>
        </w:rPr>
        <w:t>.</w:t>
      </w:r>
    </w:p>
    <w:p w14:paraId="316AA9C1" w14:textId="2573C607" w:rsidR="00873E95" w:rsidRPr="000479E9" w:rsidRDefault="00873E95"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U svrhu regulatornog rasterećenja izdavatelja, predlaže se produljenje roka za </w:t>
      </w:r>
      <w:r w:rsidR="00B92134" w:rsidRPr="000479E9">
        <w:rPr>
          <w:rFonts w:ascii="Times New Roman" w:eastAsia="Times New Roman" w:hAnsi="Times New Roman" w:cs="Times New Roman"/>
          <w:bCs/>
          <w:sz w:val="24"/>
          <w:szCs w:val="24"/>
          <w:lang w:eastAsia="hr-HR"/>
        </w:rPr>
        <w:t>objavu tromjesečnih financijskih izvještaja.</w:t>
      </w:r>
    </w:p>
    <w:p w14:paraId="6580B9B5" w14:textId="16613351" w:rsidR="00B92134" w:rsidRPr="000479E9" w:rsidRDefault="00B92134" w:rsidP="00927C1F">
      <w:pPr>
        <w:spacing w:after="0" w:line="240" w:lineRule="auto"/>
        <w:jc w:val="both"/>
        <w:rPr>
          <w:rFonts w:ascii="Times New Roman" w:eastAsia="Times New Roman" w:hAnsi="Times New Roman" w:cs="Times New Roman"/>
          <w:b/>
          <w:sz w:val="24"/>
          <w:szCs w:val="24"/>
          <w:lang w:eastAsia="hr-HR"/>
        </w:rPr>
      </w:pPr>
    </w:p>
    <w:p w14:paraId="29FA66BF" w14:textId="62472C8A" w:rsidR="00B92134" w:rsidRPr="000479E9" w:rsidRDefault="00B92134"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6</w:t>
      </w:r>
      <w:r w:rsidR="000F5420" w:rsidRPr="000479E9">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w:t>
      </w:r>
    </w:p>
    <w:p w14:paraId="25DBAAF2" w14:textId="1B1CB1EA" w:rsidR="00B92134" w:rsidRPr="000479E9" w:rsidRDefault="00B92134"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U svrhu regulatornog rasterećenja, obzirom na predložene izmjene vezano za ispodgodišnje izvještavanje, pravilnikom nije potrebno dodatno detaljno propisivanje sadržaja, strukture i tehničkih formata </w:t>
      </w:r>
      <w:r w:rsidRPr="000479E9">
        <w:rPr>
          <w:rFonts w:ascii="Times New Roman" w:eastAsia="Times New Roman" w:hAnsi="Times New Roman" w:cs="Times New Roman"/>
          <w:sz w:val="24"/>
          <w:szCs w:val="24"/>
          <w:lang w:eastAsia="hr-HR"/>
        </w:rPr>
        <w:t>po</w:t>
      </w:r>
      <w:r w:rsidR="04FF68E9" w:rsidRPr="000479E9">
        <w:rPr>
          <w:rFonts w:ascii="Times New Roman" w:eastAsia="Times New Roman" w:hAnsi="Times New Roman" w:cs="Times New Roman"/>
          <w:sz w:val="24"/>
          <w:szCs w:val="24"/>
          <w:lang w:eastAsia="hr-HR"/>
        </w:rPr>
        <w:t>l</w:t>
      </w:r>
      <w:r w:rsidRPr="000479E9">
        <w:rPr>
          <w:rFonts w:ascii="Times New Roman" w:eastAsia="Times New Roman" w:hAnsi="Times New Roman" w:cs="Times New Roman"/>
          <w:sz w:val="24"/>
          <w:szCs w:val="24"/>
          <w:lang w:eastAsia="hr-HR"/>
        </w:rPr>
        <w:t>ugodišnjih</w:t>
      </w:r>
      <w:r w:rsidRPr="000479E9">
        <w:rPr>
          <w:rFonts w:ascii="Times New Roman" w:eastAsia="Times New Roman" w:hAnsi="Times New Roman" w:cs="Times New Roman"/>
          <w:bCs/>
          <w:sz w:val="24"/>
          <w:szCs w:val="24"/>
          <w:lang w:eastAsia="hr-HR"/>
        </w:rPr>
        <w:t xml:space="preserve"> i tromjesečnih izvještaja od strane </w:t>
      </w:r>
      <w:r w:rsidR="00F71D11" w:rsidRPr="000479E9">
        <w:rPr>
          <w:rFonts w:ascii="Times New Roman" w:eastAsia="Times New Roman" w:hAnsi="Times New Roman" w:cs="Times New Roman"/>
          <w:bCs/>
          <w:sz w:val="24"/>
          <w:szCs w:val="24"/>
          <w:lang w:eastAsia="hr-HR"/>
        </w:rPr>
        <w:t>Agencij</w:t>
      </w:r>
      <w:r w:rsidRPr="000479E9">
        <w:rPr>
          <w:rFonts w:ascii="Times New Roman" w:eastAsia="Times New Roman" w:hAnsi="Times New Roman" w:cs="Times New Roman"/>
          <w:bCs/>
          <w:sz w:val="24"/>
          <w:szCs w:val="24"/>
          <w:lang w:eastAsia="hr-HR"/>
        </w:rPr>
        <w:t>e pa se predlaže pravnu osnovu za donošenje pravilnika brisati, a sam pravilnik koji je na snazi ukinuti.</w:t>
      </w:r>
    </w:p>
    <w:p w14:paraId="7D89D77D" w14:textId="77777777" w:rsidR="00B92134" w:rsidRPr="000479E9" w:rsidRDefault="00B92134" w:rsidP="00927C1F">
      <w:pPr>
        <w:spacing w:after="0" w:line="240" w:lineRule="auto"/>
        <w:jc w:val="both"/>
        <w:rPr>
          <w:rFonts w:ascii="Times New Roman" w:eastAsia="Times New Roman" w:hAnsi="Times New Roman" w:cs="Times New Roman"/>
          <w:b/>
          <w:sz w:val="24"/>
          <w:szCs w:val="24"/>
          <w:lang w:eastAsia="hr-HR"/>
        </w:rPr>
      </w:pPr>
    </w:p>
    <w:p w14:paraId="03A4DE4B" w14:textId="5F848FBC" w:rsidR="00B92134" w:rsidRPr="000479E9" w:rsidRDefault="00B92134"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6</w:t>
      </w:r>
      <w:r w:rsidR="000F5420"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w:t>
      </w:r>
    </w:p>
    <w:p w14:paraId="6FC3AAAE" w14:textId="4426BA73" w:rsidR="00B92134" w:rsidRPr="000479E9" w:rsidRDefault="00B92134"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Ovim se člankom predlaže obvezu i rokove za objavu javnosti o stjecanju i otpuštanju vlastitih dionica izdavatelja uskladiti sa zahtjevima iz </w:t>
      </w:r>
      <w:r w:rsidR="005F74F2" w:rsidRPr="000479E9">
        <w:rPr>
          <w:rFonts w:ascii="Times New Roman" w:eastAsia="Times New Roman" w:hAnsi="Times New Roman" w:cs="Times New Roman"/>
          <w:bCs/>
          <w:sz w:val="24"/>
          <w:szCs w:val="24"/>
          <w:lang w:eastAsia="hr-HR"/>
        </w:rPr>
        <w:t xml:space="preserve">Direktive 2004/109/EZ </w:t>
      </w:r>
      <w:r w:rsidRPr="000479E9">
        <w:rPr>
          <w:rFonts w:ascii="Times New Roman" w:eastAsia="Times New Roman" w:hAnsi="Times New Roman" w:cs="Times New Roman"/>
          <w:bCs/>
          <w:sz w:val="24"/>
          <w:szCs w:val="24"/>
          <w:lang w:eastAsia="hr-HR"/>
        </w:rPr>
        <w:t xml:space="preserve">i </w:t>
      </w:r>
      <w:r w:rsidR="00DD7C1E" w:rsidRPr="000479E9">
        <w:rPr>
          <w:rFonts w:ascii="Times New Roman" w:eastAsia="Times New Roman" w:hAnsi="Times New Roman" w:cs="Times New Roman"/>
          <w:bCs/>
          <w:sz w:val="24"/>
          <w:szCs w:val="24"/>
          <w:lang w:eastAsia="hr-HR"/>
        </w:rPr>
        <w:t>obvezu uvesti samo za prelaske pragova od 5</w:t>
      </w:r>
      <w:r w:rsidR="001146DC">
        <w:rPr>
          <w:rFonts w:ascii="Times New Roman" w:eastAsia="Times New Roman" w:hAnsi="Times New Roman" w:cs="Times New Roman"/>
          <w:bCs/>
          <w:sz w:val="24"/>
          <w:szCs w:val="24"/>
          <w:lang w:eastAsia="hr-HR"/>
        </w:rPr>
        <w:t>%</w:t>
      </w:r>
      <w:r w:rsidR="00DE5AE7" w:rsidRPr="000479E9">
        <w:rPr>
          <w:rFonts w:ascii="Times New Roman" w:eastAsia="Times New Roman" w:hAnsi="Times New Roman" w:cs="Times New Roman"/>
          <w:bCs/>
          <w:sz w:val="24"/>
          <w:szCs w:val="24"/>
          <w:lang w:eastAsia="hr-HR"/>
        </w:rPr>
        <w:t>,</w:t>
      </w:r>
      <w:r w:rsidR="00DD7C1E" w:rsidRPr="000479E9">
        <w:rPr>
          <w:rFonts w:ascii="Times New Roman" w:eastAsia="Times New Roman" w:hAnsi="Times New Roman" w:cs="Times New Roman"/>
          <w:bCs/>
          <w:sz w:val="24"/>
          <w:szCs w:val="24"/>
          <w:lang w:eastAsia="hr-HR"/>
        </w:rPr>
        <w:t xml:space="preserve"> odnosno 10% , u roku od </w:t>
      </w:r>
      <w:r w:rsidR="005F74F2" w:rsidRPr="000479E9">
        <w:rPr>
          <w:rFonts w:ascii="Times New Roman" w:eastAsia="Times New Roman" w:hAnsi="Times New Roman" w:cs="Times New Roman"/>
          <w:bCs/>
          <w:sz w:val="24"/>
          <w:szCs w:val="24"/>
          <w:lang w:eastAsia="hr-HR"/>
        </w:rPr>
        <w:t>četiri</w:t>
      </w:r>
      <w:r w:rsidR="00DD7C1E" w:rsidRPr="000479E9">
        <w:rPr>
          <w:rFonts w:ascii="Times New Roman" w:eastAsia="Times New Roman" w:hAnsi="Times New Roman" w:cs="Times New Roman"/>
          <w:bCs/>
          <w:sz w:val="24"/>
          <w:szCs w:val="24"/>
          <w:lang w:eastAsia="hr-HR"/>
        </w:rPr>
        <w:t xml:space="preserve"> trgovinska dana. Navedeno predstavlja operativno i administrativno značajno rasterećenje izdavatelja, budući da važeći zakon propisuje obvezu objave za svako stjecanje i otpuštanje. </w:t>
      </w:r>
    </w:p>
    <w:p w14:paraId="5C11B76C" w14:textId="77777777" w:rsidR="00DE5AE7" w:rsidRPr="000479E9" w:rsidRDefault="00DE5AE7" w:rsidP="00927C1F">
      <w:pPr>
        <w:spacing w:after="0" w:line="240" w:lineRule="auto"/>
        <w:jc w:val="both"/>
        <w:rPr>
          <w:rFonts w:ascii="Times New Roman" w:eastAsia="Times New Roman" w:hAnsi="Times New Roman" w:cs="Times New Roman"/>
          <w:b/>
          <w:sz w:val="24"/>
          <w:szCs w:val="24"/>
          <w:lang w:eastAsia="hr-HR"/>
        </w:rPr>
      </w:pPr>
    </w:p>
    <w:p w14:paraId="7C7E38F3" w14:textId="7B8B04D2"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766C05" w:rsidRPr="000479E9">
        <w:rPr>
          <w:rFonts w:ascii="Times New Roman" w:eastAsia="Times New Roman" w:hAnsi="Times New Roman" w:cs="Times New Roman"/>
          <w:b/>
          <w:sz w:val="24"/>
          <w:szCs w:val="24"/>
          <w:lang w:eastAsia="hr-HR"/>
        </w:rPr>
        <w:t>6</w:t>
      </w:r>
      <w:r w:rsidR="000F5420" w:rsidRPr="000479E9">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w:t>
      </w:r>
    </w:p>
    <w:p w14:paraId="245BF226" w14:textId="5BB39653" w:rsidR="00DD7C1E" w:rsidRPr="000479E9" w:rsidRDefault="00DD7C1E"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Ovim se izmjenama nomotehnički ispravlja odredba članka 480. </w:t>
      </w:r>
      <w:r w:rsidR="007154A2" w:rsidRPr="000479E9">
        <w:rPr>
          <w:rFonts w:ascii="Times New Roman" w:eastAsia="Times New Roman" w:hAnsi="Times New Roman" w:cs="Times New Roman"/>
          <w:bCs/>
          <w:sz w:val="24"/>
          <w:szCs w:val="24"/>
          <w:lang w:eastAsia="hr-HR"/>
        </w:rPr>
        <w:t>važećeg Zakona</w:t>
      </w:r>
    </w:p>
    <w:p w14:paraId="7C86AD4E" w14:textId="55B37D40"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p>
    <w:p w14:paraId="61D8DA16" w14:textId="1F44F137"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766C05" w:rsidRPr="000479E9">
        <w:rPr>
          <w:rFonts w:ascii="Times New Roman" w:eastAsia="Times New Roman" w:hAnsi="Times New Roman" w:cs="Times New Roman"/>
          <w:b/>
          <w:sz w:val="24"/>
          <w:szCs w:val="24"/>
          <w:lang w:eastAsia="hr-HR"/>
        </w:rPr>
        <w:t>6</w:t>
      </w:r>
      <w:r w:rsidR="000F5420"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w:t>
      </w:r>
    </w:p>
    <w:p w14:paraId="3593DA1A" w14:textId="2C59A95C" w:rsidR="00DD7C1E" w:rsidRPr="000479E9" w:rsidRDefault="00DD7C1E"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Ovim se prijedlogom izmjene članka 496. </w:t>
      </w:r>
      <w:r w:rsidR="007154A2" w:rsidRPr="000479E9">
        <w:rPr>
          <w:rFonts w:ascii="Times New Roman" w:eastAsia="Times New Roman" w:hAnsi="Times New Roman" w:cs="Times New Roman"/>
          <w:bCs/>
          <w:sz w:val="24"/>
          <w:szCs w:val="24"/>
          <w:lang w:eastAsia="hr-HR"/>
        </w:rPr>
        <w:t>važećeg Zakona</w:t>
      </w:r>
      <w:r w:rsidRPr="000479E9">
        <w:rPr>
          <w:rFonts w:ascii="Times New Roman" w:eastAsia="Times New Roman" w:hAnsi="Times New Roman" w:cs="Times New Roman"/>
          <w:bCs/>
          <w:sz w:val="24"/>
          <w:szCs w:val="24"/>
          <w:lang w:eastAsia="hr-HR"/>
        </w:rPr>
        <w:t xml:space="preserve"> osigurava zakonska pretpostavka kako bi se </w:t>
      </w:r>
      <w:r w:rsidR="00597300" w:rsidRPr="000479E9">
        <w:rPr>
          <w:rFonts w:ascii="Times New Roman" w:eastAsia="Times New Roman" w:hAnsi="Times New Roman" w:cs="Times New Roman"/>
          <w:bCs/>
          <w:sz w:val="24"/>
          <w:szCs w:val="24"/>
          <w:lang w:eastAsia="hr-HR"/>
        </w:rPr>
        <w:t>naknadno</w:t>
      </w:r>
      <w:r w:rsidRPr="000479E9">
        <w:rPr>
          <w:rFonts w:ascii="Times New Roman" w:eastAsia="Times New Roman" w:hAnsi="Times New Roman" w:cs="Times New Roman"/>
          <w:bCs/>
          <w:sz w:val="24"/>
          <w:szCs w:val="24"/>
          <w:lang w:eastAsia="hr-HR"/>
        </w:rPr>
        <w:t xml:space="preserve"> mogla razmotriti daljnja regulatorna rasterećenja vezano za uvjete potpisivanja financijskih izvještaja.</w:t>
      </w:r>
    </w:p>
    <w:p w14:paraId="4B69F0DF" w14:textId="77777777"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p>
    <w:p w14:paraId="39DBD8AE" w14:textId="32E68773"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766C05" w:rsidRPr="000479E9">
        <w:rPr>
          <w:rFonts w:ascii="Times New Roman" w:eastAsia="Times New Roman" w:hAnsi="Times New Roman" w:cs="Times New Roman"/>
          <w:b/>
          <w:sz w:val="24"/>
          <w:szCs w:val="24"/>
          <w:lang w:eastAsia="hr-HR"/>
        </w:rPr>
        <w:t>6</w:t>
      </w:r>
      <w:r w:rsidR="000F5420" w:rsidRPr="000479E9">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w:t>
      </w:r>
    </w:p>
    <w:p w14:paraId="11B6115F" w14:textId="77777777" w:rsidR="00DD7C1E" w:rsidRPr="000479E9" w:rsidRDefault="00DD7C1E"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se člankom briše mogućnost da Službeni registar propisanih informacija vodi drugi pravni subjekt, obzirom da ga Agencija vodi od uspostavljanja registra.</w:t>
      </w:r>
    </w:p>
    <w:p w14:paraId="77D5C679" w14:textId="77777777"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p>
    <w:p w14:paraId="3CFFE37F" w14:textId="50E710A8"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766C05" w:rsidRPr="000479E9">
        <w:rPr>
          <w:rFonts w:ascii="Times New Roman" w:eastAsia="Times New Roman" w:hAnsi="Times New Roman" w:cs="Times New Roman"/>
          <w:b/>
          <w:sz w:val="24"/>
          <w:szCs w:val="24"/>
          <w:lang w:eastAsia="hr-HR"/>
        </w:rPr>
        <w:t>6</w:t>
      </w:r>
      <w:r w:rsidR="000F5420" w:rsidRPr="000479E9">
        <w:rPr>
          <w:rFonts w:ascii="Times New Roman" w:eastAsia="Times New Roman" w:hAnsi="Times New Roman" w:cs="Times New Roman"/>
          <w:b/>
          <w:sz w:val="24"/>
          <w:szCs w:val="24"/>
          <w:lang w:eastAsia="hr-HR"/>
        </w:rPr>
        <w:t>8</w:t>
      </w:r>
      <w:r w:rsidRPr="000479E9">
        <w:rPr>
          <w:rFonts w:ascii="Times New Roman" w:eastAsia="Times New Roman" w:hAnsi="Times New Roman" w:cs="Times New Roman"/>
          <w:b/>
          <w:sz w:val="24"/>
          <w:szCs w:val="24"/>
          <w:lang w:eastAsia="hr-HR"/>
        </w:rPr>
        <w:t>.</w:t>
      </w:r>
    </w:p>
    <w:p w14:paraId="25811582" w14:textId="4EBA76C0" w:rsidR="00DD7C1E" w:rsidRPr="000479E9" w:rsidRDefault="004B45B4" w:rsidP="00DD7C1E">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bCs/>
          <w:sz w:val="24"/>
          <w:szCs w:val="24"/>
          <w:lang w:eastAsia="hr-HR"/>
        </w:rPr>
        <w:t>O</w:t>
      </w:r>
      <w:r w:rsidR="00DD7C1E" w:rsidRPr="000479E9">
        <w:rPr>
          <w:rFonts w:ascii="Times New Roman" w:eastAsia="Times New Roman" w:hAnsi="Times New Roman" w:cs="Times New Roman"/>
          <w:bCs/>
          <w:sz w:val="24"/>
          <w:szCs w:val="24"/>
          <w:lang w:eastAsia="hr-HR"/>
        </w:rPr>
        <w:t>v</w:t>
      </w:r>
      <w:r w:rsidRPr="000479E9">
        <w:rPr>
          <w:rFonts w:ascii="Times New Roman" w:eastAsia="Times New Roman" w:hAnsi="Times New Roman" w:cs="Times New Roman"/>
          <w:bCs/>
          <w:sz w:val="24"/>
          <w:szCs w:val="24"/>
          <w:lang w:eastAsia="hr-HR"/>
        </w:rPr>
        <w:t>i</w:t>
      </w:r>
      <w:r w:rsidR="00DD7C1E" w:rsidRPr="000479E9">
        <w:rPr>
          <w:rFonts w:ascii="Times New Roman" w:eastAsia="Times New Roman" w:hAnsi="Times New Roman" w:cs="Times New Roman"/>
          <w:bCs/>
          <w:sz w:val="24"/>
          <w:szCs w:val="24"/>
          <w:lang w:eastAsia="hr-HR"/>
        </w:rPr>
        <w:t>m se člankom daje ovlast Agenciji da, u svrhu pravne sigurnosti</w:t>
      </w:r>
      <w:r w:rsidR="00DD7C1E" w:rsidRPr="000479E9">
        <w:rPr>
          <w:rFonts w:ascii="Times New Roman" w:eastAsia="Times New Roman" w:hAnsi="Times New Roman" w:cs="Times New Roman"/>
          <w:b/>
          <w:sz w:val="24"/>
          <w:szCs w:val="24"/>
          <w:lang w:eastAsia="hr-HR"/>
        </w:rPr>
        <w:t xml:space="preserve">, </w:t>
      </w:r>
      <w:r w:rsidR="00DD7C1E" w:rsidRPr="000479E9">
        <w:rPr>
          <w:rFonts w:ascii="Times New Roman" w:eastAsia="Times New Roman" w:hAnsi="Times New Roman" w:cs="Times New Roman"/>
          <w:sz w:val="24"/>
          <w:szCs w:val="24"/>
          <w:lang w:eastAsia="hr-HR"/>
        </w:rPr>
        <w:t>propiše oblik, način i rokove dostave popisa upućenih osoba i popisa osoba koje obavljaju rukovoditeljske dužnosti u izdavatelju i s njima usko povezanih osoba.</w:t>
      </w:r>
    </w:p>
    <w:p w14:paraId="0F40CBAD" w14:textId="4F034F7B"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 </w:t>
      </w:r>
    </w:p>
    <w:p w14:paraId="5C9CBE89" w14:textId="4B76DA9E"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766C05" w:rsidRPr="000479E9">
        <w:rPr>
          <w:rFonts w:ascii="Times New Roman" w:eastAsia="Times New Roman" w:hAnsi="Times New Roman" w:cs="Times New Roman"/>
          <w:b/>
          <w:sz w:val="24"/>
          <w:szCs w:val="24"/>
          <w:lang w:eastAsia="hr-HR"/>
        </w:rPr>
        <w:t>6</w:t>
      </w:r>
      <w:r w:rsidR="000F5420" w:rsidRPr="000479E9">
        <w:rPr>
          <w:rFonts w:ascii="Times New Roman" w:eastAsia="Times New Roman" w:hAnsi="Times New Roman" w:cs="Times New Roman"/>
          <w:b/>
          <w:sz w:val="24"/>
          <w:szCs w:val="24"/>
          <w:lang w:eastAsia="hr-HR"/>
        </w:rPr>
        <w:t>9</w:t>
      </w:r>
      <w:r w:rsidRPr="000479E9">
        <w:rPr>
          <w:rFonts w:ascii="Times New Roman" w:eastAsia="Times New Roman" w:hAnsi="Times New Roman" w:cs="Times New Roman"/>
          <w:b/>
          <w:sz w:val="24"/>
          <w:szCs w:val="24"/>
          <w:lang w:eastAsia="hr-HR"/>
        </w:rPr>
        <w:t>.</w:t>
      </w:r>
    </w:p>
    <w:p w14:paraId="04466EF5" w14:textId="5DF5D2A4" w:rsidR="00927C1F" w:rsidRPr="000479E9" w:rsidRDefault="00927C1F"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lastRenderedPageBreak/>
        <w:t>Nadzorne mjere iz članka 518. stavka 1. točaka 4. i 5. važećeg Zakona usklađuju se s izmjenama Uredbe (EU) br. 596/2014 Europskog parlamenta i Vijeća od 16. travnja 2014. o zlouporabi tržišta (Uredba o zlouporabi tržišta) te stavljanju izvan snage Direktive 2003/6/EZ Europskog parlamenta i Vijeća i direktiva Komisije 2003/124/EZ, 2003/125/EZ i 2004/72/EZ (SL L 173, 12.6.2014.) koje proizlaze iz Uredbe (EU) 2024/2809.</w:t>
      </w:r>
    </w:p>
    <w:p w14:paraId="1D1B50AC" w14:textId="77777777"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p>
    <w:p w14:paraId="5AE02BF7" w14:textId="52FB3936"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član</w:t>
      </w:r>
      <w:r w:rsidR="001146DC">
        <w:rPr>
          <w:rFonts w:ascii="Times New Roman" w:eastAsia="Times New Roman" w:hAnsi="Times New Roman" w:cs="Times New Roman"/>
          <w:b/>
          <w:sz w:val="24"/>
          <w:szCs w:val="24"/>
          <w:lang w:eastAsia="hr-HR"/>
        </w:rPr>
        <w:t>a</w:t>
      </w:r>
      <w:r w:rsidRPr="000479E9">
        <w:rPr>
          <w:rFonts w:ascii="Times New Roman" w:eastAsia="Times New Roman" w:hAnsi="Times New Roman" w:cs="Times New Roman"/>
          <w:b/>
          <w:sz w:val="24"/>
          <w:szCs w:val="24"/>
          <w:lang w:eastAsia="hr-HR"/>
        </w:rPr>
        <w:t xml:space="preserve">k </w:t>
      </w:r>
      <w:r w:rsidR="000F5420" w:rsidRPr="000479E9">
        <w:rPr>
          <w:rFonts w:ascii="Times New Roman" w:eastAsia="Times New Roman" w:hAnsi="Times New Roman" w:cs="Times New Roman"/>
          <w:b/>
          <w:sz w:val="24"/>
          <w:szCs w:val="24"/>
          <w:lang w:eastAsia="hr-HR"/>
        </w:rPr>
        <w:t>70</w:t>
      </w:r>
      <w:r w:rsidRPr="000479E9">
        <w:rPr>
          <w:rFonts w:ascii="Times New Roman" w:eastAsia="Times New Roman" w:hAnsi="Times New Roman" w:cs="Times New Roman"/>
          <w:b/>
          <w:sz w:val="24"/>
          <w:szCs w:val="24"/>
          <w:lang w:eastAsia="hr-HR"/>
        </w:rPr>
        <w:t>.</w:t>
      </w:r>
      <w:r w:rsidR="004F3FEC" w:rsidRPr="000479E9">
        <w:rPr>
          <w:rFonts w:ascii="Times New Roman" w:eastAsia="Times New Roman" w:hAnsi="Times New Roman" w:cs="Times New Roman"/>
          <w:b/>
          <w:sz w:val="24"/>
          <w:szCs w:val="24"/>
          <w:lang w:eastAsia="hr-HR"/>
        </w:rPr>
        <w:t xml:space="preserve"> </w:t>
      </w:r>
    </w:p>
    <w:p w14:paraId="083E2C90" w14:textId="6F1DD365" w:rsidR="00DD7C1E" w:rsidRPr="000479E9" w:rsidRDefault="00842590" w:rsidP="004F3FEC">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Uredba (EU) 2022/858 o pilot‑režimu za tržišne infrastrukture koje se temelje na distribuiranoj knjizi (</w:t>
      </w:r>
      <w:r w:rsidR="00597300" w:rsidRPr="000479E9">
        <w:rPr>
          <w:rFonts w:ascii="Times New Roman" w:eastAsia="Times New Roman" w:hAnsi="Times New Roman" w:cs="Times New Roman"/>
          <w:bCs/>
          <w:sz w:val="24"/>
          <w:szCs w:val="24"/>
          <w:lang w:eastAsia="hr-HR"/>
        </w:rPr>
        <w:t xml:space="preserve">u daljnjem tekstu: </w:t>
      </w:r>
      <w:r w:rsidRPr="000479E9">
        <w:rPr>
          <w:rFonts w:ascii="Times New Roman" w:eastAsia="Times New Roman" w:hAnsi="Times New Roman" w:cs="Times New Roman"/>
          <w:bCs/>
          <w:sz w:val="24"/>
          <w:szCs w:val="24"/>
          <w:lang w:eastAsia="hr-HR"/>
        </w:rPr>
        <w:t xml:space="preserve">DLT </w:t>
      </w:r>
      <w:r w:rsidR="00597300" w:rsidRPr="000479E9">
        <w:rPr>
          <w:rFonts w:ascii="Times New Roman" w:eastAsia="Times New Roman" w:hAnsi="Times New Roman" w:cs="Times New Roman"/>
          <w:bCs/>
          <w:sz w:val="24"/>
          <w:szCs w:val="24"/>
          <w:lang w:eastAsia="hr-HR"/>
        </w:rPr>
        <w:t>pilot režim</w:t>
      </w:r>
      <w:r w:rsidRPr="000479E9">
        <w:rPr>
          <w:rFonts w:ascii="Times New Roman" w:eastAsia="Times New Roman" w:hAnsi="Times New Roman" w:cs="Times New Roman"/>
          <w:bCs/>
          <w:sz w:val="24"/>
          <w:szCs w:val="24"/>
          <w:lang w:eastAsia="hr-HR"/>
        </w:rPr>
        <w:t>) izričito omogućuje vođenje evidencije i namire određenih kategorija vrijednosnih papira izvan klasičnog modela središnjeg depozitorija, uključujući i privremena izuzeća od pojedinih odredbi Uredbe (EU) br. 909/2014 (CSDR).</w:t>
      </w:r>
      <w:r w:rsidR="004F3FEC" w:rsidRPr="000479E9">
        <w:rPr>
          <w:rFonts w:ascii="Times New Roman" w:eastAsia="Times New Roman" w:hAnsi="Times New Roman" w:cs="Times New Roman"/>
          <w:bCs/>
          <w:sz w:val="24"/>
          <w:szCs w:val="24"/>
          <w:lang w:eastAsia="hr-HR"/>
        </w:rPr>
        <w:t xml:space="preserve"> Predmetnim izmjenama članaka 523. i 525. važećeg </w:t>
      </w:r>
      <w:r w:rsidR="00597300" w:rsidRPr="000479E9">
        <w:rPr>
          <w:rFonts w:ascii="Times New Roman" w:eastAsia="Times New Roman" w:hAnsi="Times New Roman" w:cs="Times New Roman"/>
          <w:bCs/>
          <w:sz w:val="24"/>
          <w:szCs w:val="24"/>
          <w:lang w:eastAsia="hr-HR"/>
        </w:rPr>
        <w:t>Z</w:t>
      </w:r>
      <w:r w:rsidR="004F3FEC" w:rsidRPr="000479E9">
        <w:rPr>
          <w:rFonts w:ascii="Times New Roman" w:eastAsia="Times New Roman" w:hAnsi="Times New Roman" w:cs="Times New Roman"/>
          <w:bCs/>
          <w:sz w:val="24"/>
          <w:szCs w:val="24"/>
          <w:lang w:eastAsia="hr-HR"/>
        </w:rPr>
        <w:t xml:space="preserve">akona izričito bi se priznalo da se evidencija vođena sukladno DLT </w:t>
      </w:r>
      <w:r w:rsidR="00597300" w:rsidRPr="000479E9">
        <w:rPr>
          <w:rFonts w:ascii="Times New Roman" w:eastAsia="Times New Roman" w:hAnsi="Times New Roman" w:cs="Times New Roman"/>
          <w:bCs/>
          <w:sz w:val="24"/>
          <w:szCs w:val="24"/>
          <w:lang w:eastAsia="hr-HR"/>
        </w:rPr>
        <w:t>pilot režimu</w:t>
      </w:r>
      <w:r w:rsidR="004F3FEC" w:rsidRPr="000479E9">
        <w:rPr>
          <w:rFonts w:ascii="Times New Roman" w:eastAsia="Times New Roman" w:hAnsi="Times New Roman" w:cs="Times New Roman"/>
          <w:bCs/>
          <w:sz w:val="24"/>
          <w:szCs w:val="24"/>
          <w:lang w:eastAsia="hr-HR"/>
        </w:rPr>
        <w:t>, za trajanja tog režima, smatra zakonitom nematerijaliziranom evidencijom u smislu Zakona.</w:t>
      </w:r>
    </w:p>
    <w:p w14:paraId="552D17EA" w14:textId="77777777" w:rsidR="00DD7C1E" w:rsidRPr="000479E9" w:rsidRDefault="00DD7C1E" w:rsidP="00927C1F">
      <w:pPr>
        <w:spacing w:after="0" w:line="240" w:lineRule="auto"/>
        <w:jc w:val="both"/>
        <w:rPr>
          <w:rFonts w:ascii="Times New Roman" w:eastAsia="Times New Roman" w:hAnsi="Times New Roman" w:cs="Times New Roman"/>
          <w:b/>
          <w:sz w:val="24"/>
          <w:szCs w:val="24"/>
          <w:lang w:eastAsia="hr-HR"/>
        </w:rPr>
      </w:pPr>
    </w:p>
    <w:p w14:paraId="0CAAF51A" w14:textId="78EBBBBE" w:rsidR="00766C05" w:rsidRPr="000479E9" w:rsidRDefault="00766C05"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0F5420" w:rsidRPr="000479E9">
        <w:rPr>
          <w:rFonts w:ascii="Times New Roman" w:eastAsia="Times New Roman" w:hAnsi="Times New Roman" w:cs="Times New Roman"/>
          <w:b/>
          <w:sz w:val="24"/>
          <w:szCs w:val="24"/>
          <w:lang w:eastAsia="hr-HR"/>
        </w:rPr>
        <w:t>71</w:t>
      </w:r>
      <w:r w:rsidRPr="000479E9">
        <w:rPr>
          <w:rFonts w:ascii="Times New Roman" w:eastAsia="Times New Roman" w:hAnsi="Times New Roman" w:cs="Times New Roman"/>
          <w:b/>
          <w:sz w:val="24"/>
          <w:szCs w:val="24"/>
          <w:lang w:eastAsia="hr-HR"/>
        </w:rPr>
        <w:t xml:space="preserve">. </w:t>
      </w:r>
    </w:p>
    <w:p w14:paraId="3514F5A0" w14:textId="44CCCA7E" w:rsidR="00766C05" w:rsidRDefault="00766C05"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se člankom propisuje da će se isplata dividende ili predujma dividende imateljima vrijednosnih papira provoditi korištenjem usluga središnjeg depozitorija u kojem su vrijednosni papiri upisani te se vode u obliku elektroničkog zapisa.</w:t>
      </w:r>
    </w:p>
    <w:p w14:paraId="7F811A50" w14:textId="7CD66533" w:rsidR="001146DC" w:rsidRDefault="001146DC" w:rsidP="00927C1F">
      <w:pPr>
        <w:spacing w:after="0" w:line="240" w:lineRule="auto"/>
        <w:jc w:val="both"/>
        <w:rPr>
          <w:rFonts w:ascii="Times New Roman" w:eastAsia="Times New Roman" w:hAnsi="Times New Roman" w:cs="Times New Roman"/>
          <w:bCs/>
          <w:sz w:val="24"/>
          <w:szCs w:val="24"/>
          <w:lang w:eastAsia="hr-HR"/>
        </w:rPr>
      </w:pPr>
    </w:p>
    <w:p w14:paraId="379D5C6E" w14:textId="71B06980" w:rsidR="001146DC" w:rsidRDefault="001146DC" w:rsidP="001146DC">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Pr>
          <w:rFonts w:ascii="Times New Roman" w:eastAsia="Times New Roman" w:hAnsi="Times New Roman" w:cs="Times New Roman"/>
          <w:b/>
          <w:sz w:val="24"/>
          <w:szCs w:val="24"/>
          <w:lang w:eastAsia="hr-HR"/>
        </w:rPr>
        <w:t>72</w:t>
      </w:r>
      <w:r w:rsidRPr="000479E9">
        <w:rPr>
          <w:rFonts w:ascii="Times New Roman" w:eastAsia="Times New Roman" w:hAnsi="Times New Roman" w:cs="Times New Roman"/>
          <w:b/>
          <w:sz w:val="24"/>
          <w:szCs w:val="24"/>
          <w:lang w:eastAsia="hr-HR"/>
        </w:rPr>
        <w:t xml:space="preserve">. </w:t>
      </w:r>
    </w:p>
    <w:p w14:paraId="403F2DF9" w14:textId="77777777" w:rsidR="001146DC" w:rsidRPr="000479E9" w:rsidRDefault="001146DC" w:rsidP="001146DC">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Uredba (EU) 2022/858 o pilot‑režimu za tržišne infrastrukture koje se temelje na distribuiranoj knjizi (u daljnjem tekstu: DLT pilot režim) izričito omogućuje vođenje evidencije i namire određenih kategorija vrijednosnih papira izvan klasičnog modela središnjeg depozitorija, uključujući i privremena izuzeća od pojedinih odredbi Uredbe (EU) br. 909/2014 (CSDR). Predmetnim izmjenama članaka 523. i 525. važećeg Zakona izričito bi se priznalo da se evidencija vođena sukladno DLT pilot režimu, za trajanja tog režima, smatra zakonitom nematerijaliziranom evidencijom u smislu Zakona.</w:t>
      </w:r>
    </w:p>
    <w:p w14:paraId="322C6315" w14:textId="77777777" w:rsidR="00766C05" w:rsidRPr="000479E9" w:rsidRDefault="00766C05" w:rsidP="00927C1F">
      <w:pPr>
        <w:spacing w:after="0" w:line="240" w:lineRule="auto"/>
        <w:jc w:val="both"/>
        <w:rPr>
          <w:rFonts w:ascii="Times New Roman" w:eastAsia="Times New Roman" w:hAnsi="Times New Roman" w:cs="Times New Roman"/>
          <w:b/>
          <w:sz w:val="24"/>
          <w:szCs w:val="24"/>
          <w:lang w:eastAsia="hr-HR"/>
        </w:rPr>
      </w:pPr>
    </w:p>
    <w:p w14:paraId="4C19713C" w14:textId="068E64DC" w:rsidR="004F3FEC" w:rsidRPr="000479E9" w:rsidRDefault="004F3FEC"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7</w:t>
      </w:r>
      <w:r w:rsidR="000F5420" w:rsidRPr="000479E9">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 xml:space="preserve">. </w:t>
      </w:r>
    </w:p>
    <w:p w14:paraId="4D22D5FF" w14:textId="10E43519" w:rsidR="004F3FEC" w:rsidRPr="000479E9" w:rsidRDefault="004F3FEC"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Obzirom da odredbe članaka 544. i 545.</w:t>
      </w:r>
      <w:r w:rsidR="001146DC">
        <w:rPr>
          <w:rFonts w:ascii="Times New Roman" w:eastAsia="Times New Roman" w:hAnsi="Times New Roman" w:cs="Times New Roman"/>
          <w:bCs/>
          <w:sz w:val="24"/>
          <w:szCs w:val="24"/>
          <w:lang w:eastAsia="hr-HR"/>
        </w:rPr>
        <w:t xml:space="preserve"> </w:t>
      </w:r>
      <w:r w:rsidR="00C127CC" w:rsidRPr="000479E9">
        <w:rPr>
          <w:rFonts w:ascii="Times New Roman" w:eastAsia="Times New Roman" w:hAnsi="Times New Roman" w:cs="Times New Roman"/>
          <w:bCs/>
          <w:sz w:val="24"/>
          <w:szCs w:val="24"/>
          <w:lang w:eastAsia="hr-HR"/>
        </w:rPr>
        <w:t>važećeg Z</w:t>
      </w:r>
      <w:r w:rsidR="007154A2" w:rsidRPr="000479E9">
        <w:rPr>
          <w:rFonts w:ascii="Times New Roman" w:eastAsia="Times New Roman" w:hAnsi="Times New Roman" w:cs="Times New Roman"/>
          <w:bCs/>
          <w:sz w:val="24"/>
          <w:szCs w:val="24"/>
          <w:lang w:eastAsia="hr-HR"/>
        </w:rPr>
        <w:t>akona</w:t>
      </w:r>
      <w:r w:rsidRPr="000479E9">
        <w:rPr>
          <w:rFonts w:ascii="Times New Roman" w:eastAsia="Times New Roman" w:hAnsi="Times New Roman" w:cs="Times New Roman"/>
          <w:bCs/>
          <w:sz w:val="24"/>
          <w:szCs w:val="24"/>
          <w:lang w:eastAsia="hr-HR"/>
        </w:rPr>
        <w:t xml:space="preserve"> predstavljaju dvostruko propisivanje režima iz izravno primjenjivih uredbi E</w:t>
      </w:r>
      <w:r w:rsidR="00663147" w:rsidRPr="000479E9">
        <w:rPr>
          <w:rFonts w:ascii="Times New Roman" w:eastAsia="Times New Roman" w:hAnsi="Times New Roman" w:cs="Times New Roman"/>
          <w:bCs/>
          <w:sz w:val="24"/>
          <w:szCs w:val="24"/>
          <w:lang w:eastAsia="hr-HR"/>
        </w:rPr>
        <w:t>uropske unije</w:t>
      </w:r>
      <w:r w:rsidRPr="000479E9">
        <w:rPr>
          <w:rFonts w:ascii="Times New Roman" w:eastAsia="Times New Roman" w:hAnsi="Times New Roman" w:cs="Times New Roman"/>
          <w:bCs/>
          <w:sz w:val="24"/>
          <w:szCs w:val="24"/>
          <w:lang w:eastAsia="hr-HR"/>
        </w:rPr>
        <w:t>, predlaže se brisanje nacionalnih nadzornih mjera, obzirom da Agencija istu ovlast ima temeljem izravno primjenjivih uredbi E</w:t>
      </w:r>
      <w:r w:rsidR="00663147" w:rsidRPr="000479E9">
        <w:rPr>
          <w:rFonts w:ascii="Times New Roman" w:eastAsia="Times New Roman" w:hAnsi="Times New Roman" w:cs="Times New Roman"/>
          <w:bCs/>
          <w:sz w:val="24"/>
          <w:szCs w:val="24"/>
          <w:lang w:eastAsia="hr-HR"/>
        </w:rPr>
        <w:t>uropske unije</w:t>
      </w:r>
      <w:r w:rsidRPr="000479E9">
        <w:rPr>
          <w:rFonts w:ascii="Times New Roman" w:eastAsia="Times New Roman" w:hAnsi="Times New Roman" w:cs="Times New Roman"/>
          <w:bCs/>
          <w:sz w:val="24"/>
          <w:szCs w:val="24"/>
          <w:lang w:eastAsia="hr-HR"/>
        </w:rPr>
        <w:t xml:space="preserve"> (</w:t>
      </w:r>
      <w:r w:rsidR="007C30B9" w:rsidRPr="000479E9">
        <w:rPr>
          <w:rFonts w:ascii="Times New Roman" w:eastAsia="Times New Roman" w:hAnsi="Times New Roman" w:cs="Times New Roman"/>
          <w:bCs/>
          <w:sz w:val="24"/>
          <w:szCs w:val="24"/>
          <w:lang w:eastAsia="hr-HR"/>
        </w:rPr>
        <w:t>Uredba (EU) br. 648/2012</w:t>
      </w:r>
      <w:r w:rsidRPr="000479E9">
        <w:rPr>
          <w:rFonts w:ascii="Times New Roman" w:eastAsia="Times New Roman" w:hAnsi="Times New Roman" w:cs="Times New Roman"/>
          <w:sz w:val="24"/>
          <w:szCs w:val="24"/>
          <w:lang w:eastAsia="hr-HR"/>
        </w:rPr>
        <w:t>)</w:t>
      </w:r>
      <w:r w:rsidR="04F01348" w:rsidRPr="000479E9">
        <w:rPr>
          <w:rFonts w:ascii="Times New Roman" w:eastAsia="Times New Roman" w:hAnsi="Times New Roman" w:cs="Times New Roman"/>
          <w:sz w:val="24"/>
          <w:szCs w:val="24"/>
          <w:lang w:eastAsia="hr-HR"/>
        </w:rPr>
        <w:t>.</w:t>
      </w:r>
    </w:p>
    <w:p w14:paraId="36002E32" w14:textId="0A9804CE" w:rsidR="004F3FEC" w:rsidRPr="000479E9" w:rsidRDefault="004F3FEC" w:rsidP="00927C1F">
      <w:pPr>
        <w:spacing w:after="0" w:line="240" w:lineRule="auto"/>
        <w:jc w:val="both"/>
        <w:rPr>
          <w:rFonts w:ascii="Times New Roman" w:eastAsia="Times New Roman" w:hAnsi="Times New Roman" w:cs="Times New Roman"/>
          <w:b/>
          <w:sz w:val="24"/>
          <w:szCs w:val="24"/>
          <w:lang w:eastAsia="hr-HR"/>
        </w:rPr>
      </w:pPr>
    </w:p>
    <w:p w14:paraId="04FD1646" w14:textId="1FBFF0B7" w:rsidR="004F3FEC" w:rsidRPr="000479E9" w:rsidRDefault="004F3FEC"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11067A" w:rsidRPr="000479E9">
        <w:rPr>
          <w:rFonts w:ascii="Times New Roman" w:eastAsia="Times New Roman" w:hAnsi="Times New Roman" w:cs="Times New Roman"/>
          <w:b/>
          <w:sz w:val="24"/>
          <w:szCs w:val="24"/>
          <w:lang w:eastAsia="hr-HR"/>
        </w:rPr>
        <w:t>7</w:t>
      </w:r>
      <w:r w:rsidR="000F5420"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 xml:space="preserve">. </w:t>
      </w:r>
    </w:p>
    <w:p w14:paraId="549F1D11" w14:textId="5C0DC88D" w:rsidR="0011067A" w:rsidRPr="000479E9" w:rsidRDefault="004F3FEC" w:rsidP="0011067A">
      <w:pPr>
        <w:spacing w:after="0" w:line="240" w:lineRule="auto"/>
        <w:jc w:val="both"/>
        <w:rPr>
          <w:rFonts w:ascii="Times New Roman" w:hAnsi="Times New Roman" w:cs="Times New Roman"/>
          <w:sz w:val="24"/>
          <w:szCs w:val="24"/>
        </w:rPr>
      </w:pPr>
      <w:r w:rsidRPr="000479E9">
        <w:rPr>
          <w:rFonts w:ascii="Times New Roman" w:eastAsia="Times New Roman" w:hAnsi="Times New Roman" w:cs="Times New Roman"/>
          <w:bCs/>
          <w:sz w:val="24"/>
          <w:szCs w:val="24"/>
          <w:lang w:eastAsia="hr-HR"/>
        </w:rPr>
        <w:t xml:space="preserve">U svrhu regulatornog rasterećenja, ovim se člankom ukida revizija </w:t>
      </w:r>
      <w:r w:rsidR="00F4428A" w:rsidRPr="000479E9">
        <w:rPr>
          <w:rFonts w:ascii="Times New Roman" w:eastAsia="Times New Roman" w:hAnsi="Times New Roman" w:cs="Times New Roman"/>
          <w:bCs/>
          <w:sz w:val="24"/>
          <w:szCs w:val="24"/>
          <w:lang w:eastAsia="hr-HR"/>
        </w:rPr>
        <w:t xml:space="preserve">središnje druge ugovorne strana </w:t>
      </w:r>
      <w:r w:rsidRPr="000479E9">
        <w:rPr>
          <w:rFonts w:ascii="Times New Roman" w:eastAsia="Times New Roman" w:hAnsi="Times New Roman" w:cs="Times New Roman"/>
          <w:bCs/>
          <w:sz w:val="24"/>
          <w:szCs w:val="24"/>
          <w:lang w:eastAsia="hr-HR"/>
        </w:rPr>
        <w:t>za potrebe Agencije, obzirom da je Agenciji dostupno niz nadzornih alata koji ispunjavaju svrhu bez dodanih nepotrebnih troškova.</w:t>
      </w:r>
      <w:r w:rsidR="0011067A" w:rsidRPr="000479E9">
        <w:rPr>
          <w:rFonts w:ascii="Times New Roman" w:eastAsia="Times New Roman" w:hAnsi="Times New Roman" w:cs="Times New Roman"/>
          <w:bCs/>
          <w:sz w:val="24"/>
          <w:szCs w:val="24"/>
          <w:lang w:eastAsia="hr-HR"/>
        </w:rPr>
        <w:t xml:space="preserve"> Dodatno, </w:t>
      </w:r>
      <w:r w:rsidR="0011067A" w:rsidRPr="000479E9">
        <w:rPr>
          <w:rFonts w:ascii="Times New Roman" w:hAnsi="Times New Roman" w:cs="Times New Roman"/>
          <w:sz w:val="24"/>
          <w:szCs w:val="24"/>
        </w:rPr>
        <w:t xml:space="preserve">u svrhu regulatornog rasterećenja, usklađenja sa važećim Zakonom o reviziji i prevladavajućom praksom u državama članicama, ovim se člankom produljuje rok u kojemu jedan </w:t>
      </w:r>
      <w:r w:rsidR="0011067A" w:rsidRPr="000479E9">
        <w:rPr>
          <w:rFonts w:ascii="Times New Roman" w:hAnsi="Times New Roman" w:cs="Times New Roman"/>
          <w:sz w:val="24"/>
          <w:szCs w:val="24"/>
        </w:rPr>
        <w:lastRenderedPageBreak/>
        <w:t xml:space="preserve">revizor može obavljati zakonsku reviziju </w:t>
      </w:r>
      <w:r w:rsidR="00611A5A" w:rsidRPr="000479E9">
        <w:rPr>
          <w:rFonts w:ascii="Times New Roman" w:hAnsi="Times New Roman" w:cs="Times New Roman"/>
          <w:sz w:val="24"/>
          <w:szCs w:val="24"/>
        </w:rPr>
        <w:t>središnje druge ugovorne strane</w:t>
      </w:r>
      <w:r w:rsidR="0011067A" w:rsidRPr="000479E9">
        <w:rPr>
          <w:rFonts w:ascii="Times New Roman" w:hAnsi="Times New Roman" w:cs="Times New Roman"/>
          <w:sz w:val="24"/>
          <w:szCs w:val="24"/>
        </w:rPr>
        <w:t xml:space="preserve"> s dosadašnjih sedam na deset godina. </w:t>
      </w:r>
    </w:p>
    <w:p w14:paraId="4F38A42C" w14:textId="772AFB4D" w:rsidR="004F3FEC" w:rsidRPr="000479E9" w:rsidRDefault="004F3FEC" w:rsidP="00927C1F">
      <w:pPr>
        <w:spacing w:after="0" w:line="240" w:lineRule="auto"/>
        <w:jc w:val="both"/>
        <w:rPr>
          <w:rFonts w:ascii="Times New Roman" w:eastAsia="Times New Roman" w:hAnsi="Times New Roman" w:cs="Times New Roman"/>
          <w:bCs/>
          <w:sz w:val="24"/>
          <w:szCs w:val="24"/>
          <w:lang w:eastAsia="hr-HR"/>
        </w:rPr>
      </w:pPr>
    </w:p>
    <w:p w14:paraId="43905C06" w14:textId="21825714" w:rsidR="00766C05" w:rsidRPr="000479E9" w:rsidRDefault="00766C05"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članak 7</w:t>
      </w:r>
      <w:r w:rsidR="000F5420" w:rsidRPr="000479E9">
        <w:rPr>
          <w:rFonts w:ascii="Times New Roman" w:eastAsia="Times New Roman" w:hAnsi="Times New Roman" w:cs="Times New Roman"/>
          <w:b/>
          <w:sz w:val="24"/>
          <w:szCs w:val="24"/>
          <w:lang w:eastAsia="hr-HR"/>
        </w:rPr>
        <w:t>5</w:t>
      </w:r>
      <w:r w:rsidRPr="000479E9">
        <w:rPr>
          <w:rFonts w:ascii="Times New Roman" w:eastAsia="Times New Roman" w:hAnsi="Times New Roman" w:cs="Times New Roman"/>
          <w:b/>
          <w:sz w:val="24"/>
          <w:szCs w:val="24"/>
          <w:lang w:eastAsia="hr-HR"/>
        </w:rPr>
        <w:t xml:space="preserve">. </w:t>
      </w:r>
    </w:p>
    <w:p w14:paraId="043B45A4" w14:textId="2EE0142D" w:rsidR="00766C05" w:rsidRPr="000479E9" w:rsidRDefault="00766C05"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svrhu regulatornog rasterećenja, ovim se člankom propisuje zakonska presumpcija da je središnja druga ugovorna strana ispunila obvezu dostave izvještaja iz stavaka 1. i 2. ovoga članka u dijelu u kojem se podaci sadržajno podudaraju s informacijama koje je dostavila Europskom nadzornom tijelu za vrijednosne papire i tržišta kapitala (ESMA) u skladu s člankom 7.e Uredbe (EU) br. 648/2012, pod uvjetom da Agencija ima pristup tim podacima ili da su joj isti dostupni putem ESMA-e</w:t>
      </w:r>
      <w:r w:rsidR="00D41BD0" w:rsidRPr="000479E9">
        <w:rPr>
          <w:rFonts w:ascii="Times New Roman" w:eastAsia="Times New Roman" w:hAnsi="Times New Roman" w:cs="Times New Roman"/>
          <w:bCs/>
          <w:sz w:val="24"/>
          <w:szCs w:val="24"/>
          <w:lang w:eastAsia="hr-HR"/>
        </w:rPr>
        <w:t>.</w:t>
      </w:r>
    </w:p>
    <w:p w14:paraId="4698E295" w14:textId="77777777" w:rsidR="00766C05" w:rsidRPr="000479E9" w:rsidRDefault="00766C05" w:rsidP="00927C1F">
      <w:pPr>
        <w:spacing w:after="0" w:line="240" w:lineRule="auto"/>
        <w:jc w:val="both"/>
        <w:rPr>
          <w:rFonts w:ascii="Times New Roman" w:eastAsia="Times New Roman" w:hAnsi="Times New Roman" w:cs="Times New Roman"/>
          <w:b/>
          <w:sz w:val="24"/>
          <w:szCs w:val="24"/>
          <w:lang w:eastAsia="hr-HR"/>
        </w:rPr>
      </w:pPr>
    </w:p>
    <w:p w14:paraId="301B713C" w14:textId="20534F64" w:rsidR="004F3FEC" w:rsidRPr="000479E9" w:rsidRDefault="004F3FEC"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D41BD0" w:rsidRPr="000479E9">
        <w:rPr>
          <w:rFonts w:ascii="Times New Roman" w:eastAsia="Times New Roman" w:hAnsi="Times New Roman" w:cs="Times New Roman"/>
          <w:b/>
          <w:sz w:val="24"/>
          <w:szCs w:val="24"/>
          <w:lang w:eastAsia="hr-HR"/>
        </w:rPr>
        <w:t>7</w:t>
      </w:r>
      <w:r w:rsidR="000F5420" w:rsidRPr="000479E9">
        <w:rPr>
          <w:rFonts w:ascii="Times New Roman" w:eastAsia="Times New Roman" w:hAnsi="Times New Roman" w:cs="Times New Roman"/>
          <w:b/>
          <w:sz w:val="24"/>
          <w:szCs w:val="24"/>
          <w:lang w:eastAsia="hr-HR"/>
        </w:rPr>
        <w:t>6</w:t>
      </w:r>
      <w:r w:rsidRPr="000479E9">
        <w:rPr>
          <w:rFonts w:ascii="Times New Roman" w:eastAsia="Times New Roman" w:hAnsi="Times New Roman" w:cs="Times New Roman"/>
          <w:b/>
          <w:sz w:val="24"/>
          <w:szCs w:val="24"/>
          <w:lang w:eastAsia="hr-HR"/>
        </w:rPr>
        <w:t xml:space="preserve">. </w:t>
      </w:r>
    </w:p>
    <w:p w14:paraId="4D1895AB" w14:textId="27EB6940" w:rsidR="004F3FEC" w:rsidRPr="000479E9" w:rsidRDefault="004F3FEC"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Ovom izmjenom se ukida pozivanje na obrisani članak.</w:t>
      </w:r>
    </w:p>
    <w:p w14:paraId="0D317413" w14:textId="3D3EBCBE" w:rsidR="004F3FEC" w:rsidRPr="000479E9" w:rsidRDefault="004F3FEC" w:rsidP="00927C1F">
      <w:pPr>
        <w:spacing w:after="0" w:line="240" w:lineRule="auto"/>
        <w:jc w:val="both"/>
        <w:rPr>
          <w:rFonts w:ascii="Times New Roman" w:eastAsia="Times New Roman" w:hAnsi="Times New Roman" w:cs="Times New Roman"/>
          <w:b/>
          <w:sz w:val="24"/>
          <w:szCs w:val="24"/>
          <w:lang w:eastAsia="hr-HR"/>
        </w:rPr>
      </w:pPr>
    </w:p>
    <w:p w14:paraId="2ADB9593" w14:textId="371980DA" w:rsidR="004F3FEC" w:rsidRPr="000479E9" w:rsidRDefault="004F3FEC"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D41BD0" w:rsidRPr="000479E9">
        <w:rPr>
          <w:rFonts w:ascii="Times New Roman" w:eastAsia="Times New Roman" w:hAnsi="Times New Roman" w:cs="Times New Roman"/>
          <w:b/>
          <w:sz w:val="24"/>
          <w:szCs w:val="24"/>
          <w:lang w:eastAsia="hr-HR"/>
        </w:rPr>
        <w:t>7</w:t>
      </w:r>
      <w:r w:rsidR="000F5420" w:rsidRPr="000479E9">
        <w:rPr>
          <w:rFonts w:ascii="Times New Roman" w:eastAsia="Times New Roman" w:hAnsi="Times New Roman" w:cs="Times New Roman"/>
          <w:b/>
          <w:sz w:val="24"/>
          <w:szCs w:val="24"/>
          <w:lang w:eastAsia="hr-HR"/>
        </w:rPr>
        <w:t>7</w:t>
      </w:r>
      <w:r w:rsidRPr="000479E9">
        <w:rPr>
          <w:rFonts w:ascii="Times New Roman" w:eastAsia="Times New Roman" w:hAnsi="Times New Roman" w:cs="Times New Roman"/>
          <w:b/>
          <w:sz w:val="24"/>
          <w:szCs w:val="24"/>
          <w:lang w:eastAsia="hr-HR"/>
        </w:rPr>
        <w:t>.</w:t>
      </w:r>
    </w:p>
    <w:p w14:paraId="3A183BCD" w14:textId="786B66AE" w:rsidR="004F3FEC" w:rsidRPr="000479E9" w:rsidRDefault="00FC6FA3"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Ovim se člankom briše članak 553. </w:t>
      </w:r>
      <w:r w:rsidR="007154A2" w:rsidRPr="000479E9">
        <w:rPr>
          <w:rFonts w:ascii="Times New Roman" w:eastAsia="Times New Roman" w:hAnsi="Times New Roman" w:cs="Times New Roman"/>
          <w:bCs/>
          <w:sz w:val="24"/>
          <w:szCs w:val="24"/>
          <w:lang w:eastAsia="hr-HR"/>
        </w:rPr>
        <w:t xml:space="preserve">važećeg Zakona </w:t>
      </w:r>
      <w:r w:rsidRPr="000479E9">
        <w:rPr>
          <w:rFonts w:ascii="Times New Roman" w:eastAsia="Times New Roman" w:hAnsi="Times New Roman" w:cs="Times New Roman"/>
          <w:bCs/>
          <w:sz w:val="24"/>
          <w:szCs w:val="24"/>
          <w:lang w:eastAsia="hr-HR"/>
        </w:rPr>
        <w:t xml:space="preserve">obzirom da je isto propisano izravno primjenjivom </w:t>
      </w:r>
      <w:r w:rsidR="00D41BD0" w:rsidRPr="000479E9">
        <w:rPr>
          <w:rFonts w:ascii="Times New Roman" w:eastAsia="Times New Roman" w:hAnsi="Times New Roman" w:cs="Times New Roman"/>
          <w:bCs/>
          <w:sz w:val="24"/>
          <w:szCs w:val="24"/>
          <w:lang w:eastAsia="hr-HR"/>
        </w:rPr>
        <w:t>Uredbom (EU) 648/2012</w:t>
      </w:r>
      <w:r w:rsidRPr="000479E9">
        <w:rPr>
          <w:rFonts w:ascii="Times New Roman" w:eastAsia="Times New Roman" w:hAnsi="Times New Roman" w:cs="Times New Roman"/>
          <w:bCs/>
          <w:sz w:val="24"/>
          <w:szCs w:val="24"/>
          <w:lang w:eastAsia="hr-HR"/>
        </w:rPr>
        <w:t>.</w:t>
      </w:r>
    </w:p>
    <w:p w14:paraId="77C02A81" w14:textId="222B890E" w:rsidR="00FC6FA3" w:rsidRPr="000479E9" w:rsidRDefault="00FC6FA3" w:rsidP="00927C1F">
      <w:pPr>
        <w:spacing w:after="0" w:line="240" w:lineRule="auto"/>
        <w:jc w:val="both"/>
        <w:rPr>
          <w:rFonts w:ascii="Times New Roman" w:eastAsia="Times New Roman" w:hAnsi="Times New Roman" w:cs="Times New Roman"/>
          <w:b/>
          <w:sz w:val="24"/>
          <w:szCs w:val="24"/>
          <w:lang w:eastAsia="hr-HR"/>
        </w:rPr>
      </w:pPr>
    </w:p>
    <w:p w14:paraId="7B35B107" w14:textId="6870F6A5" w:rsidR="00FC6FA3" w:rsidRPr="000479E9" w:rsidRDefault="00A46B92"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w:t>
      </w:r>
      <w:r w:rsidR="00FC6FA3" w:rsidRPr="000479E9">
        <w:rPr>
          <w:rFonts w:ascii="Times New Roman" w:eastAsia="Times New Roman" w:hAnsi="Times New Roman" w:cs="Times New Roman"/>
          <w:b/>
          <w:sz w:val="24"/>
          <w:szCs w:val="24"/>
          <w:lang w:eastAsia="hr-HR"/>
        </w:rPr>
        <w:t xml:space="preserve">lanak </w:t>
      </w:r>
      <w:r w:rsidR="00D41BD0" w:rsidRPr="000479E9">
        <w:rPr>
          <w:rFonts w:ascii="Times New Roman" w:eastAsia="Times New Roman" w:hAnsi="Times New Roman" w:cs="Times New Roman"/>
          <w:b/>
          <w:sz w:val="24"/>
          <w:szCs w:val="24"/>
          <w:lang w:eastAsia="hr-HR"/>
        </w:rPr>
        <w:t>7</w:t>
      </w:r>
      <w:r w:rsidR="000F5420" w:rsidRPr="000479E9">
        <w:rPr>
          <w:rFonts w:ascii="Times New Roman" w:eastAsia="Times New Roman" w:hAnsi="Times New Roman" w:cs="Times New Roman"/>
          <w:b/>
          <w:sz w:val="24"/>
          <w:szCs w:val="24"/>
          <w:lang w:eastAsia="hr-HR"/>
        </w:rPr>
        <w:t>8</w:t>
      </w:r>
      <w:r w:rsidR="00FC6FA3" w:rsidRPr="000479E9">
        <w:rPr>
          <w:rFonts w:ascii="Times New Roman" w:eastAsia="Times New Roman" w:hAnsi="Times New Roman" w:cs="Times New Roman"/>
          <w:b/>
          <w:sz w:val="24"/>
          <w:szCs w:val="24"/>
          <w:lang w:eastAsia="hr-HR"/>
        </w:rPr>
        <w:t>.</w:t>
      </w:r>
    </w:p>
    <w:p w14:paraId="1232152C" w14:textId="5BFED642" w:rsidR="00FC6FA3" w:rsidRPr="000479E9" w:rsidRDefault="00FC6FA3"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se člankom odredba članka 554.</w:t>
      </w:r>
      <w:r w:rsidR="007154A2" w:rsidRPr="000479E9">
        <w:rPr>
          <w:rFonts w:ascii="Times New Roman" w:eastAsia="Times New Roman" w:hAnsi="Times New Roman" w:cs="Times New Roman"/>
          <w:bCs/>
          <w:sz w:val="24"/>
          <w:szCs w:val="24"/>
          <w:lang w:eastAsia="hr-HR"/>
        </w:rPr>
        <w:t xml:space="preserve"> važećeg Zakona</w:t>
      </w:r>
      <w:r w:rsidRPr="000479E9">
        <w:rPr>
          <w:rFonts w:ascii="Times New Roman" w:eastAsia="Times New Roman" w:hAnsi="Times New Roman" w:cs="Times New Roman"/>
          <w:bCs/>
          <w:sz w:val="24"/>
          <w:szCs w:val="24"/>
          <w:lang w:eastAsia="hr-HR"/>
        </w:rPr>
        <w:t xml:space="preserve"> uređuje na način da samo razrađuje i konkretizira pokazatelje koji su sadržani u Smjernicama</w:t>
      </w:r>
      <w:r w:rsidR="00235AFE" w:rsidRPr="000479E9">
        <w:t xml:space="preserve"> </w:t>
      </w:r>
      <w:r w:rsidR="00235AFE" w:rsidRPr="000479E9">
        <w:rPr>
          <w:rFonts w:ascii="Times New Roman" w:eastAsia="Times New Roman" w:hAnsi="Times New Roman" w:cs="Times New Roman"/>
          <w:bCs/>
          <w:sz w:val="24"/>
          <w:szCs w:val="24"/>
          <w:lang w:eastAsia="hr-HR"/>
        </w:rPr>
        <w:t>Europskog nadzornog tijela za vrijednosne papire i tržišta kapitala</w:t>
      </w:r>
      <w:r w:rsidRPr="000479E9">
        <w:rPr>
          <w:rFonts w:ascii="Times New Roman" w:eastAsia="Times New Roman" w:hAnsi="Times New Roman" w:cs="Times New Roman"/>
          <w:bCs/>
          <w:sz w:val="24"/>
          <w:szCs w:val="24"/>
          <w:lang w:eastAsia="hr-HR"/>
        </w:rPr>
        <w:t xml:space="preserve"> </w:t>
      </w:r>
      <w:r w:rsidR="00235AFE" w:rsidRPr="000479E9">
        <w:rPr>
          <w:rFonts w:ascii="Times New Roman" w:eastAsia="Times New Roman" w:hAnsi="Times New Roman" w:cs="Times New Roman"/>
          <w:bCs/>
          <w:sz w:val="24"/>
          <w:szCs w:val="24"/>
          <w:lang w:eastAsia="hr-HR"/>
        </w:rPr>
        <w:t>(</w:t>
      </w:r>
      <w:r w:rsidRPr="000479E9">
        <w:rPr>
          <w:rFonts w:ascii="Times New Roman" w:eastAsia="Times New Roman" w:hAnsi="Times New Roman" w:cs="Times New Roman"/>
          <w:bCs/>
          <w:sz w:val="24"/>
          <w:szCs w:val="24"/>
          <w:lang w:eastAsia="hr-HR"/>
        </w:rPr>
        <w:t>ESMA</w:t>
      </w:r>
      <w:r w:rsidR="00235AFE" w:rsidRPr="000479E9">
        <w:rPr>
          <w:rFonts w:ascii="Times New Roman" w:eastAsia="Times New Roman" w:hAnsi="Times New Roman" w:cs="Times New Roman"/>
          <w:bCs/>
          <w:sz w:val="24"/>
          <w:szCs w:val="24"/>
          <w:lang w:eastAsia="hr-HR"/>
        </w:rPr>
        <w:t>)</w:t>
      </w:r>
      <w:r w:rsidRPr="000479E9">
        <w:rPr>
          <w:rFonts w:ascii="Times New Roman" w:eastAsia="Times New Roman" w:hAnsi="Times New Roman" w:cs="Times New Roman"/>
          <w:bCs/>
          <w:sz w:val="24"/>
          <w:szCs w:val="24"/>
          <w:lang w:eastAsia="hr-HR"/>
        </w:rPr>
        <w:t xml:space="preserve"> iz članka 18. stavka 8. </w:t>
      </w:r>
      <w:r w:rsidR="00A46B92" w:rsidRPr="000479E9">
        <w:rPr>
          <w:rFonts w:ascii="Times New Roman" w:eastAsia="Times New Roman" w:hAnsi="Times New Roman" w:cs="Times New Roman"/>
          <w:bCs/>
          <w:sz w:val="24"/>
          <w:szCs w:val="24"/>
          <w:lang w:eastAsia="hr-HR"/>
        </w:rPr>
        <w:t>Uredbe (EU) 2021/23</w:t>
      </w:r>
      <w:r w:rsidRPr="000479E9">
        <w:rPr>
          <w:rFonts w:ascii="Times New Roman" w:eastAsia="Times New Roman" w:hAnsi="Times New Roman" w:cs="Times New Roman"/>
          <w:bCs/>
          <w:sz w:val="24"/>
          <w:szCs w:val="24"/>
          <w:lang w:eastAsia="hr-HR"/>
        </w:rPr>
        <w:t>.</w:t>
      </w:r>
    </w:p>
    <w:p w14:paraId="330E1BAB" w14:textId="5EF69D72" w:rsidR="004F3FEC" w:rsidRPr="000479E9" w:rsidRDefault="004F3FEC" w:rsidP="00927C1F">
      <w:pPr>
        <w:spacing w:after="0" w:line="240" w:lineRule="auto"/>
        <w:jc w:val="both"/>
        <w:rPr>
          <w:rFonts w:ascii="Times New Roman" w:eastAsia="Times New Roman" w:hAnsi="Times New Roman" w:cs="Times New Roman"/>
          <w:b/>
          <w:sz w:val="24"/>
          <w:szCs w:val="24"/>
          <w:lang w:eastAsia="hr-HR"/>
        </w:rPr>
      </w:pPr>
    </w:p>
    <w:p w14:paraId="4B1E5443" w14:textId="77777777" w:rsidR="000F5420" w:rsidRPr="000479E9" w:rsidRDefault="000F5420" w:rsidP="000F5420">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79. </w:t>
      </w:r>
    </w:p>
    <w:p w14:paraId="65936E79" w14:textId="77777777"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se člankom mijenja pozivanje na brisane članke.</w:t>
      </w:r>
    </w:p>
    <w:p w14:paraId="36031A92" w14:textId="57876BAF" w:rsidR="000F5420" w:rsidRPr="000479E9" w:rsidRDefault="000F5420" w:rsidP="00927C1F">
      <w:pPr>
        <w:spacing w:after="0" w:line="240" w:lineRule="auto"/>
        <w:jc w:val="both"/>
        <w:rPr>
          <w:rFonts w:ascii="Times New Roman" w:eastAsia="Times New Roman" w:hAnsi="Times New Roman" w:cs="Times New Roman"/>
          <w:b/>
          <w:sz w:val="24"/>
          <w:szCs w:val="24"/>
          <w:lang w:eastAsia="hr-HR"/>
        </w:rPr>
      </w:pPr>
    </w:p>
    <w:p w14:paraId="2A8F58E4" w14:textId="0130BAF0" w:rsidR="00FC6FA3" w:rsidRPr="000479E9" w:rsidRDefault="00FC6FA3"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0F5420" w:rsidRPr="000479E9">
        <w:rPr>
          <w:rFonts w:ascii="Times New Roman" w:eastAsia="Times New Roman" w:hAnsi="Times New Roman" w:cs="Times New Roman"/>
          <w:b/>
          <w:sz w:val="24"/>
          <w:szCs w:val="24"/>
          <w:lang w:eastAsia="hr-HR"/>
        </w:rPr>
        <w:t>80</w:t>
      </w:r>
      <w:r w:rsidRPr="000479E9">
        <w:rPr>
          <w:rFonts w:ascii="Times New Roman" w:eastAsia="Times New Roman" w:hAnsi="Times New Roman" w:cs="Times New Roman"/>
          <w:b/>
          <w:sz w:val="24"/>
          <w:szCs w:val="24"/>
          <w:lang w:eastAsia="hr-HR"/>
        </w:rPr>
        <w:t>.</w:t>
      </w:r>
    </w:p>
    <w:p w14:paraId="0DD2A26D" w14:textId="616C15EC" w:rsidR="00FC6FA3" w:rsidRPr="000479E9" w:rsidRDefault="00FC6FA3"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se člankom u svrhu operativnog rasterećenja središnjeg depozitorija pojednostavljuje postupak donošenja operativnih pravila, uz informaciju Agenciji i skraćivanje javne rasprave. Time se središnjem depozitoriju omogućuje ažurno tehničko usklađenje pravila, uz odgovarajuću razinu transparentnosti i regulatorne kontrole.</w:t>
      </w:r>
    </w:p>
    <w:p w14:paraId="0A91DEDF" w14:textId="191FC637" w:rsidR="00FC6FA3" w:rsidRPr="000479E9" w:rsidRDefault="00FC6FA3" w:rsidP="00927C1F">
      <w:pPr>
        <w:spacing w:after="0" w:line="240" w:lineRule="auto"/>
        <w:jc w:val="both"/>
        <w:rPr>
          <w:rFonts w:ascii="Times New Roman" w:eastAsia="Times New Roman" w:hAnsi="Times New Roman" w:cs="Times New Roman"/>
          <w:b/>
          <w:sz w:val="24"/>
          <w:szCs w:val="24"/>
          <w:lang w:eastAsia="hr-HR"/>
        </w:rPr>
      </w:pPr>
    </w:p>
    <w:p w14:paraId="7303DE1B" w14:textId="629E8333" w:rsidR="00FC6FA3" w:rsidRPr="000479E9" w:rsidRDefault="00FC6FA3"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0F5420" w:rsidRPr="000479E9">
        <w:rPr>
          <w:rFonts w:ascii="Times New Roman" w:eastAsia="Times New Roman" w:hAnsi="Times New Roman" w:cs="Times New Roman"/>
          <w:b/>
          <w:sz w:val="24"/>
          <w:szCs w:val="24"/>
          <w:lang w:eastAsia="hr-HR"/>
        </w:rPr>
        <w:t>81</w:t>
      </w:r>
      <w:r w:rsidRPr="000479E9">
        <w:rPr>
          <w:rFonts w:ascii="Times New Roman" w:eastAsia="Times New Roman" w:hAnsi="Times New Roman" w:cs="Times New Roman"/>
          <w:b/>
          <w:sz w:val="24"/>
          <w:szCs w:val="24"/>
          <w:lang w:eastAsia="hr-HR"/>
        </w:rPr>
        <w:t xml:space="preserve">. </w:t>
      </w:r>
    </w:p>
    <w:p w14:paraId="31DA41E5" w14:textId="12F8064A" w:rsidR="00FC6FA3" w:rsidRPr="000479E9" w:rsidRDefault="00FC6FA3"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se člankom ukidaju kriteriji značajnosti operativnih pravila središnjeg depozitorija, obzirom na ciljano pojednostavljenje postupka donošenja istih.</w:t>
      </w:r>
    </w:p>
    <w:p w14:paraId="62CCD1D8" w14:textId="77777777" w:rsidR="00FC6FA3" w:rsidRPr="000479E9" w:rsidRDefault="00FC6FA3" w:rsidP="00927C1F">
      <w:pPr>
        <w:spacing w:after="0" w:line="240" w:lineRule="auto"/>
        <w:jc w:val="both"/>
        <w:rPr>
          <w:rFonts w:ascii="Times New Roman" w:eastAsia="Times New Roman" w:hAnsi="Times New Roman" w:cs="Times New Roman"/>
          <w:b/>
          <w:sz w:val="24"/>
          <w:szCs w:val="24"/>
          <w:lang w:eastAsia="hr-HR"/>
        </w:rPr>
      </w:pPr>
    </w:p>
    <w:p w14:paraId="4191C858" w14:textId="5D96F654" w:rsidR="00D41BD0" w:rsidRPr="000479E9" w:rsidRDefault="00D41BD0"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0F5420" w:rsidRPr="000479E9">
        <w:rPr>
          <w:rFonts w:ascii="Times New Roman" w:eastAsia="Times New Roman" w:hAnsi="Times New Roman" w:cs="Times New Roman"/>
          <w:b/>
          <w:sz w:val="24"/>
          <w:szCs w:val="24"/>
          <w:lang w:eastAsia="hr-HR"/>
        </w:rPr>
        <w:t>82</w:t>
      </w:r>
      <w:r w:rsidRPr="000479E9">
        <w:rPr>
          <w:rFonts w:ascii="Times New Roman" w:eastAsia="Times New Roman" w:hAnsi="Times New Roman" w:cs="Times New Roman"/>
          <w:b/>
          <w:sz w:val="24"/>
          <w:szCs w:val="24"/>
          <w:lang w:eastAsia="hr-HR"/>
        </w:rPr>
        <w:t xml:space="preserve">. </w:t>
      </w:r>
    </w:p>
    <w:p w14:paraId="642E5A45" w14:textId="29AD03B5" w:rsidR="00D41BD0" w:rsidRPr="000479E9" w:rsidRDefault="00D41BD0" w:rsidP="00927C1F">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U svrhu pojednostavljenja postupka i povećavanja učinkovitosti, ovim se člankom postupak provođenja konzultacija za cjenik središnjeg depozitorija skraćuje s dosadašnjih 30 na 15 dana.</w:t>
      </w:r>
    </w:p>
    <w:p w14:paraId="5E040273" w14:textId="77777777" w:rsidR="00D41BD0" w:rsidRPr="000479E9" w:rsidRDefault="00D41BD0" w:rsidP="00927C1F">
      <w:pPr>
        <w:spacing w:after="0" w:line="240" w:lineRule="auto"/>
        <w:jc w:val="both"/>
        <w:rPr>
          <w:rFonts w:ascii="Times New Roman" w:eastAsia="Times New Roman" w:hAnsi="Times New Roman" w:cs="Times New Roman"/>
          <w:b/>
          <w:sz w:val="24"/>
          <w:szCs w:val="24"/>
          <w:lang w:eastAsia="hr-HR"/>
        </w:rPr>
      </w:pPr>
    </w:p>
    <w:p w14:paraId="7A8A1CF0" w14:textId="231D669C" w:rsidR="00D603C7" w:rsidRPr="000479E9" w:rsidRDefault="00D603C7" w:rsidP="00927C1F">
      <w:pPr>
        <w:spacing w:after="0" w:line="240" w:lineRule="auto"/>
        <w:jc w:val="both"/>
        <w:rPr>
          <w:rFonts w:ascii="Times New Roman" w:eastAsia="Times New Roman" w:hAnsi="Times New Roman" w:cs="Times New Roman"/>
          <w:b/>
          <w:bCs/>
          <w:sz w:val="24"/>
          <w:szCs w:val="24"/>
          <w:lang w:eastAsia="hr-HR"/>
        </w:rPr>
      </w:pPr>
      <w:r w:rsidRPr="000479E9">
        <w:rPr>
          <w:rFonts w:ascii="Times New Roman" w:eastAsia="Times New Roman" w:hAnsi="Times New Roman" w:cs="Times New Roman"/>
          <w:b/>
          <w:bCs/>
          <w:sz w:val="24"/>
          <w:szCs w:val="24"/>
          <w:lang w:eastAsia="hr-HR"/>
        </w:rPr>
        <w:t xml:space="preserve">Uz članak </w:t>
      </w:r>
      <w:r w:rsidR="00611A5A" w:rsidRPr="000479E9">
        <w:rPr>
          <w:rFonts w:ascii="Times New Roman" w:eastAsia="Times New Roman" w:hAnsi="Times New Roman" w:cs="Times New Roman"/>
          <w:b/>
          <w:bCs/>
          <w:sz w:val="24"/>
          <w:szCs w:val="24"/>
          <w:lang w:eastAsia="hr-HR"/>
        </w:rPr>
        <w:t>8</w:t>
      </w:r>
      <w:r w:rsidR="000F5420" w:rsidRPr="000479E9">
        <w:rPr>
          <w:rFonts w:ascii="Times New Roman" w:eastAsia="Times New Roman" w:hAnsi="Times New Roman" w:cs="Times New Roman"/>
          <w:b/>
          <w:bCs/>
          <w:sz w:val="24"/>
          <w:szCs w:val="24"/>
          <w:lang w:eastAsia="hr-HR"/>
        </w:rPr>
        <w:t>3.</w:t>
      </w:r>
    </w:p>
    <w:p w14:paraId="555B702A" w14:textId="39F63E2C" w:rsidR="00D603C7" w:rsidRPr="000479E9" w:rsidRDefault="00D603C7" w:rsidP="00D603C7">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lastRenderedPageBreak/>
        <w:t xml:space="preserve">Ovim se člankom, odredba članka 569. važećeg Zakona uređuje na način da se dodaju novi stavci 10. do </w:t>
      </w:r>
      <w:r w:rsidR="000F5420" w:rsidRPr="000479E9">
        <w:rPr>
          <w:rFonts w:ascii="Times New Roman" w:eastAsia="Times New Roman" w:hAnsi="Times New Roman" w:cs="Times New Roman"/>
          <w:bCs/>
          <w:sz w:val="24"/>
          <w:szCs w:val="24"/>
          <w:lang w:eastAsia="hr-HR"/>
        </w:rPr>
        <w:t>15</w:t>
      </w:r>
      <w:r w:rsidRPr="000479E9">
        <w:rPr>
          <w:rFonts w:ascii="Times New Roman" w:eastAsia="Times New Roman" w:hAnsi="Times New Roman" w:cs="Times New Roman"/>
          <w:bCs/>
          <w:sz w:val="24"/>
          <w:szCs w:val="24"/>
          <w:lang w:eastAsia="hr-HR"/>
        </w:rPr>
        <w:t>. Predloženom odredbom stavka 10. uspostavlja se izričita zakonska obveza izdavatelja da središnjem depozitoriju dostavlja informacije potrebne za uredno vođenje sustava namire i registra nematerijaliziranih vrijednosnih papira te za provedbu korporativnih događaja. Time se osigurava pravna osnova za razmjenu podataka između izdavatelja i središnjeg depozitorija u skladu s praksom europskih središnjih depozitorija.</w:t>
      </w:r>
    </w:p>
    <w:p w14:paraId="047F01A1" w14:textId="438DB9E7" w:rsidR="00D603C7" w:rsidRPr="000479E9" w:rsidRDefault="00D603C7" w:rsidP="00D603C7">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Nadalje, odredbom stavka 11. uređuje se ovlast središnjeg depozitorija da zaprimljene informacije učini dostupnima relevantnim korisnicima sustava te da ih razmjenjuje s drugim subjektima tržišne infrastrukture kada je to potrebno za pružanje usluga. </w:t>
      </w:r>
    </w:p>
    <w:p w14:paraId="145AA323" w14:textId="0ED61A04" w:rsidR="00D603C7" w:rsidRPr="000479E9" w:rsidRDefault="00AC3853" w:rsidP="00D603C7">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Dodatno, o</w:t>
      </w:r>
      <w:r w:rsidR="00D603C7" w:rsidRPr="000479E9">
        <w:rPr>
          <w:rFonts w:ascii="Times New Roman" w:eastAsia="Times New Roman" w:hAnsi="Times New Roman" w:cs="Times New Roman"/>
          <w:bCs/>
          <w:sz w:val="24"/>
          <w:szCs w:val="24"/>
          <w:lang w:eastAsia="hr-HR"/>
        </w:rPr>
        <w:t>dredbom</w:t>
      </w:r>
      <w:r w:rsidRPr="000479E9">
        <w:rPr>
          <w:rFonts w:ascii="Times New Roman" w:eastAsia="Times New Roman" w:hAnsi="Times New Roman" w:cs="Times New Roman"/>
          <w:bCs/>
          <w:sz w:val="24"/>
          <w:szCs w:val="24"/>
          <w:lang w:eastAsia="hr-HR"/>
        </w:rPr>
        <w:t xml:space="preserve"> stavka 12.</w:t>
      </w:r>
      <w:r w:rsidR="00D603C7" w:rsidRPr="000479E9">
        <w:rPr>
          <w:rFonts w:ascii="Times New Roman" w:eastAsia="Times New Roman" w:hAnsi="Times New Roman" w:cs="Times New Roman"/>
          <w:bCs/>
          <w:sz w:val="24"/>
          <w:szCs w:val="24"/>
          <w:lang w:eastAsia="hr-HR"/>
        </w:rPr>
        <w:t xml:space="preserve"> izrijekom</w:t>
      </w:r>
      <w:r w:rsidRPr="000479E9">
        <w:rPr>
          <w:rFonts w:ascii="Times New Roman" w:eastAsia="Times New Roman" w:hAnsi="Times New Roman" w:cs="Times New Roman"/>
          <w:bCs/>
          <w:sz w:val="24"/>
          <w:szCs w:val="24"/>
          <w:lang w:eastAsia="hr-HR"/>
        </w:rPr>
        <w:t xml:space="preserve"> se</w:t>
      </w:r>
      <w:r w:rsidR="00D603C7" w:rsidRPr="000479E9">
        <w:rPr>
          <w:rFonts w:ascii="Times New Roman" w:eastAsia="Times New Roman" w:hAnsi="Times New Roman" w:cs="Times New Roman"/>
          <w:bCs/>
          <w:sz w:val="24"/>
          <w:szCs w:val="24"/>
          <w:lang w:eastAsia="hr-HR"/>
        </w:rPr>
        <w:t xml:space="preserve"> priznaje pravna valjanost elektroničke komunikacije između izdavatelja, sudionika i središnjeg depozitorija. Istodobno se propisuju minimalni elementi pouzdanosti sustava (identifikacija pošiljatelja, integritet podataka i dokaz o vremenu dostave), čime se osigurava pravna sigurnost i usklađenost s europskim standardima digitalnog poslovanja te se osigurava jednaka pravna valjanost i dokazna snaga s podacima zaprimljenim u pisanom obliku Time se uklanja potreba za paralelnim papirnatim procesima te omogućuje potpuna digitalizacija komunikacije između središnjeg depozitorija, izdavatelja, sudionika i ulagatelja.</w:t>
      </w:r>
    </w:p>
    <w:p w14:paraId="62FFFEDF" w14:textId="7E2620A2" w:rsidR="00D603C7" w:rsidRPr="000479E9" w:rsidRDefault="00D603C7" w:rsidP="00D603C7">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Odredbom </w:t>
      </w:r>
      <w:r w:rsidR="00D6133C" w:rsidRPr="000479E9">
        <w:rPr>
          <w:rFonts w:ascii="Times New Roman" w:eastAsia="Times New Roman" w:hAnsi="Times New Roman" w:cs="Times New Roman"/>
          <w:bCs/>
          <w:sz w:val="24"/>
          <w:szCs w:val="24"/>
          <w:lang w:eastAsia="hr-HR"/>
        </w:rPr>
        <w:t xml:space="preserve">stavka 13. </w:t>
      </w:r>
      <w:r w:rsidRPr="000479E9">
        <w:rPr>
          <w:rFonts w:ascii="Times New Roman" w:eastAsia="Times New Roman" w:hAnsi="Times New Roman" w:cs="Times New Roman"/>
          <w:bCs/>
          <w:sz w:val="24"/>
          <w:szCs w:val="24"/>
          <w:lang w:eastAsia="hr-HR"/>
        </w:rPr>
        <w:t>potvrđuje</w:t>
      </w:r>
      <w:r w:rsidR="00D6133C" w:rsidRPr="000479E9">
        <w:rPr>
          <w:rFonts w:ascii="Times New Roman" w:eastAsia="Times New Roman" w:hAnsi="Times New Roman" w:cs="Times New Roman"/>
          <w:bCs/>
          <w:sz w:val="24"/>
          <w:szCs w:val="24"/>
          <w:lang w:eastAsia="hr-HR"/>
        </w:rPr>
        <w:t xml:space="preserve"> se</w:t>
      </w:r>
      <w:r w:rsidRPr="000479E9">
        <w:rPr>
          <w:rFonts w:ascii="Times New Roman" w:eastAsia="Times New Roman" w:hAnsi="Times New Roman" w:cs="Times New Roman"/>
          <w:bCs/>
          <w:sz w:val="24"/>
          <w:szCs w:val="24"/>
          <w:lang w:eastAsia="hr-HR"/>
        </w:rPr>
        <w:t xml:space="preserve"> da podaci, izvješća i potvrde koje središnji depozitorij izdaje ili stavlja na raspolaganje elektroničkim putem imaju jednaku pravnu valjanost kao dokumenti u pisanom obliku. Time se uklanja potreba za paralelnim papirnatim procesima te omogućuje potpuna digitalizacija komunikacije između središnjeg depozitorija, izdavatelja, sudionika i ulagatelja.</w:t>
      </w:r>
    </w:p>
    <w:p w14:paraId="523C41F3" w14:textId="77777777"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Predloženim stavcima 14. i 15. uvodi se dodatni mehanizam kontrole naknada koje središnji depozitorij naplaćuje za usluge povezane s poslovima iz stavaka 10. do 13. ovoga članka, imajući osobito u vidu da je za pojedine od tih poslova korištenje usluga središnjeg depozitorija za izdavatelje obvezno te da stoga ne postoji mogućnost izbora drugog pružatelja usluge.</w:t>
      </w:r>
    </w:p>
    <w:p w14:paraId="6CBAF951" w14:textId="77777777"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Središnji depozitorij dužan je uz prijedlog cjenika Agenciji dostaviti obrazloženje načina utvrđivanja visine tih naknada, uključujući podatke o troškovima i drugim kriterijima na kojima se naknade temelje. Time se Agenciji omogućuje ocijeniti postoji li odgovarajuća povezanost između visine naknade te troškova, opsega i prirode usluge koja se pruža.</w:t>
      </w:r>
    </w:p>
    <w:p w14:paraId="5BFB83CC" w14:textId="77777777"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Agenciji se ujedno daje ovlast zatražiti dodatne podatke i obrazloženja te naložiti usklađivanje cjenika ako utvrdi da visina ili način utvrđivanja naknade nisu razumni, transparentni, nediskriminirajući i opravdani s obzirom na troškove, opseg i prirodu usluge. Pri toj se ocjeni posebno uzima u obzir činjenica da je korištenje predmetne usluge za korisnika obvezno.</w:t>
      </w:r>
    </w:p>
    <w:p w14:paraId="5AFC0E30" w14:textId="77777777"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Navedenim se odredbama nastoji spriječiti da obveznost korištenja usluga središnjeg depozitorija dovede do određivanja neopravdanih ili nerazmjernih naknada, uz istodobno omogućavanje središnjem depozitoriju da naknadama pokrije opravdane troškove pružanja tih usluga.</w:t>
      </w:r>
    </w:p>
    <w:p w14:paraId="12D3C22B" w14:textId="77777777" w:rsidR="00FC6FA3" w:rsidRPr="000479E9" w:rsidRDefault="00FC6FA3" w:rsidP="00927C1F">
      <w:pPr>
        <w:spacing w:after="0" w:line="240" w:lineRule="auto"/>
        <w:jc w:val="both"/>
        <w:rPr>
          <w:rFonts w:ascii="Times New Roman" w:eastAsia="Times New Roman" w:hAnsi="Times New Roman" w:cs="Times New Roman"/>
          <w:b/>
          <w:sz w:val="24"/>
          <w:szCs w:val="24"/>
          <w:lang w:eastAsia="hr-HR"/>
        </w:rPr>
      </w:pPr>
    </w:p>
    <w:p w14:paraId="5093F50A" w14:textId="36BBED1C" w:rsidR="00611A5A" w:rsidRPr="000479E9" w:rsidRDefault="00611A5A"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lastRenderedPageBreak/>
        <w:t>Uz članak 8</w:t>
      </w:r>
      <w:r w:rsidR="000F5420" w:rsidRPr="000479E9">
        <w:rPr>
          <w:rFonts w:ascii="Times New Roman" w:eastAsia="Times New Roman" w:hAnsi="Times New Roman" w:cs="Times New Roman"/>
          <w:b/>
          <w:sz w:val="24"/>
          <w:szCs w:val="24"/>
          <w:lang w:eastAsia="hr-HR"/>
        </w:rPr>
        <w:t>4</w:t>
      </w:r>
      <w:r w:rsidRPr="000479E9">
        <w:rPr>
          <w:rFonts w:ascii="Times New Roman" w:eastAsia="Times New Roman" w:hAnsi="Times New Roman" w:cs="Times New Roman"/>
          <w:b/>
          <w:sz w:val="24"/>
          <w:szCs w:val="24"/>
          <w:lang w:eastAsia="hr-HR"/>
        </w:rPr>
        <w:t xml:space="preserve">. </w:t>
      </w:r>
    </w:p>
    <w:p w14:paraId="7A60927B" w14:textId="5D9B75B7" w:rsidR="00611A5A" w:rsidRPr="000479E9" w:rsidRDefault="00611A5A" w:rsidP="00611A5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U svrhu regulatornog rasterećenja, usklađenja sa važećim Zakonom o reviziji i prevladavajućom praksom u državama članicama, ovim se člankom produljuje rok u kojemu jedan revizor može obavljati zakonsku reviziju u središnjem depozitoriju sa dosadašnjih sedam na deset godina. </w:t>
      </w:r>
    </w:p>
    <w:p w14:paraId="64894882" w14:textId="4FBCB459" w:rsidR="00611A5A" w:rsidRPr="000479E9" w:rsidRDefault="00611A5A" w:rsidP="00927C1F">
      <w:pPr>
        <w:spacing w:after="0" w:line="240" w:lineRule="auto"/>
        <w:jc w:val="both"/>
        <w:rPr>
          <w:rFonts w:ascii="Times New Roman" w:eastAsia="Times New Roman" w:hAnsi="Times New Roman" w:cs="Times New Roman"/>
          <w:b/>
          <w:sz w:val="24"/>
          <w:szCs w:val="24"/>
          <w:lang w:eastAsia="hr-HR"/>
        </w:rPr>
      </w:pPr>
    </w:p>
    <w:p w14:paraId="2C15FEF7" w14:textId="77777777" w:rsidR="00CE1C26" w:rsidRPr="000479E9" w:rsidRDefault="00CE1C26" w:rsidP="00CE1C26">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članke 85. do 88. </w:t>
      </w:r>
    </w:p>
    <w:p w14:paraId="62E30B84" w14:textId="77777777" w:rsidR="00CE1C26" w:rsidRPr="000479E9" w:rsidRDefault="00CE1C26" w:rsidP="00CE1C26">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Obzirom da regulatorni okvir poslovanja središnjih depozitorija u Europske unije ne nameće opću obvezu izrade nacionalnih sanacijskih planova za središnje depozitorije, sanacijski okvir za središnji depozitorij u Republici Hrvatskoj prepoznat je kao značajno regulatorno opterećenje pa je istu obvezu trebalo brisati.</w:t>
      </w:r>
    </w:p>
    <w:p w14:paraId="155FA58F" w14:textId="77777777" w:rsidR="00CE1C26" w:rsidRPr="000479E9" w:rsidRDefault="00CE1C26" w:rsidP="00927C1F">
      <w:pPr>
        <w:spacing w:after="0" w:line="240" w:lineRule="auto"/>
        <w:jc w:val="both"/>
        <w:rPr>
          <w:rFonts w:ascii="Times New Roman" w:eastAsia="Times New Roman" w:hAnsi="Times New Roman" w:cs="Times New Roman"/>
          <w:b/>
          <w:sz w:val="24"/>
          <w:szCs w:val="24"/>
          <w:lang w:eastAsia="hr-HR"/>
        </w:rPr>
      </w:pPr>
    </w:p>
    <w:p w14:paraId="581C85D6" w14:textId="77777777" w:rsidR="000F5420" w:rsidRPr="000479E9" w:rsidRDefault="000F5420" w:rsidP="000F5420">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89. </w:t>
      </w:r>
    </w:p>
    <w:p w14:paraId="59475708" w14:textId="1F50E3FE"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Ovim člankom dopunjuje se članak 698. stavak 4.</w:t>
      </w:r>
      <w:r w:rsidR="005573A8" w:rsidRPr="000479E9">
        <w:rPr>
          <w:rFonts w:ascii="Times New Roman" w:eastAsia="Times New Roman" w:hAnsi="Times New Roman" w:cs="Times New Roman"/>
          <w:bCs/>
          <w:sz w:val="24"/>
          <w:szCs w:val="24"/>
          <w:lang w:eastAsia="hr-HR"/>
        </w:rPr>
        <w:t xml:space="preserve"> važećeg</w:t>
      </w:r>
      <w:r w:rsidRPr="000479E9">
        <w:rPr>
          <w:rFonts w:ascii="Times New Roman" w:eastAsia="Times New Roman" w:hAnsi="Times New Roman" w:cs="Times New Roman"/>
          <w:bCs/>
          <w:sz w:val="24"/>
          <w:szCs w:val="24"/>
          <w:lang w:eastAsia="hr-HR"/>
        </w:rPr>
        <w:t xml:space="preserve"> Zakona dodatnim okolnostima koje je Agencija dužna uzeti u obzir pri odlučivanju o podnošenju optužnog prijedloga, radi potpunijeg usklađenja kriterija za postupanje Agencije s relevantnim pravom Europske unije.</w:t>
      </w:r>
    </w:p>
    <w:p w14:paraId="20E2A427" w14:textId="77777777"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Kao dodatna okolnost propisuju se mjere koje je fizička ili pravna osoba odgovorna za kršenje poduzela nakon kršenja radi sprječavanja njegova ponavljanja. Time se omogućuje uzimanje u obzir naknadnog postupanja odgovorne osobe, osobito aktivnosti usmjerenih na otklanjanje uzroka kršenja i sprječavanje njegova ponavljanja.</w:t>
      </w:r>
    </w:p>
    <w:p w14:paraId="31C02244" w14:textId="77777777" w:rsidR="000F5420" w:rsidRPr="000479E9" w:rsidRDefault="000F5420" w:rsidP="000F542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Također se kao relevantna okolnost propisuje nepovoljnost za fizičku ili pravnu osobu odgovornu za kršenje koja proizlazi iz dvostrukog vođenja kaznenog i prekršajnog postupka odnosno izricanja kaznenih i prekršajnopravnih sankcija za isto postupanje. Na taj se način pri odlučivanju o pokretanju prekršajnog postupka omogućuje uzimanje u obzir ukupnog sankcijskog opterećenja osobe odgovorne za isto postupanje te se dodatno osigurava proporcionalnost postupanja Agencije.</w:t>
      </w:r>
    </w:p>
    <w:p w14:paraId="58DD885A" w14:textId="77777777" w:rsidR="000F5420" w:rsidRPr="000479E9" w:rsidRDefault="000F5420" w:rsidP="00927C1F">
      <w:pPr>
        <w:spacing w:after="0" w:line="240" w:lineRule="auto"/>
        <w:jc w:val="both"/>
        <w:rPr>
          <w:rFonts w:ascii="Times New Roman" w:eastAsia="Times New Roman" w:hAnsi="Times New Roman" w:cs="Times New Roman"/>
          <w:b/>
          <w:sz w:val="24"/>
          <w:szCs w:val="24"/>
          <w:lang w:eastAsia="hr-HR"/>
        </w:rPr>
      </w:pPr>
    </w:p>
    <w:p w14:paraId="7BF9DD99" w14:textId="0178C22E" w:rsidR="00595A8D" w:rsidRPr="000479E9" w:rsidRDefault="00595A8D"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 xml:space="preserve">Uz članak </w:t>
      </w:r>
      <w:r w:rsidR="000F5420" w:rsidRPr="000479E9">
        <w:rPr>
          <w:rFonts w:ascii="Times New Roman" w:eastAsia="Times New Roman" w:hAnsi="Times New Roman" w:cs="Times New Roman"/>
          <w:b/>
          <w:sz w:val="24"/>
          <w:szCs w:val="24"/>
          <w:lang w:eastAsia="hr-HR"/>
        </w:rPr>
        <w:t>90</w:t>
      </w:r>
      <w:r w:rsidRPr="000479E9">
        <w:rPr>
          <w:rFonts w:ascii="Times New Roman" w:eastAsia="Times New Roman" w:hAnsi="Times New Roman" w:cs="Times New Roman"/>
          <w:b/>
          <w:sz w:val="24"/>
          <w:szCs w:val="24"/>
          <w:lang w:eastAsia="hr-HR"/>
        </w:rPr>
        <w:t xml:space="preserve">. </w:t>
      </w:r>
    </w:p>
    <w:p w14:paraId="0261DC79" w14:textId="0AABF82E"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Predlaže se uvođenje odredbe kojom se </w:t>
      </w:r>
      <w:r w:rsidR="00D22C6B" w:rsidRPr="000479E9">
        <w:rPr>
          <w:rFonts w:ascii="Times New Roman" w:eastAsia="Times New Roman" w:hAnsi="Times New Roman" w:cs="Times New Roman"/>
          <w:bCs/>
          <w:sz w:val="24"/>
          <w:szCs w:val="24"/>
          <w:lang w:eastAsia="hr-HR"/>
        </w:rPr>
        <w:t>Agenciji</w:t>
      </w:r>
      <w:r w:rsidRPr="000479E9">
        <w:rPr>
          <w:rFonts w:ascii="Times New Roman" w:eastAsia="Times New Roman" w:hAnsi="Times New Roman" w:cs="Times New Roman"/>
          <w:bCs/>
          <w:sz w:val="24"/>
          <w:szCs w:val="24"/>
          <w:lang w:eastAsia="hr-HR"/>
        </w:rPr>
        <w:t xml:space="preserve"> omogućuje primjena načela oportuniteta pri odlučivanju o pokretanju prekršajnog postupka u iznimnim slučajevima kada, unatoč formalno ostvarenim obilježjima prekršaja, vođenje prekršajnog postupka ne bi bilo razmjerno težini povrede niti nužno radi zaštite javnog interesa.</w:t>
      </w:r>
    </w:p>
    <w:p w14:paraId="7F53B9DD"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p>
    <w:p w14:paraId="4A0E3E0F"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Takvo rješenje pridonosi učinkovitijem ostvarivanju svrhe nadzora i sankcioniranja jer omogućuje razlikovanje povreda koje predstavljaju stvarnu prijetnju integritetu tržišta kapitala, zaštiti ulagatelja ili financijskoj stabilnosti od povreda koje su isključivo formalne, administrativne ili imaju zanemarive posljedice. Time se osigurava da se prekršajni postupci vode prvenstveno u slučajevima u kojima je sankcioniranje doista potrebno radi ostvarivanja preventivne i represivne svrhe prekršajnog prava.</w:t>
      </w:r>
    </w:p>
    <w:p w14:paraId="1F6FB013"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p>
    <w:p w14:paraId="1AC28E97"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 xml:space="preserve">Načelo oportuniteta ujedno predstavlja izraz načela razmjernosti, koje je jedno od temeljnih načela prava Europske unije i hrvatskog pravnog poretka. Europski regulatorni okvir zahtijeva da sankcije budu učinkovite, razmjerne i odvraćajuće, ali državama članicama ostavlja diskreciju u odabiru mehanizama kojima će se ti ciljevi </w:t>
      </w:r>
      <w:r w:rsidRPr="000479E9">
        <w:rPr>
          <w:rFonts w:ascii="Times New Roman" w:eastAsia="Times New Roman" w:hAnsi="Times New Roman" w:cs="Times New Roman"/>
          <w:bCs/>
          <w:sz w:val="24"/>
          <w:szCs w:val="24"/>
          <w:lang w:eastAsia="hr-HR"/>
        </w:rPr>
        <w:lastRenderedPageBreak/>
        <w:t>ostvariti. Uvođenjem mogućnosti da se u opravdanim slučajevima odustane od pokretanja prekršajnog postupka ne umanjuje se učinkovitost sankcijskog sustava, već se omogućuje njegova razmjernija primjena.</w:t>
      </w:r>
    </w:p>
    <w:p w14:paraId="34E4E77C"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p>
    <w:p w14:paraId="4C915577"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Primjena načela oportuniteta pridonosi i učinkovitijem korištenju nadzornih i pravosudnih resursa. Umjesto vođenja postupaka zbog povreda koje nemaju značajan utjecaj na funkcioniranje tržišta ili položaj ulagatelja, nadzorna i pravosudna tijela mogu svoje kapacitete usmjeriti na otkrivanje i sankcioniranje najtežih povreda propisa, čime se povećava ukupna učinkovitost nadzora.</w:t>
      </w:r>
    </w:p>
    <w:p w14:paraId="7E8892C3"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p>
    <w:p w14:paraId="58734F8E" w14:textId="3F09A9FB"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Dodatno, mogućnost primjene oportuniteta potiče suradnju subjekata nadzora s Agencijom. Kada subjekt dobrovoljno otkloni utvrđene nepravilnosti, pravodobno otkrije povredu, poduzme odgovarajuće korektivne mjere ili nadoknadi nastalu štetu, javni interes često može biti u cijelosti ostvaren bez potrebe za pokretanjem prekršajnog postupka. Takav pristup jača preventivnu funkciju nadzora i potiče kulturu usklađenosti s propisima.</w:t>
      </w:r>
    </w:p>
    <w:p w14:paraId="5ABFD938" w14:textId="77777777"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p>
    <w:p w14:paraId="619F0D56" w14:textId="082CCF84" w:rsidR="00AF60E0" w:rsidRPr="000479E9" w:rsidRDefault="00AF60E0" w:rsidP="00AF60E0">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Primjena načela oportuniteta ovim prijedlogom ograničena je na iznimne slučajeve čime se osigurava transparentna i ujednačena primjena instituta te očuvanje pravne sigurnosti i jednakosti svih sudionika tržišta.</w:t>
      </w:r>
    </w:p>
    <w:p w14:paraId="3D742577" w14:textId="77777777" w:rsidR="00595A8D" w:rsidRPr="000479E9" w:rsidRDefault="00595A8D" w:rsidP="00927C1F">
      <w:pPr>
        <w:spacing w:after="0" w:line="240" w:lineRule="auto"/>
        <w:jc w:val="both"/>
        <w:rPr>
          <w:rFonts w:ascii="Times New Roman" w:eastAsia="Times New Roman" w:hAnsi="Times New Roman" w:cs="Times New Roman"/>
          <w:b/>
          <w:sz w:val="24"/>
          <w:szCs w:val="24"/>
          <w:lang w:eastAsia="hr-HR"/>
        </w:rPr>
      </w:pPr>
    </w:p>
    <w:p w14:paraId="0CDF759F" w14:textId="0ACEB3A6"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člank</w:t>
      </w:r>
      <w:r w:rsidR="00B0795A" w:rsidRPr="000479E9">
        <w:rPr>
          <w:rFonts w:ascii="Times New Roman" w:eastAsia="Times New Roman" w:hAnsi="Times New Roman" w:cs="Times New Roman"/>
          <w:b/>
          <w:sz w:val="24"/>
          <w:szCs w:val="24"/>
          <w:lang w:eastAsia="hr-HR"/>
        </w:rPr>
        <w:t>e</w:t>
      </w:r>
      <w:r w:rsidRPr="000479E9">
        <w:rPr>
          <w:rFonts w:ascii="Times New Roman" w:eastAsia="Times New Roman" w:hAnsi="Times New Roman" w:cs="Times New Roman"/>
          <w:b/>
          <w:sz w:val="24"/>
          <w:szCs w:val="24"/>
          <w:lang w:eastAsia="hr-HR"/>
        </w:rPr>
        <w:t xml:space="preserve"> </w:t>
      </w:r>
      <w:r w:rsidR="000F5420" w:rsidRPr="000479E9">
        <w:rPr>
          <w:rFonts w:ascii="Times New Roman" w:eastAsia="Times New Roman" w:hAnsi="Times New Roman" w:cs="Times New Roman"/>
          <w:b/>
          <w:sz w:val="24"/>
          <w:szCs w:val="24"/>
          <w:lang w:eastAsia="hr-HR"/>
        </w:rPr>
        <w:t>91</w:t>
      </w:r>
      <w:r w:rsidRPr="000479E9">
        <w:rPr>
          <w:rFonts w:ascii="Times New Roman" w:eastAsia="Times New Roman" w:hAnsi="Times New Roman" w:cs="Times New Roman"/>
          <w:b/>
          <w:sz w:val="24"/>
          <w:szCs w:val="24"/>
          <w:lang w:eastAsia="hr-HR"/>
        </w:rPr>
        <w:t xml:space="preserve">. do </w:t>
      </w:r>
      <w:r w:rsidR="00B55B6C" w:rsidRPr="000479E9">
        <w:rPr>
          <w:rFonts w:ascii="Times New Roman" w:eastAsia="Times New Roman" w:hAnsi="Times New Roman" w:cs="Times New Roman"/>
          <w:b/>
          <w:sz w:val="24"/>
          <w:szCs w:val="24"/>
          <w:lang w:eastAsia="hr-HR"/>
        </w:rPr>
        <w:t>1</w:t>
      </w:r>
      <w:r w:rsidR="00611A5A"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8</w:t>
      </w:r>
      <w:r w:rsidRPr="000479E9">
        <w:rPr>
          <w:rFonts w:ascii="Times New Roman" w:eastAsia="Times New Roman" w:hAnsi="Times New Roman" w:cs="Times New Roman"/>
          <w:b/>
          <w:sz w:val="24"/>
          <w:szCs w:val="24"/>
          <w:lang w:eastAsia="hr-HR"/>
        </w:rPr>
        <w:t xml:space="preserve">. </w:t>
      </w:r>
    </w:p>
    <w:p w14:paraId="34CD1468" w14:textId="2C3149B2" w:rsidR="00442EC7" w:rsidRPr="000479E9" w:rsidRDefault="00927C1F"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Predmetnim člancima dopunjuju se prekršajne odredbe članaka važećega Zakona te se iste usklađuju s normativnim dijelom ovoga Zakona, kao i Uredbom (EU) 2024/2809.</w:t>
      </w:r>
      <w:r w:rsidR="00442EC7" w:rsidRPr="000479E9">
        <w:rPr>
          <w:rFonts w:ascii="Times New Roman" w:eastAsia="Times New Roman" w:hAnsi="Times New Roman" w:cs="Times New Roman"/>
          <w:sz w:val="24"/>
          <w:szCs w:val="24"/>
          <w:lang w:eastAsia="hr-HR"/>
        </w:rPr>
        <w:t>, ali i radi unaprjeđenja sustava prekršajnog sankcioniranja kroz jasnije razlikovanje osnovnih i kvalificiranih oblika pojedinih prekršaja.</w:t>
      </w:r>
    </w:p>
    <w:p w14:paraId="2A63049D" w14:textId="77777777" w:rsidR="003F79B8" w:rsidRPr="000479E9" w:rsidRDefault="003F79B8" w:rsidP="00442EC7">
      <w:pPr>
        <w:spacing w:after="0" w:line="240" w:lineRule="auto"/>
        <w:jc w:val="both"/>
        <w:rPr>
          <w:rFonts w:ascii="Times New Roman" w:eastAsia="Times New Roman" w:hAnsi="Times New Roman" w:cs="Times New Roman"/>
          <w:sz w:val="24"/>
          <w:szCs w:val="24"/>
          <w:lang w:eastAsia="hr-HR"/>
        </w:rPr>
      </w:pPr>
    </w:p>
    <w:p w14:paraId="3A949B45" w14:textId="77777777" w:rsidR="00442EC7" w:rsidRPr="000479E9" w:rsidRDefault="00442EC7"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Kod dijela prekršaja važeći Zakon propisuje jedinstveni raspon novčanih kazni, neovisno o težini konkretne povrede. Takvo rješenje preuzeto je prilikom prenošenja pojedinih zahtjeva prava Europske unije, osobito Direktive 2014/65/EU (MiFID II), koja od država članica zahtijeva da osiguraju učinkovite, razmjerne i odvraćajuće sankcije te propišu određene maksimalne raspone novčanih kazni. Međutim, europsko pravo pritom uređuje isključivo </w:t>
      </w:r>
      <w:r w:rsidRPr="000479E9">
        <w:rPr>
          <w:rFonts w:ascii="Times New Roman" w:eastAsia="Times New Roman" w:hAnsi="Times New Roman" w:cs="Times New Roman"/>
          <w:bCs/>
          <w:sz w:val="24"/>
          <w:szCs w:val="24"/>
          <w:lang w:eastAsia="hr-HR"/>
        </w:rPr>
        <w:t>maksimalne administrativne sankcije koje moraju biti na raspolaganju</w:t>
      </w:r>
      <w:r w:rsidRPr="000479E9">
        <w:rPr>
          <w:rFonts w:ascii="Times New Roman" w:eastAsia="Times New Roman" w:hAnsi="Times New Roman" w:cs="Times New Roman"/>
          <w:sz w:val="24"/>
          <w:szCs w:val="24"/>
          <w:lang w:eastAsia="hr-HR"/>
        </w:rPr>
        <w:t>, dok državama članicama ostavlja slobodu u određivanju njihove unutarnje strukture, gradacije i minimalnih iznosa, kao i načina njihove primjene u nacionalnom pravnom sustavu.</w:t>
      </w:r>
    </w:p>
    <w:p w14:paraId="72157676" w14:textId="36CE916A" w:rsidR="00442EC7" w:rsidRPr="000479E9" w:rsidRDefault="00442EC7"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Naime, člankom 70. stavkom 6. Direktive 2014/65/EU propisani su minimalni zahtjevi u pogledu maksimalnih administrativnih novčanih sankcija za pravne i fizičke osobe te mogućnost izricanja kazne u visini najmanje dvostrukog iznosa ostvarene koristi, ako se ona može utvrditi. Istodobno, </w:t>
      </w:r>
      <w:r w:rsidR="00D22C6B" w:rsidRPr="000479E9">
        <w:rPr>
          <w:rFonts w:ascii="Times New Roman" w:eastAsia="Times New Roman" w:hAnsi="Times New Roman" w:cs="Times New Roman"/>
          <w:sz w:val="24"/>
          <w:szCs w:val="24"/>
          <w:lang w:eastAsia="hr-HR"/>
        </w:rPr>
        <w:t xml:space="preserve">predmetnom </w:t>
      </w:r>
      <w:r w:rsidR="001146DC">
        <w:rPr>
          <w:rFonts w:ascii="Times New Roman" w:eastAsia="Times New Roman" w:hAnsi="Times New Roman" w:cs="Times New Roman"/>
          <w:sz w:val="24"/>
          <w:szCs w:val="24"/>
          <w:lang w:eastAsia="hr-HR"/>
        </w:rPr>
        <w:t>D</w:t>
      </w:r>
      <w:r w:rsidRPr="000479E9">
        <w:rPr>
          <w:rFonts w:ascii="Times New Roman" w:eastAsia="Times New Roman" w:hAnsi="Times New Roman" w:cs="Times New Roman"/>
          <w:sz w:val="24"/>
          <w:szCs w:val="24"/>
          <w:lang w:eastAsia="hr-HR"/>
        </w:rPr>
        <w:t>irektivom nije propisano da se navedeni maksimalni iznosi moraju primjenjivati na sve oblike povreda niti da države članice ne mogu razlikovati osnovne i kvalificirane oblike prekršaja.</w:t>
      </w:r>
    </w:p>
    <w:p w14:paraId="3C6E8940" w14:textId="2DAD6C7F" w:rsidR="00442EC7" w:rsidRPr="000479E9" w:rsidRDefault="00442EC7"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Dodatno, člankom 72. stavkom 2. </w:t>
      </w:r>
      <w:r w:rsidR="00D22C6B" w:rsidRPr="000479E9">
        <w:rPr>
          <w:rFonts w:ascii="Times New Roman" w:eastAsia="Times New Roman" w:hAnsi="Times New Roman" w:cs="Times New Roman"/>
          <w:sz w:val="24"/>
          <w:szCs w:val="24"/>
          <w:lang w:eastAsia="hr-HR"/>
        </w:rPr>
        <w:t xml:space="preserve">iste </w:t>
      </w:r>
      <w:r w:rsidR="001146DC">
        <w:rPr>
          <w:rFonts w:ascii="Times New Roman" w:eastAsia="Times New Roman" w:hAnsi="Times New Roman" w:cs="Times New Roman"/>
          <w:sz w:val="24"/>
          <w:szCs w:val="24"/>
          <w:lang w:eastAsia="hr-HR"/>
        </w:rPr>
        <w:t>D</w:t>
      </w:r>
      <w:r w:rsidRPr="000479E9">
        <w:rPr>
          <w:rFonts w:ascii="Times New Roman" w:eastAsia="Times New Roman" w:hAnsi="Times New Roman" w:cs="Times New Roman"/>
          <w:sz w:val="24"/>
          <w:szCs w:val="24"/>
          <w:lang w:eastAsia="hr-HR"/>
        </w:rPr>
        <w:t xml:space="preserve">irektive propisano je da nadležna tijela pri određivanju vrste i razine administrativnih sankcija uzimaju u obzir sve relevantne </w:t>
      </w:r>
      <w:r w:rsidRPr="000479E9">
        <w:rPr>
          <w:rFonts w:ascii="Times New Roman" w:eastAsia="Times New Roman" w:hAnsi="Times New Roman" w:cs="Times New Roman"/>
          <w:sz w:val="24"/>
          <w:szCs w:val="24"/>
          <w:lang w:eastAsia="hr-HR"/>
        </w:rPr>
        <w:lastRenderedPageBreak/>
        <w:t>okolnosti pojedinog slučaja, osobito ozbiljnost i trajanje povrede, stupanj odgovornosti počinitelja, ostvarenu korist ili izbjegnuti gubitak, prouzročenu štetu trećima, suradnju s nadležnim tijelom te prethodna kršenja propisa. Navedeni kriteriji zamišljeni su prvenstveno za sustave u kojima nadležno tijelo samo izriče administrativnu sankciju i određuje njezin iznos.</w:t>
      </w:r>
    </w:p>
    <w:p w14:paraId="779423CE" w14:textId="23CD02A4" w:rsidR="00442EC7" w:rsidRPr="000479E9" w:rsidRDefault="00442EC7"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Budući da hrvatski sustav u području Zakona o tržištu kapitala počiva na sudskom prekršajnom postupku, u kojem sud odlučuje u okviru zakonom propisanog opisa prekršaja i propisanog raspona kazne, navedeni kriteriji iz Direktive </w:t>
      </w:r>
      <w:r w:rsidR="00F73C92" w:rsidRPr="000479E9">
        <w:rPr>
          <w:rFonts w:ascii="Times New Roman" w:eastAsia="Times New Roman" w:hAnsi="Times New Roman" w:cs="Times New Roman"/>
          <w:sz w:val="24"/>
          <w:szCs w:val="24"/>
          <w:lang w:eastAsia="hr-HR"/>
        </w:rPr>
        <w:t xml:space="preserve">2014/65/EU </w:t>
      </w:r>
      <w:r w:rsidRPr="000479E9">
        <w:rPr>
          <w:rFonts w:ascii="Times New Roman" w:eastAsia="Times New Roman" w:hAnsi="Times New Roman" w:cs="Times New Roman"/>
          <w:sz w:val="24"/>
          <w:szCs w:val="24"/>
          <w:lang w:eastAsia="hr-HR"/>
        </w:rPr>
        <w:t>ne mogu se u cijelosti ostvariti na jednak način kao u državama članicama u kojima regulator neposredno izriče administrativne novčane sankcije. Iz tog razloga predloženim izmjenama kriteriji koje pravo Europske unije predviđa za individualizaciju sankcije ugrađuju se već u sam zakonski opis prekršaja kroz razlikovanje osnovnih i težih oblika povreda.</w:t>
      </w:r>
    </w:p>
    <w:p w14:paraId="092E8196" w14:textId="7380B33A" w:rsidR="00442EC7" w:rsidRPr="000479E9" w:rsidRDefault="00442EC7"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Kao kvalifikatorne okolnosti predviđene su osobito sustavno ili ponovljeno kršenje propisa, dulje trajanje protupravnog postupanja, nastupanje ili mogućnost nastupanja značajne štete za ulagatelje ili druge sudionike tržišta, ozbiljno ugrožavanje urednog funkcioniranja ili integriteta tržišta kapitala, ozbiljni propusti u sustavu upravljanja i kontrola te otežavanje ili onemogućavanje obavljanja nadzora Agencije. Upravo su to okolnosti koje sadržajno odgovaraju kriterijima iz članka 72. stavka 2. Direktive</w:t>
      </w:r>
      <w:r w:rsidR="00F73C92" w:rsidRPr="000479E9">
        <w:rPr>
          <w:rFonts w:ascii="Times New Roman" w:eastAsia="Times New Roman" w:hAnsi="Times New Roman" w:cs="Times New Roman"/>
          <w:sz w:val="24"/>
          <w:szCs w:val="24"/>
          <w:lang w:eastAsia="hr-HR"/>
        </w:rPr>
        <w:t xml:space="preserve"> 2014/65/EU</w:t>
      </w:r>
      <w:r w:rsidRPr="000479E9">
        <w:rPr>
          <w:rFonts w:ascii="Times New Roman" w:eastAsia="Times New Roman" w:hAnsi="Times New Roman" w:cs="Times New Roman"/>
          <w:sz w:val="24"/>
          <w:szCs w:val="24"/>
          <w:lang w:eastAsia="hr-HR"/>
        </w:rPr>
        <w:t xml:space="preserve"> za ocjenu težine povrede.</w:t>
      </w:r>
    </w:p>
    <w:p w14:paraId="582E12C2" w14:textId="3D7B310C" w:rsidR="00442EC7" w:rsidRPr="000479E9" w:rsidRDefault="00442EC7"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Na taj način osigurava se da se najviši rasponi novčanih kazni, koje zahtijeva pravo Europske unije, primjenjuju prvenstveno na kvalificirane i najteže oblike povreda, dok se za osnovne oblike prekršaja propisuju razmjerniji rasponi kazni. Time se ne umanjuje učinkovitost niti odvraćajući učinak sankcijskog sustava, nego se osigurava da primjena najstrožih sankcija bude vezana uz stvarnu težinu protupravnog ponašanja, što je u skladu s načelom razmjernosti i ciljevima </w:t>
      </w:r>
      <w:r w:rsidR="00F73C92" w:rsidRPr="000479E9">
        <w:rPr>
          <w:rFonts w:ascii="Times New Roman" w:eastAsia="Times New Roman" w:hAnsi="Times New Roman" w:cs="Times New Roman"/>
          <w:sz w:val="24"/>
          <w:szCs w:val="24"/>
          <w:lang w:eastAsia="hr-HR"/>
        </w:rPr>
        <w:t>ranije navedene d</w:t>
      </w:r>
      <w:r w:rsidRPr="000479E9">
        <w:rPr>
          <w:rFonts w:ascii="Times New Roman" w:eastAsia="Times New Roman" w:hAnsi="Times New Roman" w:cs="Times New Roman"/>
          <w:sz w:val="24"/>
          <w:szCs w:val="24"/>
          <w:lang w:eastAsia="hr-HR"/>
        </w:rPr>
        <w:t>irektive.</w:t>
      </w:r>
    </w:p>
    <w:p w14:paraId="7A929050" w14:textId="77777777" w:rsidR="00442EC7" w:rsidRPr="000479E9" w:rsidRDefault="00442EC7" w:rsidP="00442EC7">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Predloženo rješenje ujedno doprinosi većoj pravnoj sigurnosti i predvidljivosti prekršajnog sustava jer sudovima pruža jasnije zakonske kriterije za razlikovanje lakših i težih oblika istovrsnih povreda. Time se izbjegava situacija u kojoj se isti zakonski raspon novčanih kazni primjenjuje na formalno jednako opisane, ali po svojoj stvarnoj težini bitno različite oblike protupravnog postupanja.</w:t>
      </w:r>
    </w:p>
    <w:p w14:paraId="44FF66BA" w14:textId="3A157586" w:rsidR="00F73C92" w:rsidRPr="000479E9" w:rsidRDefault="00442EC7" w:rsidP="00927C1F">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 odnosu na odgovorne osobe predloženi iznosi novčanih kazni također su prilagođeni ulozi koju one imaju u hrvatskom prekršajnom sustavu. Pravo Europske unije zahtijeva mogućnost sankcioniranja fizičkih osoba odgovornih za povredu, ali ne propisuje da se na odgovorne osobe pravnih osoba moraju primjenjivati isti maksimalni iznosi kao na pravne osobe niti isključuje mogućnost da nacionalni zakonodavac propiše razmjernije raspone kazni za odgovorne osobe. Predloženo rješenje stoga osigurava primjerenu individualizaciju odgovornosti uz istodobno očuvanje mogućnosti strožeg sankcioniranja u najtežim slučajevima.</w:t>
      </w:r>
    </w:p>
    <w:p w14:paraId="2EF88CB0" w14:textId="03387AEB" w:rsidR="00680AB3" w:rsidRPr="000479E9" w:rsidRDefault="00680AB3" w:rsidP="00927C1F">
      <w:pPr>
        <w:spacing w:after="0" w:line="240" w:lineRule="auto"/>
        <w:jc w:val="both"/>
        <w:rPr>
          <w:rFonts w:ascii="Times New Roman" w:eastAsia="Times New Roman" w:hAnsi="Times New Roman" w:cs="Times New Roman"/>
          <w:sz w:val="24"/>
          <w:szCs w:val="24"/>
          <w:lang w:eastAsia="hr-HR"/>
        </w:rPr>
      </w:pPr>
    </w:p>
    <w:p w14:paraId="7C27D04A" w14:textId="27B7582A" w:rsidR="00927C1F" w:rsidRPr="000479E9" w:rsidRDefault="00927C1F" w:rsidP="00927C1F">
      <w:pPr>
        <w:spacing w:after="0" w:line="240" w:lineRule="auto"/>
        <w:jc w:val="both"/>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t>Uz člank</w:t>
      </w:r>
      <w:r w:rsidR="00B0795A" w:rsidRPr="000479E9">
        <w:rPr>
          <w:rFonts w:ascii="Times New Roman" w:eastAsia="Times New Roman" w:hAnsi="Times New Roman" w:cs="Times New Roman"/>
          <w:b/>
          <w:sz w:val="24"/>
          <w:szCs w:val="24"/>
          <w:lang w:eastAsia="hr-HR"/>
        </w:rPr>
        <w:t>e</w:t>
      </w:r>
      <w:r w:rsidRPr="000479E9">
        <w:rPr>
          <w:rFonts w:ascii="Times New Roman" w:eastAsia="Times New Roman" w:hAnsi="Times New Roman" w:cs="Times New Roman"/>
          <w:b/>
          <w:sz w:val="24"/>
          <w:szCs w:val="24"/>
          <w:lang w:eastAsia="hr-HR"/>
        </w:rPr>
        <w:t xml:space="preserve"> </w:t>
      </w:r>
      <w:r w:rsidR="000F5420" w:rsidRPr="000479E9">
        <w:rPr>
          <w:rFonts w:ascii="Times New Roman" w:eastAsia="Times New Roman" w:hAnsi="Times New Roman" w:cs="Times New Roman"/>
          <w:b/>
          <w:sz w:val="24"/>
          <w:szCs w:val="24"/>
          <w:lang w:eastAsia="hr-HR"/>
        </w:rPr>
        <w:t>1</w:t>
      </w:r>
      <w:r w:rsidR="00F84BAF">
        <w:rPr>
          <w:rFonts w:ascii="Times New Roman" w:eastAsia="Times New Roman" w:hAnsi="Times New Roman" w:cs="Times New Roman"/>
          <w:b/>
          <w:sz w:val="24"/>
          <w:szCs w:val="24"/>
          <w:lang w:eastAsia="hr-HR"/>
        </w:rPr>
        <w:t>19</w:t>
      </w:r>
      <w:r w:rsidRPr="000479E9">
        <w:rPr>
          <w:rFonts w:ascii="Times New Roman" w:eastAsia="Times New Roman" w:hAnsi="Times New Roman" w:cs="Times New Roman"/>
          <w:b/>
          <w:sz w:val="24"/>
          <w:szCs w:val="24"/>
          <w:lang w:eastAsia="hr-HR"/>
        </w:rPr>
        <w:t xml:space="preserve">. do </w:t>
      </w:r>
      <w:r w:rsidR="00442EC7" w:rsidRPr="000479E9">
        <w:rPr>
          <w:rFonts w:ascii="Times New Roman" w:eastAsia="Times New Roman" w:hAnsi="Times New Roman" w:cs="Times New Roman"/>
          <w:b/>
          <w:sz w:val="24"/>
          <w:szCs w:val="24"/>
          <w:lang w:eastAsia="hr-HR"/>
        </w:rPr>
        <w:t>1</w:t>
      </w:r>
      <w:r w:rsidR="003F79B8" w:rsidRPr="000479E9">
        <w:rPr>
          <w:rFonts w:ascii="Times New Roman" w:eastAsia="Times New Roman" w:hAnsi="Times New Roman" w:cs="Times New Roman"/>
          <w:b/>
          <w:sz w:val="24"/>
          <w:szCs w:val="24"/>
          <w:lang w:eastAsia="hr-HR"/>
        </w:rPr>
        <w:t>2</w:t>
      </w:r>
      <w:r w:rsidR="00F84BAF">
        <w:rPr>
          <w:rFonts w:ascii="Times New Roman" w:eastAsia="Times New Roman" w:hAnsi="Times New Roman" w:cs="Times New Roman"/>
          <w:b/>
          <w:sz w:val="24"/>
          <w:szCs w:val="24"/>
          <w:lang w:eastAsia="hr-HR"/>
        </w:rPr>
        <w:t>3</w:t>
      </w:r>
      <w:r w:rsidRPr="000479E9">
        <w:rPr>
          <w:rFonts w:ascii="Times New Roman" w:eastAsia="Times New Roman" w:hAnsi="Times New Roman" w:cs="Times New Roman"/>
          <w:b/>
          <w:sz w:val="24"/>
          <w:szCs w:val="24"/>
          <w:lang w:eastAsia="hr-HR"/>
        </w:rPr>
        <w:t xml:space="preserve">. </w:t>
      </w:r>
    </w:p>
    <w:p w14:paraId="16C4C077" w14:textId="3FBDFAEE" w:rsidR="00927C1F" w:rsidRPr="000479E9" w:rsidRDefault="00927C1F" w:rsidP="00927C1F">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Propisuju se prijelazne i završne odredbe, rok za usklađenje burze</w:t>
      </w:r>
      <w:r w:rsidR="00680AB3" w:rsidRPr="000479E9">
        <w:rPr>
          <w:rFonts w:ascii="Times New Roman" w:hAnsi="Times New Roman" w:cs="Times New Roman"/>
          <w:sz w:val="24"/>
          <w:szCs w:val="24"/>
        </w:rPr>
        <w:t xml:space="preserve">. Također propisuje se i </w:t>
      </w:r>
      <w:r w:rsidRPr="000479E9">
        <w:rPr>
          <w:rFonts w:ascii="Times New Roman" w:hAnsi="Times New Roman" w:cs="Times New Roman"/>
          <w:sz w:val="24"/>
          <w:szCs w:val="24"/>
        </w:rPr>
        <w:t>stupanje na snagu Zakona</w:t>
      </w:r>
      <w:r w:rsidR="00680AB3" w:rsidRPr="000479E9">
        <w:rPr>
          <w:rFonts w:ascii="Times New Roman" w:hAnsi="Times New Roman" w:cs="Times New Roman"/>
          <w:sz w:val="24"/>
          <w:szCs w:val="24"/>
        </w:rPr>
        <w:t>.</w:t>
      </w:r>
      <w:r w:rsidR="000F5420" w:rsidRPr="000479E9">
        <w:t xml:space="preserve"> </w:t>
      </w:r>
      <w:r w:rsidR="000F5420" w:rsidRPr="000479E9">
        <w:rPr>
          <w:rFonts w:ascii="Times New Roman" w:hAnsi="Times New Roman" w:cs="Times New Roman"/>
          <w:sz w:val="24"/>
          <w:szCs w:val="24"/>
        </w:rPr>
        <w:t xml:space="preserve">Napominje se da odredba članka 87.a stavaka 2. do 4. Zakona o tržištu kapitala, dodane člankom 15. ovoga Zakona, </w:t>
      </w:r>
      <w:r w:rsidR="00AC1BDE">
        <w:rPr>
          <w:rFonts w:ascii="Times New Roman" w:hAnsi="Times New Roman" w:cs="Times New Roman"/>
          <w:sz w:val="24"/>
          <w:szCs w:val="24"/>
        </w:rPr>
        <w:t>stupa</w:t>
      </w:r>
      <w:r w:rsidR="000F5420" w:rsidRPr="000479E9">
        <w:rPr>
          <w:rFonts w:ascii="Times New Roman" w:hAnsi="Times New Roman" w:cs="Times New Roman"/>
          <w:sz w:val="24"/>
          <w:szCs w:val="24"/>
        </w:rPr>
        <w:t xml:space="preserve"> na snagu od dana početka primjene regulatornih tehničkih standarda iz članka 24. stavka 3.c Direktive </w:t>
      </w:r>
      <w:r w:rsidR="000F5420" w:rsidRPr="000479E9">
        <w:rPr>
          <w:rFonts w:ascii="Times New Roman" w:hAnsi="Times New Roman" w:cs="Times New Roman"/>
          <w:sz w:val="24"/>
          <w:szCs w:val="24"/>
        </w:rPr>
        <w:lastRenderedPageBreak/>
        <w:t>2014/65/EU kojima se uspostavlja EU kodeks ponašanja za istraživanja koja financira izdavatelj.</w:t>
      </w:r>
    </w:p>
    <w:p w14:paraId="7CAF21F1" w14:textId="484AA5D2" w:rsidR="00F8687F" w:rsidRPr="000479E9" w:rsidRDefault="00F8687F" w:rsidP="00927C1F">
      <w:pPr>
        <w:spacing w:after="0" w:line="240" w:lineRule="auto"/>
        <w:jc w:val="both"/>
        <w:rPr>
          <w:rFonts w:ascii="Times New Roman" w:hAnsi="Times New Roman" w:cs="Times New Roman"/>
          <w:sz w:val="24"/>
          <w:szCs w:val="24"/>
        </w:rPr>
      </w:pPr>
    </w:p>
    <w:p w14:paraId="6D1F258E" w14:textId="77777777" w:rsidR="00F8687F" w:rsidRPr="000479E9" w:rsidRDefault="00F8687F" w:rsidP="00F8687F">
      <w:pPr>
        <w:tabs>
          <w:tab w:val="left" w:pos="426"/>
          <w:tab w:val="left" w:pos="709"/>
        </w:tabs>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 xml:space="preserve">III. </w:t>
      </w:r>
      <w:r w:rsidRPr="000479E9">
        <w:rPr>
          <w:rFonts w:ascii="Times New Roman" w:hAnsi="Times New Roman" w:cs="Times New Roman"/>
          <w:b/>
          <w:sz w:val="24"/>
          <w:szCs w:val="24"/>
        </w:rPr>
        <w:tab/>
        <w:t>OCJENA I IZVORI SREDSTAVA POTREBNIH ZA PROVEDBU ZAKONA</w:t>
      </w:r>
    </w:p>
    <w:p w14:paraId="5EF0AA67" w14:textId="77777777" w:rsidR="00F8687F" w:rsidRPr="000479E9" w:rsidRDefault="00F8687F" w:rsidP="00F8687F">
      <w:pPr>
        <w:spacing w:after="0" w:line="240" w:lineRule="auto"/>
        <w:jc w:val="both"/>
        <w:rPr>
          <w:rFonts w:ascii="Times New Roman" w:hAnsi="Times New Roman" w:cs="Times New Roman"/>
          <w:b/>
          <w:sz w:val="24"/>
          <w:szCs w:val="24"/>
        </w:rPr>
      </w:pPr>
    </w:p>
    <w:p w14:paraId="51C607F6" w14:textId="77777777" w:rsidR="00F8687F" w:rsidRPr="000479E9" w:rsidRDefault="00F8687F" w:rsidP="00F8687F">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Za provedbu ovoga Zakona nije potrebno osigurati sredstva u državnom proračunu Republike Hrvatske. </w:t>
      </w:r>
    </w:p>
    <w:p w14:paraId="352C3A57" w14:textId="77777777" w:rsidR="00F8687F" w:rsidRPr="000479E9" w:rsidRDefault="00F8687F" w:rsidP="00F8687F">
      <w:pPr>
        <w:spacing w:after="0" w:line="240" w:lineRule="auto"/>
        <w:jc w:val="both"/>
        <w:rPr>
          <w:rFonts w:ascii="Times New Roman" w:hAnsi="Times New Roman" w:cs="Times New Roman"/>
          <w:sz w:val="24"/>
          <w:szCs w:val="24"/>
        </w:rPr>
      </w:pPr>
    </w:p>
    <w:p w14:paraId="7CC6EA80" w14:textId="77777777" w:rsidR="00F8687F" w:rsidRPr="000479E9" w:rsidRDefault="00F8687F" w:rsidP="00F8687F">
      <w:pPr>
        <w:spacing w:after="0" w:line="240" w:lineRule="auto"/>
        <w:jc w:val="both"/>
        <w:rPr>
          <w:rFonts w:ascii="Times New Roman" w:hAnsi="Times New Roman" w:cs="Times New Roman"/>
          <w:b/>
          <w:sz w:val="24"/>
          <w:szCs w:val="24"/>
        </w:rPr>
      </w:pPr>
      <w:r w:rsidRPr="000479E9">
        <w:rPr>
          <w:rFonts w:ascii="Times New Roman" w:hAnsi="Times New Roman" w:cs="Times New Roman"/>
          <w:b/>
          <w:sz w:val="24"/>
          <w:szCs w:val="24"/>
        </w:rPr>
        <w:t>IV. RAZLIKE IZMEĐU RJEŠENJA KOJA SE PREDLAŽU KONAČNIM PRIJEDLOGOM ZAKONA U ODNOSU NA RJEŠENJA IZ PRIJEDLOGA ZAKONA I RAZLOZI ZBOG KOJIH SU TE RAZLIKE NASTALE</w:t>
      </w:r>
    </w:p>
    <w:p w14:paraId="761F3AF7" w14:textId="77777777" w:rsidR="00F8687F" w:rsidRPr="000479E9" w:rsidRDefault="00F8687F" w:rsidP="00F8687F">
      <w:pPr>
        <w:spacing w:after="0" w:line="240" w:lineRule="auto"/>
        <w:jc w:val="both"/>
        <w:rPr>
          <w:rFonts w:ascii="Times New Roman" w:hAnsi="Times New Roman" w:cs="Times New Roman"/>
          <w:sz w:val="24"/>
          <w:szCs w:val="24"/>
        </w:rPr>
      </w:pPr>
    </w:p>
    <w:p w14:paraId="40FF226F" w14:textId="77777777" w:rsidR="00BE3A26" w:rsidRPr="000479E9" w:rsidRDefault="00BE3A26" w:rsidP="00BE3A26">
      <w:pPr>
        <w:pStyle w:val="CommentText"/>
        <w:jc w:val="both"/>
        <w:rPr>
          <w:rFonts w:ascii="Times New Roman" w:hAnsi="Times New Roman" w:cs="Times New Roman"/>
          <w:sz w:val="24"/>
          <w:szCs w:val="24"/>
        </w:rPr>
      </w:pPr>
      <w:r w:rsidRPr="000479E9">
        <w:rPr>
          <w:rFonts w:ascii="Times New Roman" w:hAnsi="Times New Roman" w:cs="Times New Roman"/>
          <w:sz w:val="24"/>
          <w:szCs w:val="24"/>
        </w:rPr>
        <w:t>Na 10. sjednici održanoj 29. svibnja 2026. Hrvatski sabor donio je zaključak kojim se prihvaća Prijedlog zakona o izmjenama i dopunama Zakona o tržištu kapitala. Hrvatski sabor uputio je predlagatelju primjedbe, prijedloge i mišljenja radi pripreme Konačnog prijedloga zakona.</w:t>
      </w:r>
    </w:p>
    <w:p w14:paraId="16D8E2C1" w14:textId="765054B9" w:rsidR="00BE3A26" w:rsidRPr="000479E9" w:rsidRDefault="00BE3A26" w:rsidP="00BE3A26">
      <w:pPr>
        <w:spacing w:after="0" w:line="240" w:lineRule="auto"/>
        <w:jc w:val="both"/>
        <w:rPr>
          <w:rFonts w:ascii="Times New Roman" w:eastAsia="Calibri" w:hAnsi="Times New Roman" w:cs="Times New Roman"/>
          <w:spacing w:val="-6"/>
          <w:sz w:val="24"/>
          <w:szCs w:val="24"/>
        </w:rPr>
      </w:pPr>
      <w:r w:rsidRPr="000479E9">
        <w:rPr>
          <w:rFonts w:ascii="Times New Roman" w:eastAsia="Calibri" w:hAnsi="Times New Roman" w:cs="Times New Roman"/>
          <w:spacing w:val="-6"/>
          <w:sz w:val="24"/>
          <w:szCs w:val="24"/>
        </w:rPr>
        <w:t>Odbor za zakonodavstvo Hrvatskoga sabora uputio je predlagatelju primjedbe na tekst Prijedloga zakona u odnosu na član</w:t>
      </w:r>
      <w:r w:rsidR="001146DC">
        <w:rPr>
          <w:rFonts w:ascii="Times New Roman" w:eastAsia="Calibri" w:hAnsi="Times New Roman" w:cs="Times New Roman"/>
          <w:spacing w:val="-6"/>
          <w:sz w:val="24"/>
          <w:szCs w:val="24"/>
        </w:rPr>
        <w:t>a</w:t>
      </w:r>
      <w:r w:rsidRPr="000479E9">
        <w:rPr>
          <w:rFonts w:ascii="Times New Roman" w:eastAsia="Calibri" w:hAnsi="Times New Roman" w:cs="Times New Roman"/>
          <w:spacing w:val="-6"/>
          <w:sz w:val="24"/>
          <w:szCs w:val="24"/>
        </w:rPr>
        <w:t xml:space="preserve">k 35. (ranije članak 20.), </w:t>
      </w:r>
      <w:r w:rsidR="001146DC">
        <w:rPr>
          <w:rFonts w:ascii="Times New Roman" w:eastAsia="Calibri" w:hAnsi="Times New Roman" w:cs="Times New Roman"/>
          <w:spacing w:val="-6"/>
          <w:sz w:val="24"/>
          <w:szCs w:val="24"/>
        </w:rPr>
        <w:t xml:space="preserve">članak </w:t>
      </w:r>
      <w:r w:rsidR="00C224F8" w:rsidRPr="000479E9">
        <w:rPr>
          <w:rFonts w:ascii="Times New Roman" w:eastAsia="Calibri" w:hAnsi="Times New Roman" w:cs="Times New Roman"/>
          <w:spacing w:val="-6"/>
          <w:sz w:val="24"/>
          <w:szCs w:val="24"/>
        </w:rPr>
        <w:t>40</w:t>
      </w:r>
      <w:r w:rsidRPr="000479E9">
        <w:rPr>
          <w:rFonts w:ascii="Times New Roman" w:eastAsia="Calibri" w:hAnsi="Times New Roman" w:cs="Times New Roman"/>
          <w:spacing w:val="-6"/>
          <w:sz w:val="24"/>
          <w:szCs w:val="24"/>
        </w:rPr>
        <w:t xml:space="preserve">. (ranije članak 23.), </w:t>
      </w:r>
      <w:r w:rsidR="001146DC">
        <w:rPr>
          <w:rFonts w:ascii="Times New Roman" w:eastAsia="Calibri" w:hAnsi="Times New Roman" w:cs="Times New Roman"/>
          <w:spacing w:val="-6"/>
          <w:sz w:val="24"/>
          <w:szCs w:val="24"/>
        </w:rPr>
        <w:t xml:space="preserve">članak </w:t>
      </w:r>
      <w:r w:rsidRPr="000479E9">
        <w:rPr>
          <w:rFonts w:ascii="Times New Roman" w:eastAsia="Calibri" w:hAnsi="Times New Roman" w:cs="Times New Roman"/>
          <w:spacing w:val="-6"/>
          <w:sz w:val="24"/>
          <w:szCs w:val="24"/>
        </w:rPr>
        <w:t>4</w:t>
      </w:r>
      <w:r w:rsidR="00C224F8" w:rsidRPr="000479E9">
        <w:rPr>
          <w:rFonts w:ascii="Times New Roman" w:eastAsia="Calibri" w:hAnsi="Times New Roman" w:cs="Times New Roman"/>
          <w:spacing w:val="-6"/>
          <w:sz w:val="24"/>
          <w:szCs w:val="24"/>
        </w:rPr>
        <w:t>4</w:t>
      </w:r>
      <w:r w:rsidRPr="000479E9">
        <w:rPr>
          <w:rFonts w:ascii="Times New Roman" w:eastAsia="Calibri" w:hAnsi="Times New Roman" w:cs="Times New Roman"/>
          <w:spacing w:val="-6"/>
          <w:sz w:val="24"/>
          <w:szCs w:val="24"/>
        </w:rPr>
        <w:t xml:space="preserve">. (ranije članak 26.) i </w:t>
      </w:r>
      <w:r w:rsidR="001146DC">
        <w:rPr>
          <w:rFonts w:ascii="Times New Roman" w:eastAsia="Calibri" w:hAnsi="Times New Roman" w:cs="Times New Roman"/>
          <w:spacing w:val="-6"/>
          <w:sz w:val="24"/>
          <w:szCs w:val="24"/>
        </w:rPr>
        <w:t xml:space="preserve">članak </w:t>
      </w:r>
      <w:r w:rsidR="00C224F8" w:rsidRPr="000479E9">
        <w:rPr>
          <w:rFonts w:ascii="Times New Roman" w:eastAsia="Calibri" w:hAnsi="Times New Roman" w:cs="Times New Roman"/>
          <w:spacing w:val="-6"/>
          <w:sz w:val="24"/>
          <w:szCs w:val="24"/>
        </w:rPr>
        <w:t>121</w:t>
      </w:r>
      <w:r w:rsidRPr="000479E9">
        <w:rPr>
          <w:rFonts w:ascii="Times New Roman" w:eastAsia="Calibri" w:hAnsi="Times New Roman" w:cs="Times New Roman"/>
          <w:spacing w:val="-6"/>
          <w:sz w:val="24"/>
          <w:szCs w:val="24"/>
        </w:rPr>
        <w:t xml:space="preserve">. (ranije članak 46.) radi potrebe nomotehničke dorade, a koje je predlagatelj prihvatio. </w:t>
      </w:r>
    </w:p>
    <w:p w14:paraId="197FC535" w14:textId="77777777" w:rsidR="00BE3A26" w:rsidRPr="000479E9" w:rsidRDefault="00BE3A26" w:rsidP="00BE3A26">
      <w:pPr>
        <w:spacing w:after="0" w:line="240" w:lineRule="auto"/>
        <w:jc w:val="both"/>
        <w:rPr>
          <w:rFonts w:ascii="Times New Roman" w:eastAsia="Calibri" w:hAnsi="Times New Roman" w:cs="Times New Roman"/>
          <w:spacing w:val="-6"/>
          <w:sz w:val="24"/>
          <w:szCs w:val="24"/>
        </w:rPr>
      </w:pPr>
    </w:p>
    <w:p w14:paraId="55BD337B" w14:textId="02CF3C5D" w:rsidR="00BE3A26" w:rsidRPr="000479E9" w:rsidRDefault="00BE3A26" w:rsidP="00BE3A26">
      <w:pPr>
        <w:spacing w:line="240" w:lineRule="auto"/>
        <w:jc w:val="both"/>
        <w:rPr>
          <w:rFonts w:ascii="Times New Roman" w:hAnsi="Times New Roman" w:cs="Times New Roman"/>
          <w:sz w:val="24"/>
          <w:szCs w:val="24"/>
        </w:rPr>
      </w:pPr>
      <w:r w:rsidRPr="000479E9">
        <w:rPr>
          <w:rFonts w:ascii="Times New Roman" w:hAnsi="Times New Roman" w:cs="Times New Roman"/>
          <w:sz w:val="24"/>
          <w:szCs w:val="24"/>
        </w:rPr>
        <w:t>Nakon provedene rasprave u Hrvatskom</w:t>
      </w:r>
      <w:r w:rsidR="00204E52">
        <w:rPr>
          <w:rFonts w:ascii="Times New Roman" w:hAnsi="Times New Roman" w:cs="Times New Roman"/>
          <w:sz w:val="24"/>
          <w:szCs w:val="24"/>
        </w:rPr>
        <w:t>e</w:t>
      </w:r>
      <w:r w:rsidRPr="000479E9">
        <w:rPr>
          <w:rFonts w:ascii="Times New Roman" w:hAnsi="Times New Roman" w:cs="Times New Roman"/>
          <w:sz w:val="24"/>
          <w:szCs w:val="24"/>
        </w:rPr>
        <w:t xml:space="preserve"> saboru, predlagatelj je dodatno razmotrio pojedina predložena rješenja, uzimajući u obzir primjedbe i prijedloge iznesene tijekom prvog čitanja, kao i dodatnu analizu provedenu u suradnji s Hrvatskom agencijom za nadzor financijskih usluga i sudionicima tržišta kapitala.</w:t>
      </w:r>
    </w:p>
    <w:p w14:paraId="566CDC7C" w14:textId="634B78B3" w:rsidR="00BE3A26" w:rsidRPr="000479E9" w:rsidRDefault="00BE3A26" w:rsidP="00BE3A26">
      <w:pPr>
        <w:spacing w:line="240" w:lineRule="auto"/>
        <w:jc w:val="both"/>
        <w:rPr>
          <w:rFonts w:ascii="Times New Roman" w:hAnsi="Times New Roman" w:cs="Times New Roman"/>
          <w:sz w:val="24"/>
          <w:szCs w:val="24"/>
        </w:rPr>
      </w:pPr>
      <w:r w:rsidRPr="000479E9">
        <w:rPr>
          <w:rFonts w:ascii="Times New Roman" w:hAnsi="Times New Roman" w:cs="Times New Roman"/>
          <w:sz w:val="24"/>
          <w:szCs w:val="24"/>
        </w:rPr>
        <w:t>Slijedom navedenog, u odnosu na Prijedlog zakona, Konačni prijedlog zakona dodatno je izmijenjen i dopunjen u pojedinim područjima, prvenstveno radi daljnjeg usklađivanja s pravnom stečevinom Europske unije, preciziranja pojedinih odredbi te osiguranja proporcionalnijeg regulatornog okvira i smanjenja regulatornog i administrativnog opterećenja tržišnih sudionika. U Strateškom okvir</w:t>
      </w:r>
      <w:r w:rsidR="00570176" w:rsidRPr="000479E9">
        <w:rPr>
          <w:rFonts w:ascii="Times New Roman" w:hAnsi="Times New Roman" w:cs="Times New Roman"/>
          <w:sz w:val="24"/>
          <w:szCs w:val="24"/>
        </w:rPr>
        <w:t>u</w:t>
      </w:r>
      <w:r w:rsidRPr="000479E9">
        <w:rPr>
          <w:rFonts w:ascii="Times New Roman" w:hAnsi="Times New Roman" w:cs="Times New Roman"/>
          <w:sz w:val="24"/>
          <w:szCs w:val="24"/>
        </w:rPr>
        <w:t xml:space="preserve"> za razvoj tržišta kapitala u Republici Hrvatskoj za razdoblje 2025. do 2030. i pratećem Akcijskom planu 2025. – 2026.,</w:t>
      </w:r>
      <w:r w:rsidR="007F4404">
        <w:rPr>
          <w:rFonts w:ascii="Times New Roman" w:hAnsi="Times New Roman" w:cs="Times New Roman"/>
          <w:sz w:val="24"/>
          <w:szCs w:val="24"/>
        </w:rPr>
        <w:t xml:space="preserve"> koje je Vlada Republike Hrvatske usvojila na</w:t>
      </w:r>
      <w:r w:rsidR="007F4404" w:rsidRPr="007F4404">
        <w:rPr>
          <w:rFonts w:ascii="Times New Roman" w:hAnsi="Times New Roman" w:cs="Times New Roman"/>
          <w:sz w:val="24"/>
          <w:szCs w:val="24"/>
        </w:rPr>
        <w:t xml:space="preserve"> 77. sjednici </w:t>
      </w:r>
      <w:r w:rsidR="007F4404">
        <w:rPr>
          <w:rFonts w:ascii="Times New Roman" w:hAnsi="Times New Roman" w:cs="Times New Roman"/>
          <w:sz w:val="24"/>
          <w:szCs w:val="24"/>
        </w:rPr>
        <w:t xml:space="preserve">održanoj </w:t>
      </w:r>
      <w:r w:rsidR="007F4404" w:rsidRPr="007F4404">
        <w:rPr>
          <w:rFonts w:ascii="Times New Roman" w:hAnsi="Times New Roman" w:cs="Times New Roman"/>
          <w:sz w:val="24"/>
          <w:szCs w:val="24"/>
        </w:rPr>
        <w:t>26. ožujka 2025.</w:t>
      </w:r>
      <w:r w:rsidR="00F91F5F">
        <w:rPr>
          <w:rFonts w:ascii="Times New Roman" w:hAnsi="Times New Roman" w:cs="Times New Roman"/>
          <w:sz w:val="24"/>
          <w:szCs w:val="24"/>
        </w:rPr>
        <w:t xml:space="preserve"> i koji</w:t>
      </w:r>
      <w:r w:rsidR="00204E52">
        <w:rPr>
          <w:rFonts w:ascii="Times New Roman" w:hAnsi="Times New Roman" w:cs="Times New Roman"/>
          <w:sz w:val="24"/>
          <w:szCs w:val="24"/>
        </w:rPr>
        <w:t xml:space="preserve"> su javno objavljeni</w:t>
      </w:r>
      <w:r w:rsidR="00204E52" w:rsidRPr="00204E52">
        <w:rPr>
          <w:rFonts w:ascii="Times New Roman" w:hAnsi="Times New Roman" w:cs="Times New Roman"/>
          <w:sz w:val="24"/>
          <w:szCs w:val="24"/>
        </w:rPr>
        <w:t xml:space="preserve"> na </w:t>
      </w:r>
      <w:r w:rsidR="00204E52">
        <w:rPr>
          <w:rFonts w:ascii="Times New Roman" w:hAnsi="Times New Roman" w:cs="Times New Roman"/>
          <w:sz w:val="24"/>
          <w:szCs w:val="24"/>
        </w:rPr>
        <w:t>internetskoj stranici</w:t>
      </w:r>
      <w:r w:rsidR="00204E52" w:rsidRPr="00204E52">
        <w:rPr>
          <w:rFonts w:ascii="Times New Roman" w:hAnsi="Times New Roman" w:cs="Times New Roman"/>
          <w:sz w:val="24"/>
          <w:szCs w:val="24"/>
        </w:rPr>
        <w:t xml:space="preserve"> Ministarstva financija</w:t>
      </w:r>
      <w:r w:rsidR="007F4404">
        <w:rPr>
          <w:rFonts w:ascii="Times New Roman" w:hAnsi="Times New Roman" w:cs="Times New Roman"/>
          <w:sz w:val="24"/>
          <w:szCs w:val="24"/>
        </w:rPr>
        <w:t>,</w:t>
      </w:r>
      <w:r w:rsidR="007F4404" w:rsidRPr="007F4404">
        <w:rPr>
          <w:rFonts w:ascii="Times New Roman" w:hAnsi="Times New Roman" w:cs="Times New Roman"/>
          <w:sz w:val="24"/>
          <w:szCs w:val="24"/>
        </w:rPr>
        <w:t xml:space="preserve"> </w:t>
      </w:r>
      <w:r w:rsidRPr="000479E9">
        <w:rPr>
          <w:rFonts w:ascii="Times New Roman" w:hAnsi="Times New Roman" w:cs="Times New Roman"/>
          <w:sz w:val="24"/>
          <w:szCs w:val="24"/>
        </w:rPr>
        <w:t>navedena je značajna horizontalna inicijativa, tj. optimizacija zakonodavnog okvira u cilju smanjenja regulatornog opterećenja i osiguranja konkurentnosti investicijskog okruženja.</w:t>
      </w:r>
    </w:p>
    <w:p w14:paraId="295362FB" w14:textId="77777777" w:rsidR="00BE3A26" w:rsidRPr="000479E9" w:rsidRDefault="00BE3A26" w:rsidP="00BE3A26">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Konačnim prijedlogom zakona provodi se ciljano regulatorno i administrativno rasterećenje sudionika tržišta kapitala, utemeljeno na načelu proporcionalnosti, s ciljem uklanjanja tzv. </w:t>
      </w:r>
      <w:r w:rsidRPr="000479E9">
        <w:rPr>
          <w:rFonts w:ascii="Times New Roman" w:eastAsia="Times New Roman" w:hAnsi="Times New Roman" w:cs="Times New Roman"/>
          <w:i/>
          <w:sz w:val="24"/>
          <w:szCs w:val="24"/>
          <w:lang w:eastAsia="hr-HR"/>
        </w:rPr>
        <w:t>gold platinga</w:t>
      </w:r>
      <w:r w:rsidRPr="000479E9">
        <w:rPr>
          <w:rFonts w:ascii="Times New Roman" w:eastAsia="Times New Roman" w:hAnsi="Times New Roman" w:cs="Times New Roman"/>
          <w:sz w:val="24"/>
          <w:szCs w:val="24"/>
          <w:lang w:eastAsia="hr-HR"/>
        </w:rPr>
        <w:t xml:space="preserve"> tj. nacionalnih zahtjeva koji operativno i troškovno opterećuju hrvatske dionike, bez razmjernog doprinosa zaštiti ulagatelja ili učinkovitosti nadzora. </w:t>
      </w:r>
    </w:p>
    <w:p w14:paraId="7F08FA2A" w14:textId="77777777" w:rsidR="00BE3A26" w:rsidRPr="000479E9" w:rsidRDefault="00BE3A26" w:rsidP="00BE3A26">
      <w:pPr>
        <w:spacing w:after="0" w:line="240" w:lineRule="auto"/>
        <w:jc w:val="both"/>
        <w:rPr>
          <w:rFonts w:ascii="Times New Roman" w:hAnsi="Times New Roman" w:cs="Times New Roman"/>
          <w:sz w:val="24"/>
          <w:szCs w:val="24"/>
        </w:rPr>
      </w:pPr>
    </w:p>
    <w:p w14:paraId="16722C4C" w14:textId="77777777" w:rsidR="00BE3A26" w:rsidRPr="000479E9" w:rsidRDefault="00BE3A26" w:rsidP="00BE3A2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S obzirom na opseg izmjena i dopuna te izmijenjenu numeraciju pojedinih odredbi Konačnog prijedloga zakona u odnosu na Prijedlog zakona iz prvog čitanja, razlike između dvaju tekstova prikazane su prema područjima uređenja i člancima važećeg Zakona koji se izmjenjuju, a ne prema numeraciji članaka Konačnog prijedloga zakona.</w:t>
      </w:r>
    </w:p>
    <w:p w14:paraId="351A3002" w14:textId="77777777" w:rsidR="00BE3A26" w:rsidRPr="000479E9" w:rsidRDefault="00BE3A26" w:rsidP="00BE3A26">
      <w:pPr>
        <w:spacing w:after="0" w:line="240" w:lineRule="auto"/>
        <w:jc w:val="both"/>
        <w:rPr>
          <w:rFonts w:ascii="Times New Roman" w:hAnsi="Times New Roman" w:cs="Times New Roman"/>
          <w:sz w:val="24"/>
          <w:szCs w:val="24"/>
        </w:rPr>
      </w:pPr>
    </w:p>
    <w:p w14:paraId="48B092BE" w14:textId="11676DB4" w:rsidR="00BE3A26" w:rsidRPr="000479E9" w:rsidRDefault="00BE3A26" w:rsidP="00BE3A26">
      <w:pPr>
        <w:spacing w:line="240" w:lineRule="auto"/>
        <w:jc w:val="both"/>
        <w:rPr>
          <w:rFonts w:ascii="Times New Roman" w:hAnsi="Times New Roman" w:cs="Times New Roman"/>
          <w:sz w:val="24"/>
          <w:szCs w:val="24"/>
        </w:rPr>
      </w:pPr>
      <w:r w:rsidRPr="000479E9">
        <w:rPr>
          <w:rFonts w:ascii="Times New Roman" w:hAnsi="Times New Roman" w:cs="Times New Roman"/>
          <w:sz w:val="24"/>
          <w:szCs w:val="24"/>
        </w:rPr>
        <w:t>U dijelu koji se odnosi na daljnje usklađivanje s pravnom steče</w:t>
      </w:r>
      <w:r w:rsidR="00562F2C" w:rsidRPr="000479E9">
        <w:rPr>
          <w:rFonts w:ascii="Times New Roman" w:hAnsi="Times New Roman" w:cs="Times New Roman"/>
          <w:sz w:val="24"/>
          <w:szCs w:val="24"/>
        </w:rPr>
        <w:t xml:space="preserve">vinom Europske unije, </w:t>
      </w:r>
      <w:r w:rsidR="00796B3E" w:rsidRPr="000479E9">
        <w:rPr>
          <w:rFonts w:ascii="Times New Roman" w:hAnsi="Times New Roman" w:cs="Times New Roman"/>
          <w:sz w:val="24"/>
          <w:szCs w:val="24"/>
        </w:rPr>
        <w:t xml:space="preserve">izmjenama </w:t>
      </w:r>
      <w:r w:rsidR="00562F2C" w:rsidRPr="000479E9">
        <w:rPr>
          <w:rFonts w:ascii="Times New Roman" w:hAnsi="Times New Roman" w:cs="Times New Roman"/>
          <w:sz w:val="24"/>
          <w:szCs w:val="24"/>
        </w:rPr>
        <w:t>član</w:t>
      </w:r>
      <w:r w:rsidR="00796B3E" w:rsidRPr="000479E9">
        <w:rPr>
          <w:rFonts w:ascii="Times New Roman" w:hAnsi="Times New Roman" w:cs="Times New Roman"/>
          <w:sz w:val="24"/>
          <w:szCs w:val="24"/>
        </w:rPr>
        <w:t xml:space="preserve">aka </w:t>
      </w:r>
      <w:r w:rsidR="00D07780" w:rsidRPr="000479E9">
        <w:rPr>
          <w:rFonts w:ascii="Times New Roman" w:hAnsi="Times New Roman" w:cs="Times New Roman"/>
          <w:sz w:val="24"/>
          <w:szCs w:val="24"/>
        </w:rPr>
        <w:t xml:space="preserve">28., </w:t>
      </w:r>
      <w:r w:rsidR="00562F2C" w:rsidRPr="000479E9">
        <w:rPr>
          <w:rFonts w:ascii="Times New Roman" w:hAnsi="Times New Roman" w:cs="Times New Roman"/>
          <w:sz w:val="24"/>
          <w:szCs w:val="24"/>
        </w:rPr>
        <w:t>31. i 35</w:t>
      </w:r>
      <w:r w:rsidRPr="000479E9">
        <w:rPr>
          <w:rFonts w:ascii="Times New Roman" w:hAnsi="Times New Roman" w:cs="Times New Roman"/>
          <w:sz w:val="24"/>
          <w:szCs w:val="24"/>
        </w:rPr>
        <w:t xml:space="preserve">. </w:t>
      </w:r>
      <w:r w:rsidR="00796B3E" w:rsidRPr="000479E9">
        <w:rPr>
          <w:rFonts w:ascii="Times New Roman" w:hAnsi="Times New Roman" w:cs="Times New Roman"/>
          <w:sz w:val="24"/>
          <w:szCs w:val="24"/>
        </w:rPr>
        <w:t>važećeg Zakona</w:t>
      </w:r>
      <w:r w:rsidRPr="000479E9">
        <w:rPr>
          <w:rFonts w:ascii="Times New Roman" w:hAnsi="Times New Roman" w:cs="Times New Roman"/>
          <w:sz w:val="24"/>
          <w:szCs w:val="24"/>
        </w:rPr>
        <w:t xml:space="preserve"> provodi se </w:t>
      </w:r>
      <w:r w:rsidR="00562F2C" w:rsidRPr="000479E9">
        <w:rPr>
          <w:rFonts w:ascii="Times New Roman" w:hAnsi="Times New Roman" w:cs="Times New Roman"/>
          <w:sz w:val="24"/>
          <w:szCs w:val="24"/>
        </w:rPr>
        <w:t>dodatno</w:t>
      </w:r>
      <w:r w:rsidRPr="000479E9">
        <w:rPr>
          <w:rFonts w:ascii="Times New Roman" w:hAnsi="Times New Roman" w:cs="Times New Roman"/>
          <w:sz w:val="24"/>
          <w:szCs w:val="24"/>
        </w:rPr>
        <w:t xml:space="preserve"> usklađivanje s Direktivom (EU) 2024/1619 Europskog parlamenta i Vijeća od 31. svibnja 2024. o izmjeni Direktive 2013/36/EU u pogledu nadzornih ovlasti, sankcija, podružnica iz trećih zemalja i okolišnih, socijalnih i upravljačkih rizika (Tekst značajan za EGP) (SL L, 2024/1619, 19.6.2024.), i to u dijelu koji se odnosi na bonitetne zahtjeve za upravu i nositelje ključnih funkcija investicijskih društava. </w:t>
      </w:r>
    </w:p>
    <w:p w14:paraId="38FA70F2" w14:textId="30F9DD17" w:rsidR="00BE3A26" w:rsidRPr="000479E9" w:rsidRDefault="00BE3A26" w:rsidP="00BE3A26">
      <w:pPr>
        <w:spacing w:line="240" w:lineRule="auto"/>
        <w:jc w:val="both"/>
        <w:rPr>
          <w:rFonts w:ascii="Times New Roman" w:hAnsi="Times New Roman" w:cs="Times New Roman"/>
          <w:bCs/>
          <w:sz w:val="24"/>
          <w:szCs w:val="24"/>
        </w:rPr>
      </w:pPr>
      <w:r w:rsidRPr="000479E9">
        <w:rPr>
          <w:rFonts w:ascii="Times New Roman" w:hAnsi="Times New Roman" w:cs="Times New Roman"/>
          <w:sz w:val="24"/>
          <w:szCs w:val="24"/>
        </w:rPr>
        <w:t>Nadalje</w:t>
      </w:r>
      <w:r w:rsidR="001B4310" w:rsidRPr="000479E9">
        <w:rPr>
          <w:rFonts w:ascii="Times New Roman" w:hAnsi="Times New Roman" w:cs="Times New Roman"/>
          <w:sz w:val="24"/>
          <w:szCs w:val="24"/>
        </w:rPr>
        <w:t xml:space="preserve"> dodatnim</w:t>
      </w:r>
      <w:r w:rsidRPr="000479E9">
        <w:rPr>
          <w:rFonts w:ascii="Times New Roman" w:hAnsi="Times New Roman" w:cs="Times New Roman"/>
          <w:sz w:val="24"/>
          <w:szCs w:val="24"/>
        </w:rPr>
        <w:t xml:space="preserve"> izmjenama članka 167.</w:t>
      </w:r>
      <w:r w:rsidR="001B4310" w:rsidRPr="000479E9">
        <w:rPr>
          <w:rFonts w:ascii="Times New Roman" w:hAnsi="Times New Roman" w:cs="Times New Roman"/>
          <w:sz w:val="24"/>
          <w:szCs w:val="24"/>
        </w:rPr>
        <w:t xml:space="preserve"> </w:t>
      </w:r>
      <w:r w:rsidRPr="000479E9">
        <w:rPr>
          <w:rFonts w:ascii="Times New Roman" w:hAnsi="Times New Roman" w:cs="Times New Roman"/>
          <w:sz w:val="24"/>
          <w:szCs w:val="24"/>
        </w:rPr>
        <w:t xml:space="preserve">važećeg Zakona vrši se usklađivanje s odredbama </w:t>
      </w:r>
      <w:r w:rsidRPr="000479E9">
        <w:rPr>
          <w:rFonts w:ascii="Times New Roman" w:hAnsi="Times New Roman" w:cs="Times New Roman"/>
          <w:bCs/>
          <w:sz w:val="24"/>
          <w:szCs w:val="24"/>
        </w:rPr>
        <w:t>Direktive (EU) 2024/2994.</w:t>
      </w:r>
      <w:r w:rsidR="00D47D52" w:rsidRPr="000479E9">
        <w:rPr>
          <w:rFonts w:ascii="Times New Roman" w:hAnsi="Times New Roman" w:cs="Times New Roman"/>
          <w:bCs/>
          <w:sz w:val="24"/>
          <w:szCs w:val="24"/>
        </w:rPr>
        <w:t xml:space="preserve"> </w:t>
      </w:r>
    </w:p>
    <w:p w14:paraId="7ACBB94B" w14:textId="77777777" w:rsidR="00BE3A26" w:rsidRPr="000479E9" w:rsidRDefault="00BE3A26" w:rsidP="00BE3A26">
      <w:pPr>
        <w:spacing w:after="0" w:line="240" w:lineRule="auto"/>
        <w:jc w:val="both"/>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sz w:val="24"/>
          <w:szCs w:val="24"/>
          <w:lang w:eastAsia="hr-HR"/>
        </w:rPr>
        <w:t xml:space="preserve">Izmjenama članka 499. važećeg Zakona uklanja se </w:t>
      </w:r>
      <w:r w:rsidRPr="000479E9">
        <w:rPr>
          <w:rFonts w:ascii="Times New Roman" w:eastAsia="Times New Roman" w:hAnsi="Times New Roman" w:cs="Times New Roman"/>
          <w:bCs/>
          <w:sz w:val="24"/>
          <w:szCs w:val="24"/>
          <w:lang w:eastAsia="hr-HR"/>
        </w:rPr>
        <w:t>mogućnost da Službeni registar propisanih informacija vodi drugi pravni subjekt, obzirom da ga Agencija vodi od uspostavljanja registra.</w:t>
      </w:r>
    </w:p>
    <w:p w14:paraId="74907A17" w14:textId="77777777" w:rsidR="00BE3A26" w:rsidRPr="000479E9" w:rsidRDefault="00BE3A26" w:rsidP="00BE3A26">
      <w:pPr>
        <w:spacing w:after="0" w:line="240" w:lineRule="auto"/>
        <w:jc w:val="both"/>
        <w:rPr>
          <w:rFonts w:ascii="Times New Roman" w:hAnsi="Times New Roman" w:cs="Times New Roman"/>
          <w:sz w:val="24"/>
          <w:szCs w:val="24"/>
        </w:rPr>
      </w:pPr>
    </w:p>
    <w:p w14:paraId="129B60F7" w14:textId="77777777" w:rsidR="00BE3A26" w:rsidRPr="000479E9" w:rsidRDefault="00BE3A26" w:rsidP="00BE3A26">
      <w:pPr>
        <w:spacing w:line="240" w:lineRule="auto"/>
        <w:jc w:val="both"/>
        <w:rPr>
          <w:rFonts w:ascii="Times New Roman" w:eastAsia="Calibri" w:hAnsi="Times New Roman" w:cs="Times New Roman"/>
          <w:bCs/>
          <w:sz w:val="24"/>
          <w:szCs w:val="24"/>
        </w:rPr>
      </w:pPr>
      <w:r w:rsidRPr="000479E9">
        <w:rPr>
          <w:rFonts w:ascii="Times New Roman" w:eastAsia="Calibri" w:hAnsi="Times New Roman" w:cs="Times New Roman"/>
          <w:sz w:val="24"/>
          <w:szCs w:val="24"/>
        </w:rPr>
        <w:t xml:space="preserve">Novododanim člankom 524.a </w:t>
      </w:r>
      <w:r w:rsidRPr="000479E9">
        <w:rPr>
          <w:rFonts w:ascii="Times New Roman" w:eastAsia="Calibri" w:hAnsi="Times New Roman" w:cs="Times New Roman"/>
          <w:bCs/>
          <w:sz w:val="24"/>
          <w:szCs w:val="24"/>
        </w:rPr>
        <w:t>propisuje da će se isplata dividende ili predujma dividende imateljima vrijednosnih papira provoditi korištenjem usluga središnjeg depozitorija u kojem su vrijednosni papiri upisani te se vode u obliku elektroničkog zapisa.</w:t>
      </w:r>
    </w:p>
    <w:p w14:paraId="4DD68D51" w14:textId="77777777" w:rsidR="00BE3A26" w:rsidRPr="000479E9" w:rsidRDefault="00BE3A26" w:rsidP="00BE3A26">
      <w:pPr>
        <w:spacing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Također, izvršene su izmjene članka 523. i 525. važećeg Zakona radi usklađivanja s Uredbom (EU) 2022/858 (DLT Pilot Regime), kako bi se izričito omogućilo priznavanje evidencije financijskih instrumenata vođene putem DLT tržišnih infrastruktura kao zakonite nematerijalizirane evidencije u skladu sa Zakonom.</w:t>
      </w:r>
    </w:p>
    <w:p w14:paraId="3B9B60F3" w14:textId="15D894B5" w:rsidR="00BE3A26" w:rsidRPr="000479E9" w:rsidRDefault="00BE3A26" w:rsidP="00BE3A26">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U odnosu na regulatorno rasterećenje, u dijelu investicijskih društava izvršena je izmjena članaka 27., 28., 30., 31., 35., 54., 159.</w:t>
      </w:r>
      <w:r w:rsidR="00917DE8">
        <w:rPr>
          <w:rFonts w:ascii="Times New Roman" w:eastAsia="Calibri" w:hAnsi="Times New Roman" w:cs="Times New Roman"/>
          <w:sz w:val="24"/>
          <w:szCs w:val="24"/>
        </w:rPr>
        <w:t xml:space="preserve"> i</w:t>
      </w:r>
      <w:r w:rsidRPr="000479E9">
        <w:rPr>
          <w:rFonts w:ascii="Times New Roman" w:eastAsia="Calibri" w:hAnsi="Times New Roman" w:cs="Times New Roman"/>
          <w:sz w:val="24"/>
          <w:szCs w:val="24"/>
        </w:rPr>
        <w:t xml:space="preserve"> 162. te uklanjanja </w:t>
      </w:r>
      <w:r w:rsidR="000B0873" w:rsidRPr="000479E9">
        <w:rPr>
          <w:rFonts w:ascii="Times New Roman" w:eastAsia="Calibri" w:hAnsi="Times New Roman" w:cs="Times New Roman"/>
          <w:sz w:val="24"/>
          <w:szCs w:val="24"/>
        </w:rPr>
        <w:t xml:space="preserve">odredbi </w:t>
      </w:r>
      <w:r w:rsidRPr="000479E9">
        <w:rPr>
          <w:rFonts w:ascii="Times New Roman" w:eastAsia="Calibri" w:hAnsi="Times New Roman" w:cs="Times New Roman"/>
          <w:sz w:val="24"/>
          <w:szCs w:val="24"/>
        </w:rPr>
        <w:t>č</w:t>
      </w:r>
      <w:r w:rsidR="00796B3E" w:rsidRPr="000479E9">
        <w:rPr>
          <w:rFonts w:ascii="Times New Roman" w:eastAsia="Calibri" w:hAnsi="Times New Roman" w:cs="Times New Roman"/>
          <w:sz w:val="24"/>
          <w:szCs w:val="24"/>
        </w:rPr>
        <w:t>lanaka 63.</w:t>
      </w:r>
      <w:r w:rsidR="000B0873" w:rsidRPr="000479E9">
        <w:rPr>
          <w:rFonts w:ascii="Times New Roman" w:eastAsia="Calibri" w:hAnsi="Times New Roman" w:cs="Times New Roman"/>
          <w:sz w:val="24"/>
          <w:szCs w:val="24"/>
        </w:rPr>
        <w:t xml:space="preserve">, </w:t>
      </w:r>
      <w:r w:rsidR="00796B3E" w:rsidRPr="000479E9">
        <w:rPr>
          <w:rFonts w:ascii="Times New Roman" w:eastAsia="Calibri" w:hAnsi="Times New Roman" w:cs="Times New Roman"/>
          <w:sz w:val="24"/>
          <w:szCs w:val="24"/>
        </w:rPr>
        <w:t xml:space="preserve">71. </w:t>
      </w:r>
      <w:r w:rsidR="000B0873" w:rsidRPr="000479E9">
        <w:rPr>
          <w:rFonts w:ascii="Times New Roman" w:eastAsia="Calibri" w:hAnsi="Times New Roman" w:cs="Times New Roman"/>
          <w:sz w:val="24"/>
          <w:szCs w:val="24"/>
        </w:rPr>
        <w:t xml:space="preserve">i 72. </w:t>
      </w:r>
      <w:r w:rsidR="00796B3E" w:rsidRPr="000479E9">
        <w:rPr>
          <w:rFonts w:ascii="Times New Roman" w:eastAsia="Calibri" w:hAnsi="Times New Roman" w:cs="Times New Roman"/>
          <w:sz w:val="24"/>
          <w:szCs w:val="24"/>
        </w:rPr>
        <w:t>važećeg Zakona</w:t>
      </w:r>
      <w:r w:rsidRPr="000479E9">
        <w:rPr>
          <w:rFonts w:ascii="Times New Roman" w:eastAsia="Calibri" w:hAnsi="Times New Roman" w:cs="Times New Roman"/>
          <w:sz w:val="24"/>
          <w:szCs w:val="24"/>
        </w:rPr>
        <w:t xml:space="preserve">, kojim se predlaže pojednostavljenje pojedinih organizacijskih i izvještajnih zahtjeva kroz uvođenje proporcionalnijeg pristupa zahtjevima koji se odnose na članove uprave, ukidanje obvezne periodične dostave izvješća o radu funkcije usklađenosti te smanjenje financijsko-izvještajnih obveza za mala i nepovezana investicijska društva. </w:t>
      </w:r>
    </w:p>
    <w:p w14:paraId="48658895" w14:textId="77777777" w:rsidR="004D16D4" w:rsidRPr="000479E9" w:rsidRDefault="004D16D4" w:rsidP="00BE3A26">
      <w:pPr>
        <w:spacing w:after="0" w:line="240" w:lineRule="auto"/>
        <w:jc w:val="both"/>
        <w:rPr>
          <w:rFonts w:ascii="Times New Roman" w:eastAsia="Calibri" w:hAnsi="Times New Roman" w:cs="Times New Roman"/>
          <w:sz w:val="24"/>
          <w:szCs w:val="24"/>
        </w:rPr>
      </w:pPr>
    </w:p>
    <w:p w14:paraId="52E31368" w14:textId="0A9539CB" w:rsidR="00BE3A26" w:rsidRPr="000479E9" w:rsidRDefault="002763D4" w:rsidP="00BE3A26">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Nadalje, izmjenom članka 103. važećeg Zakona koristi se mogućnost predviđena MiFID II okvirom kojom se jedinicama lokalne i područne (regionalne) samouprave omogućuje stjecanje statusa profesionalnog ulagatelja na zahtjev, prema kriterijima koje će pravilnikom propisati Agencija, čime se povećava fleksibilnost poslovanja investicijskih društava i smanjuju administrativni troškovi povezani s pružanjem investicijskih usluga.</w:t>
      </w:r>
    </w:p>
    <w:p w14:paraId="6C6C6168" w14:textId="77777777" w:rsidR="00BE3A26" w:rsidRPr="000479E9" w:rsidRDefault="00BE3A26" w:rsidP="00BE3A26">
      <w:pPr>
        <w:spacing w:after="0" w:line="240" w:lineRule="auto"/>
        <w:jc w:val="both"/>
        <w:rPr>
          <w:rFonts w:ascii="Times New Roman" w:eastAsia="Calibri" w:hAnsi="Times New Roman" w:cs="Times New Roman"/>
          <w:sz w:val="24"/>
          <w:szCs w:val="24"/>
        </w:rPr>
      </w:pPr>
    </w:p>
    <w:p w14:paraId="14E1D0D0" w14:textId="7F7F37BE" w:rsidR="00BE3A26" w:rsidRPr="000479E9" w:rsidRDefault="00BE3A26" w:rsidP="00BE3A26">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Izmjenama član</w:t>
      </w:r>
      <w:r w:rsidR="00E5199B" w:rsidRPr="000479E9">
        <w:rPr>
          <w:rFonts w:ascii="Times New Roman" w:eastAsia="Calibri" w:hAnsi="Times New Roman" w:cs="Times New Roman"/>
          <w:sz w:val="24"/>
          <w:szCs w:val="24"/>
        </w:rPr>
        <w:t>a</w:t>
      </w:r>
      <w:r w:rsidRPr="000479E9">
        <w:rPr>
          <w:rFonts w:ascii="Times New Roman" w:eastAsia="Calibri" w:hAnsi="Times New Roman" w:cs="Times New Roman"/>
          <w:sz w:val="24"/>
          <w:szCs w:val="24"/>
        </w:rPr>
        <w:t>ka 2</w:t>
      </w:r>
      <w:r w:rsidR="00E5199B" w:rsidRPr="000479E9">
        <w:rPr>
          <w:rFonts w:ascii="Times New Roman" w:eastAsia="Calibri" w:hAnsi="Times New Roman" w:cs="Times New Roman"/>
          <w:sz w:val="24"/>
          <w:szCs w:val="24"/>
        </w:rPr>
        <w:t>72., 2</w:t>
      </w:r>
      <w:r w:rsidRPr="000479E9">
        <w:rPr>
          <w:rFonts w:ascii="Times New Roman" w:eastAsia="Calibri" w:hAnsi="Times New Roman" w:cs="Times New Roman"/>
          <w:sz w:val="24"/>
          <w:szCs w:val="24"/>
        </w:rPr>
        <w:t>73.</w:t>
      </w:r>
      <w:r w:rsidR="00E5199B" w:rsidRPr="000479E9">
        <w:rPr>
          <w:rFonts w:ascii="Times New Roman" w:eastAsia="Calibri" w:hAnsi="Times New Roman" w:cs="Times New Roman"/>
          <w:sz w:val="24"/>
          <w:szCs w:val="24"/>
        </w:rPr>
        <w:t xml:space="preserve"> i 280.</w:t>
      </w:r>
      <w:r w:rsidRPr="000479E9">
        <w:rPr>
          <w:rFonts w:ascii="Times New Roman" w:eastAsia="Calibri" w:hAnsi="Times New Roman" w:cs="Times New Roman"/>
          <w:sz w:val="24"/>
          <w:szCs w:val="24"/>
        </w:rPr>
        <w:t xml:space="preserve"> važećeg Zakona, dodatno se unapr</w:t>
      </w:r>
      <w:r w:rsidR="00917DE8">
        <w:rPr>
          <w:rFonts w:ascii="Times New Roman" w:eastAsia="Calibri" w:hAnsi="Times New Roman" w:cs="Times New Roman"/>
          <w:sz w:val="24"/>
          <w:szCs w:val="24"/>
        </w:rPr>
        <w:t>j</w:t>
      </w:r>
      <w:r w:rsidRPr="000479E9">
        <w:rPr>
          <w:rFonts w:ascii="Times New Roman" w:eastAsia="Calibri" w:hAnsi="Times New Roman" w:cs="Times New Roman"/>
          <w:sz w:val="24"/>
          <w:szCs w:val="24"/>
        </w:rPr>
        <w:t xml:space="preserve">eđuje okvir financiranja Fonda za zaštitu ulagatelja kroz uvođenje modela koji je razmjerniji </w:t>
      </w:r>
      <w:r w:rsidRPr="000479E9">
        <w:rPr>
          <w:rFonts w:ascii="Times New Roman" w:eastAsia="Calibri" w:hAnsi="Times New Roman" w:cs="Times New Roman"/>
          <w:sz w:val="24"/>
          <w:szCs w:val="24"/>
        </w:rPr>
        <w:lastRenderedPageBreak/>
        <w:t>stvarnim rizicima i razini zaštićenih tražbina članova Fonda. Predloženim rješenjem osigurava se održivo financiranje sustava zaštite ulagatelja uz istodobno smanjenje financijskog opterećenja članova Fonda u razdobljima kada su raspoloživa sredstva dostatna za ostvarivanje njegove svrhe.</w:t>
      </w:r>
    </w:p>
    <w:p w14:paraId="3614831F" w14:textId="77777777" w:rsidR="00BE3A26" w:rsidRPr="000479E9" w:rsidRDefault="00BE3A26" w:rsidP="00BE3A26">
      <w:pPr>
        <w:spacing w:after="0" w:line="240" w:lineRule="auto"/>
        <w:jc w:val="both"/>
        <w:rPr>
          <w:rFonts w:ascii="Times New Roman" w:eastAsia="Calibri" w:hAnsi="Times New Roman" w:cs="Times New Roman"/>
          <w:sz w:val="24"/>
          <w:szCs w:val="24"/>
        </w:rPr>
      </w:pPr>
    </w:p>
    <w:p w14:paraId="3C86CD27" w14:textId="30CDB1C1" w:rsidR="009A1850" w:rsidRPr="000479E9" w:rsidRDefault="00BE3A26" w:rsidP="009A1850">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Nadalje, izmjenama članka 285., 294. 295.</w:t>
      </w:r>
      <w:r w:rsidR="000E17B5" w:rsidRPr="000479E9">
        <w:rPr>
          <w:rFonts w:ascii="Times New Roman" w:eastAsia="Calibri" w:hAnsi="Times New Roman" w:cs="Times New Roman"/>
          <w:sz w:val="24"/>
          <w:szCs w:val="24"/>
        </w:rPr>
        <w:t xml:space="preserve">, </w:t>
      </w:r>
      <w:r w:rsidRPr="000479E9">
        <w:rPr>
          <w:rFonts w:ascii="Times New Roman" w:eastAsia="Calibri" w:hAnsi="Times New Roman" w:cs="Times New Roman"/>
          <w:sz w:val="24"/>
          <w:szCs w:val="24"/>
        </w:rPr>
        <w:t xml:space="preserve">305., 321., </w:t>
      </w:r>
      <w:r w:rsidR="000B0873" w:rsidRPr="000479E9">
        <w:rPr>
          <w:rFonts w:ascii="Times New Roman" w:eastAsia="Calibri" w:hAnsi="Times New Roman" w:cs="Times New Roman"/>
          <w:sz w:val="24"/>
          <w:szCs w:val="24"/>
        </w:rPr>
        <w:t xml:space="preserve">322., 329., </w:t>
      </w:r>
      <w:r w:rsidRPr="000479E9">
        <w:rPr>
          <w:rFonts w:ascii="Times New Roman" w:eastAsia="Calibri" w:hAnsi="Times New Roman" w:cs="Times New Roman"/>
          <w:sz w:val="24"/>
          <w:szCs w:val="24"/>
        </w:rPr>
        <w:t>330., 339., 340., 341.</w:t>
      </w:r>
      <w:r w:rsidR="00917DE8">
        <w:rPr>
          <w:rFonts w:ascii="Times New Roman" w:eastAsia="Calibri" w:hAnsi="Times New Roman" w:cs="Times New Roman"/>
          <w:sz w:val="24"/>
          <w:szCs w:val="24"/>
        </w:rPr>
        <w:t xml:space="preserve"> i</w:t>
      </w:r>
      <w:r w:rsidRPr="000479E9">
        <w:rPr>
          <w:rFonts w:ascii="Times New Roman" w:eastAsia="Calibri" w:hAnsi="Times New Roman" w:cs="Times New Roman"/>
          <w:sz w:val="24"/>
          <w:szCs w:val="24"/>
        </w:rPr>
        <w:t xml:space="preserve"> 344.a važećeg Zakona u dijelu poslovanja burze predlažu se operativna pojednostavljenja koja omogućuju bržu prilagodbu poslovanja tržišnim okolnostima i potrebama korisnika. </w:t>
      </w:r>
      <w:r w:rsidR="00DF7106" w:rsidRPr="000479E9">
        <w:t xml:space="preserve"> </w:t>
      </w:r>
      <w:r w:rsidR="009A1850" w:rsidRPr="000479E9">
        <w:rPr>
          <w:rFonts w:ascii="Times New Roman" w:eastAsia="Calibri" w:hAnsi="Times New Roman" w:cs="Times New Roman"/>
          <w:sz w:val="24"/>
          <w:szCs w:val="24"/>
        </w:rPr>
        <w:t>Pojednostavljuju se postupci donošenja i izmjene pravila burze, na način da se napušta model prethodnog odobravanja od strane Hrvatske agencije za nadzor financijskih usluga (u daljnjem tekstu: Agencija) te se uvodi obveza prethodne dostave prijedloga pravila, članovima i Agenciji najkasnije 15 dana prije njihova usvajanja. Dodatno se, u svrhu regulatornog rasterećenja skraćuje rok za dostavu prijedloga cjenika Agenciji i njegovu dostupnost korisnicima usluga uređenog tržišta s dosadašnjih 30 na 15 dana prije njegova usvajanja. Istodobno se uvodi proporcionalniji regulatorni pristup preciziranjem slučajeva u kojima je potrebno prethodno pribaviti suglasnost Agencije za statusne promjene burze, pri čemu se prethodna suglasnost zadržava za statusne promjene koje mogu utjecati na kontinuitet urednog funkcioniranja uređenog tržišta, učinkovitost regulatornog nadzora ili financijsku stabilnost burze te za osnivanje podružnice burze izvan Republike Hrvatske, dok se za izravno ili neizravno stjecanje udjela kojim burza stječe 25 % ili više u drugoj pravnoj osobi uvodi obveza prethodnog obavještavanja Agencije.</w:t>
      </w:r>
    </w:p>
    <w:p w14:paraId="5E06F86C" w14:textId="77777777" w:rsidR="00BE3A26" w:rsidRPr="000479E9" w:rsidRDefault="00BE3A26" w:rsidP="00BE3A26">
      <w:pPr>
        <w:spacing w:after="0" w:line="240" w:lineRule="auto"/>
        <w:jc w:val="both"/>
        <w:rPr>
          <w:rFonts w:ascii="Times New Roman" w:eastAsia="Calibri" w:hAnsi="Times New Roman" w:cs="Times New Roman"/>
          <w:sz w:val="24"/>
          <w:szCs w:val="24"/>
        </w:rPr>
      </w:pPr>
    </w:p>
    <w:p w14:paraId="4C752D23" w14:textId="5E291653" w:rsidR="00BE3A26" w:rsidRPr="000479E9" w:rsidRDefault="00BE3A26" w:rsidP="00BE3A26">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Za izdavatelje vrijednosnih papira predlaže se dodatno pojednostavljenje postupaka javne ponude i uvrštenja financijskih instrumenata za trgovanje, uz smanjenje opsega dokumentacije i regulatornih formalnosti gdje je to dopušteno europskim propisima (izmjena članaka 405., 409., 417, 420., 421., 463., 466., 468., 474., 496., 512.</w:t>
      </w:r>
      <w:r w:rsidR="00917DE8">
        <w:rPr>
          <w:rFonts w:ascii="Times New Roman" w:eastAsia="Calibri" w:hAnsi="Times New Roman" w:cs="Times New Roman"/>
          <w:sz w:val="24"/>
          <w:szCs w:val="24"/>
        </w:rPr>
        <w:t xml:space="preserve"> i </w:t>
      </w:r>
      <w:r w:rsidRPr="000479E9">
        <w:rPr>
          <w:rFonts w:ascii="Times New Roman" w:eastAsia="Calibri" w:hAnsi="Times New Roman" w:cs="Times New Roman"/>
          <w:sz w:val="24"/>
          <w:szCs w:val="24"/>
        </w:rPr>
        <w:t>524. važećeg Zakona te uklanjanja članka 427. i 470. važećeg Zakona</w:t>
      </w:r>
      <w:r w:rsidR="00917DE8">
        <w:rPr>
          <w:rFonts w:ascii="Times New Roman" w:eastAsia="Calibri" w:hAnsi="Times New Roman" w:cs="Times New Roman"/>
          <w:sz w:val="24"/>
          <w:szCs w:val="24"/>
        </w:rPr>
        <w:t>.</w:t>
      </w:r>
      <w:r w:rsidRPr="000479E9">
        <w:rPr>
          <w:rFonts w:ascii="Times New Roman" w:eastAsia="Calibri" w:hAnsi="Times New Roman" w:cs="Times New Roman"/>
          <w:sz w:val="24"/>
          <w:szCs w:val="24"/>
        </w:rPr>
        <w:t xml:space="preserve"> Predlaže se pojednostavljenje pojedinih zahtjeva vezanih uz prospektnu dokumentaciju, uvjete za uvrštenje na uređeno tržište te obveze periodičnog izvještavanja. Time se smanjuju troškovi pristupa tržištu kapitala i administrativno opterećenje povezano s prikupljanjem kapitala putem tržišta, osobito za mala i srednja poduzeća koja se prvi put odlučuju za tržišno financiranje. Očekuje se da će takve izmjene doprinijeti većoj atraktivnosti tržišta kapitala kao izvora financiranja gospodarskog rasta.</w:t>
      </w:r>
    </w:p>
    <w:p w14:paraId="465172C1" w14:textId="77777777" w:rsidR="00BE3A26" w:rsidRPr="000479E9" w:rsidRDefault="00BE3A26" w:rsidP="00BE3A26">
      <w:pPr>
        <w:spacing w:after="0" w:line="240" w:lineRule="auto"/>
        <w:jc w:val="both"/>
        <w:rPr>
          <w:rFonts w:ascii="Times New Roman" w:eastAsia="Calibri" w:hAnsi="Times New Roman" w:cs="Times New Roman"/>
          <w:sz w:val="24"/>
          <w:szCs w:val="24"/>
        </w:rPr>
      </w:pPr>
    </w:p>
    <w:p w14:paraId="0BAB2D8B" w14:textId="617F2F88" w:rsidR="004D3B68" w:rsidRPr="000479E9" w:rsidRDefault="00BE3A26" w:rsidP="00BE3A26">
      <w:pPr>
        <w:spacing w:after="0" w:line="240" w:lineRule="auto"/>
        <w:jc w:val="both"/>
        <w:rPr>
          <w:rFonts w:ascii="Times New Roman" w:eastAsia="Times New Roman" w:hAnsi="Times New Roman" w:cs="Times New Roman"/>
          <w:sz w:val="24"/>
          <w:szCs w:val="24"/>
          <w:lang w:eastAsia="hr-HR"/>
        </w:rPr>
      </w:pPr>
      <w:r w:rsidRPr="000479E9">
        <w:rPr>
          <w:rFonts w:ascii="Times New Roman" w:eastAsia="Calibri" w:hAnsi="Times New Roman" w:cs="Times New Roman"/>
          <w:sz w:val="24"/>
          <w:szCs w:val="24"/>
        </w:rPr>
        <w:t xml:space="preserve">U odnosu na središnji depozitorij i središnju drugu ugovornu stranu (CCP), </w:t>
      </w:r>
      <w:r w:rsidR="00917DE8">
        <w:rPr>
          <w:rFonts w:ascii="Times New Roman" w:eastAsia="Calibri" w:hAnsi="Times New Roman" w:cs="Times New Roman"/>
          <w:sz w:val="24"/>
          <w:szCs w:val="24"/>
        </w:rPr>
        <w:t>brišu</w:t>
      </w:r>
      <w:r w:rsidR="00917DE8" w:rsidRPr="000479E9">
        <w:rPr>
          <w:rFonts w:ascii="Times New Roman" w:eastAsia="Calibri" w:hAnsi="Times New Roman" w:cs="Times New Roman"/>
          <w:sz w:val="24"/>
          <w:szCs w:val="24"/>
        </w:rPr>
        <w:t xml:space="preserve"> </w:t>
      </w:r>
      <w:r w:rsidRPr="000479E9">
        <w:rPr>
          <w:rFonts w:ascii="Times New Roman" w:eastAsia="Calibri" w:hAnsi="Times New Roman" w:cs="Times New Roman"/>
          <w:sz w:val="24"/>
          <w:szCs w:val="24"/>
        </w:rPr>
        <w:t>se članci 386. do 390. te članci 544., 545., 553., 566.a, 583., 594. do 621. važećeg Zakona te se izmjenjuju članci 548., 551., 554., 566., 567., 569.</w:t>
      </w:r>
      <w:r w:rsidR="00917DE8">
        <w:rPr>
          <w:rFonts w:ascii="Times New Roman" w:eastAsia="Calibri" w:hAnsi="Times New Roman" w:cs="Times New Roman"/>
          <w:sz w:val="24"/>
          <w:szCs w:val="24"/>
        </w:rPr>
        <w:t xml:space="preserve"> i</w:t>
      </w:r>
      <w:r w:rsidRPr="000479E9">
        <w:rPr>
          <w:rFonts w:ascii="Times New Roman" w:eastAsia="Calibri" w:hAnsi="Times New Roman" w:cs="Times New Roman"/>
          <w:sz w:val="24"/>
          <w:szCs w:val="24"/>
        </w:rPr>
        <w:t xml:space="preserve"> 581. važećeg Zakona s ciljem izbjegavanja dupliciranja regulatornih zahtjeva koji su već uređeni izravno primjenjivim europskim propisima, osobito Uredbom (EU) br. 909/2014 (CSDR) i Uredbom (EU) br. 648/2012 (EMIR) te u cilju unaprjeđenja funkcioniranja tržišne infrastrukture. Time se omogućuje veća pravna sigurnost, smanjuje regulatorna složenost te se nadzor i izvještavanje usmjeravaju na područja koja su relevantna za upravljanje rizicima i očuvanje financijske stabilnosti. Takav pristup pridonosi učinkovitijem funkcioniranju tržišne infrastrukture i smanjenju troškova usklađivanja za </w:t>
      </w:r>
      <w:r w:rsidRPr="000479E9">
        <w:rPr>
          <w:rFonts w:ascii="Times New Roman" w:eastAsia="Calibri" w:hAnsi="Times New Roman" w:cs="Times New Roman"/>
          <w:sz w:val="24"/>
          <w:szCs w:val="24"/>
        </w:rPr>
        <w:lastRenderedPageBreak/>
        <w:t>njezine sudionike.</w:t>
      </w:r>
      <w:r w:rsidR="004D3B68" w:rsidRPr="000479E9">
        <w:rPr>
          <w:rFonts w:ascii="Times New Roman" w:eastAsia="Calibri" w:hAnsi="Times New Roman" w:cs="Times New Roman"/>
          <w:sz w:val="24"/>
          <w:szCs w:val="24"/>
        </w:rPr>
        <w:t xml:space="preserve"> </w:t>
      </w:r>
      <w:r w:rsidR="004D3B68" w:rsidRPr="000479E9">
        <w:rPr>
          <w:rFonts w:ascii="Times New Roman" w:eastAsia="Times New Roman" w:hAnsi="Times New Roman" w:cs="Times New Roman"/>
          <w:sz w:val="24"/>
          <w:szCs w:val="24"/>
          <w:lang w:eastAsia="hr-HR"/>
        </w:rPr>
        <w:t>U svrhu regulatornog rasterećenja</w:t>
      </w:r>
      <w:r w:rsidR="00D90BD7" w:rsidRPr="000479E9">
        <w:rPr>
          <w:rFonts w:ascii="Times New Roman" w:eastAsia="Times New Roman" w:hAnsi="Times New Roman" w:cs="Times New Roman"/>
          <w:sz w:val="24"/>
          <w:szCs w:val="24"/>
          <w:lang w:eastAsia="hr-HR"/>
        </w:rPr>
        <w:t>, odnosno izmjenama članka 547. važećeg Zakona</w:t>
      </w:r>
      <w:r w:rsidR="004D3B68" w:rsidRPr="000479E9">
        <w:rPr>
          <w:rFonts w:ascii="Times New Roman" w:eastAsia="Times New Roman" w:hAnsi="Times New Roman" w:cs="Times New Roman"/>
          <w:sz w:val="24"/>
          <w:szCs w:val="24"/>
          <w:lang w:eastAsia="hr-HR"/>
        </w:rPr>
        <w:t>, ukida revizija središnje druge ugovorne strana za potrebe Agencije, obzirom da je Agenciji dostupno niz nadzornih alata koji ispunjavaju svrhu bez dodanih nepotrebnih troškova. Dodatno, u svrhu regulatornog rasterećenja, usklađenja sa važećim Zakonom o reviziji i prevladavajućom praksom u državama članicama, ovim se člankom produljuje rok u kojemu jedan revizor može obavljati zakonsku reviziju središnje druge ugovorne strane s dosadašnjih sedam na deset godina.</w:t>
      </w:r>
    </w:p>
    <w:p w14:paraId="318FCC3B" w14:textId="6D2CD8FC" w:rsidR="00B16F0F" w:rsidRPr="000479E9" w:rsidRDefault="00B16F0F" w:rsidP="00BE3A26">
      <w:pPr>
        <w:spacing w:after="0" w:line="240" w:lineRule="auto"/>
        <w:jc w:val="both"/>
        <w:rPr>
          <w:rFonts w:ascii="Times New Roman" w:eastAsia="Times New Roman" w:hAnsi="Times New Roman" w:cs="Times New Roman"/>
          <w:sz w:val="24"/>
          <w:szCs w:val="24"/>
          <w:lang w:eastAsia="hr-HR"/>
        </w:rPr>
      </w:pPr>
    </w:p>
    <w:p w14:paraId="4B4A669E" w14:textId="77777777" w:rsidR="00BE3A26" w:rsidRPr="000479E9" w:rsidRDefault="00BE3A26" w:rsidP="00BE3A26">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Sve predložene izmjene usmjerene su na povećanje učinkovitosti, proporcionalnosti i predvidljivosti regulatornog okvira te na uklanjanje administrativnih prepreka razvoju tržišta kapitala. Očekuje se da će njihova provedba smanjiti troškove usklađivanja za tržišne sudionike, ubrzati postupke prikupljanja kapitala i donošenja poslovnih odluka te dodatno povećati konkurentnost i atraktivnost hrvatskog tržišta kapitala, uz zadržavanje visokih standarda zaštite ulagatelja, tržišne transparentnosti i financijske stabilnosti.</w:t>
      </w:r>
    </w:p>
    <w:p w14:paraId="004F9B89" w14:textId="77777777" w:rsidR="00BE3A26" w:rsidRPr="000479E9" w:rsidRDefault="00BE3A26" w:rsidP="00BE3A26">
      <w:pPr>
        <w:spacing w:after="0" w:line="240" w:lineRule="auto"/>
        <w:jc w:val="both"/>
        <w:rPr>
          <w:rFonts w:ascii="Times New Roman" w:eastAsia="Times New Roman" w:hAnsi="Times New Roman" w:cs="Times New Roman"/>
          <w:sz w:val="24"/>
          <w:szCs w:val="24"/>
          <w:lang w:eastAsia="hr-HR"/>
        </w:rPr>
      </w:pPr>
    </w:p>
    <w:p w14:paraId="0E1C8197" w14:textId="431F73AF" w:rsidR="00BE3A26" w:rsidRPr="000479E9" w:rsidRDefault="00BE3A26" w:rsidP="00BE3A26">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Uz navedeno, Konačnim prijedlogom zakona predlažu se izmjene prekršajnih odredbi u važećem Zakonu kroz dodavanje novih članaka 698.a</w:t>
      </w:r>
      <w:r w:rsidR="00A46152"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700.a, 701.a, 702.a, 706.a, 713.a</w:t>
      </w:r>
      <w:r w:rsidR="00917DE8">
        <w:rPr>
          <w:rFonts w:ascii="Times New Roman" w:eastAsia="Times New Roman" w:hAnsi="Times New Roman" w:cs="Times New Roman"/>
          <w:sz w:val="24"/>
          <w:szCs w:val="24"/>
          <w:lang w:eastAsia="hr-HR"/>
        </w:rPr>
        <w:t xml:space="preserve"> i</w:t>
      </w:r>
      <w:r w:rsidRPr="000479E9">
        <w:rPr>
          <w:rFonts w:ascii="Times New Roman" w:eastAsia="Times New Roman" w:hAnsi="Times New Roman" w:cs="Times New Roman"/>
          <w:sz w:val="24"/>
          <w:szCs w:val="24"/>
          <w:lang w:eastAsia="hr-HR"/>
        </w:rPr>
        <w:t xml:space="preserve"> 714.a</w:t>
      </w:r>
      <w:r w:rsidR="00BA253B" w:rsidRPr="000479E9">
        <w:rPr>
          <w:rFonts w:ascii="Times New Roman" w:eastAsia="Times New Roman" w:hAnsi="Times New Roman" w:cs="Times New Roman"/>
          <w:sz w:val="24"/>
          <w:szCs w:val="24"/>
          <w:lang w:eastAsia="hr-HR"/>
        </w:rPr>
        <w:t>,</w:t>
      </w:r>
      <w:r w:rsidRPr="000479E9">
        <w:rPr>
          <w:rFonts w:ascii="Times New Roman" w:eastAsia="Times New Roman" w:hAnsi="Times New Roman" w:cs="Times New Roman"/>
          <w:sz w:val="24"/>
          <w:szCs w:val="24"/>
          <w:lang w:eastAsia="hr-HR"/>
        </w:rPr>
        <w:t xml:space="preserve"> izmjenu članka 700., 701., 702., 703., 704., 705., 705.a, 705.b, 706., 707., 708., 711., 712., 713., 714., 715., 716., 718., 720.</w:t>
      </w:r>
      <w:r w:rsidR="00917DE8">
        <w:rPr>
          <w:rFonts w:ascii="Times New Roman" w:eastAsia="Times New Roman" w:hAnsi="Times New Roman" w:cs="Times New Roman"/>
          <w:sz w:val="24"/>
          <w:szCs w:val="24"/>
          <w:lang w:eastAsia="hr-HR"/>
        </w:rPr>
        <w:t xml:space="preserve"> i</w:t>
      </w:r>
      <w:r w:rsidRPr="000479E9">
        <w:rPr>
          <w:rFonts w:ascii="Times New Roman" w:eastAsia="Times New Roman" w:hAnsi="Times New Roman" w:cs="Times New Roman"/>
          <w:sz w:val="24"/>
          <w:szCs w:val="24"/>
          <w:lang w:eastAsia="hr-HR"/>
        </w:rPr>
        <w:t xml:space="preserve"> 721., te </w:t>
      </w:r>
      <w:r w:rsidR="00917DE8">
        <w:rPr>
          <w:rFonts w:ascii="Times New Roman" w:eastAsia="Times New Roman" w:hAnsi="Times New Roman" w:cs="Times New Roman"/>
          <w:sz w:val="24"/>
          <w:szCs w:val="24"/>
          <w:lang w:eastAsia="hr-HR"/>
        </w:rPr>
        <w:t>brisanje</w:t>
      </w:r>
      <w:r w:rsidR="00917DE8" w:rsidRPr="000479E9">
        <w:rPr>
          <w:rFonts w:ascii="Times New Roman" w:eastAsia="Times New Roman" w:hAnsi="Times New Roman" w:cs="Times New Roman"/>
          <w:sz w:val="24"/>
          <w:szCs w:val="24"/>
          <w:lang w:eastAsia="hr-HR"/>
        </w:rPr>
        <w:t xml:space="preserve"> </w:t>
      </w:r>
      <w:r w:rsidRPr="000479E9">
        <w:rPr>
          <w:rFonts w:ascii="Times New Roman" w:eastAsia="Times New Roman" w:hAnsi="Times New Roman" w:cs="Times New Roman"/>
          <w:sz w:val="24"/>
          <w:szCs w:val="24"/>
          <w:lang w:eastAsia="hr-HR"/>
        </w:rPr>
        <w:t xml:space="preserve">članaka 723. i 724. važećeg Zakona, čime se unaprjeđuje sustav sankcioniranja radi osiguranja veće razmjernosti, pravne sigurnosti i dosljednosti u primjeni prekršajnih sankcija. </w:t>
      </w:r>
    </w:p>
    <w:p w14:paraId="65AC3F46" w14:textId="149BD9C1" w:rsidR="00D47D52" w:rsidRPr="000479E9" w:rsidRDefault="00D47D52" w:rsidP="00BE3A26">
      <w:pPr>
        <w:spacing w:after="0" w:line="240" w:lineRule="auto"/>
        <w:jc w:val="both"/>
        <w:rPr>
          <w:rFonts w:ascii="Times New Roman" w:eastAsia="Times New Roman" w:hAnsi="Times New Roman" w:cs="Times New Roman"/>
          <w:sz w:val="24"/>
          <w:szCs w:val="24"/>
          <w:lang w:eastAsia="hr-HR"/>
        </w:rPr>
      </w:pPr>
    </w:p>
    <w:p w14:paraId="39FD714B" w14:textId="572DDBB4" w:rsidR="00D47D52" w:rsidRPr="000479E9" w:rsidRDefault="00D47D52" w:rsidP="00BE3A26">
      <w:pPr>
        <w:spacing w:after="0"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Uz navedeno, usklađena su i obrazloženja članaka.</w:t>
      </w:r>
    </w:p>
    <w:p w14:paraId="76A42D33" w14:textId="77777777" w:rsidR="00BE3A26" w:rsidRPr="000479E9" w:rsidRDefault="00BE3A26" w:rsidP="00BE3A26">
      <w:pPr>
        <w:spacing w:after="0" w:line="240" w:lineRule="auto"/>
        <w:rPr>
          <w:rFonts w:ascii="Times New Roman" w:hAnsi="Times New Roman" w:cs="Times New Roman"/>
          <w:sz w:val="24"/>
          <w:szCs w:val="24"/>
        </w:rPr>
      </w:pPr>
    </w:p>
    <w:p w14:paraId="1366E6B1" w14:textId="2B8973DC" w:rsidR="00BE3A26" w:rsidRPr="000479E9" w:rsidRDefault="00A50056" w:rsidP="00BE3A26">
      <w:pPr>
        <w:spacing w:after="0" w:line="240" w:lineRule="auto"/>
        <w:jc w:val="both"/>
        <w:rPr>
          <w:rFonts w:ascii="Times New Roman" w:hAnsi="Times New Roman" w:cs="Times New Roman"/>
          <w:sz w:val="24"/>
          <w:szCs w:val="24"/>
        </w:rPr>
      </w:pPr>
      <w:r w:rsidRPr="00A50056">
        <w:rPr>
          <w:rFonts w:ascii="Times New Roman" w:hAnsi="Times New Roman" w:cs="Times New Roman"/>
          <w:sz w:val="24"/>
          <w:szCs w:val="24"/>
        </w:rPr>
        <w:t>Dodatno, dorađene su Prijelazne i završne odredbe na način da je izmijenjen članak 119. Konačnog prijedloga zakona kojim je naveden podzakonski akt Agencije koji ostaje na snazi do stupanja novog pravilnika. Propisuje se da se članak 90. Konačnog prijedloga zakona primjenjuje se i na prekršaje počinjene prije njegova stupanja na snagu ako Agencija do dana stupanja na snagu Konačnog prijedloga zakona nije podnijela optužni prijedlog. Nadalje, ažurirani su članci sukladno čijim odredbama je burza dužna uskladiti svoja pravila te sukladno kojima je središnji depozitorij dužan uskladiti svoja operativna pravila i cjenik (članak 120. Konačnog prijedloga zakona). Dodatno se propisuje rok u kojem je investicijsko društvo dužno sporazume s pružateljima usluga istraživanja sklopljene prije dana stupanja na snagu Konačnog prijedloga zakona uskladiti sa zahtjevima iz članka 17. ovoga Konačnog prijedloga zakona. Dorađene su odredbe vezane uz donošenje pravilnika od strane Agencije (članci 121. i 122. Konačnog prijedloga zakona). Također, dorađen je članak Stupanja na snagu zakona (članak 123. Konačnog prijedloga zakona).</w:t>
      </w:r>
    </w:p>
    <w:p w14:paraId="6DACD868" w14:textId="77777777" w:rsidR="00BE3A26" w:rsidRPr="000479E9" w:rsidRDefault="00BE3A26" w:rsidP="00BE3A26">
      <w:pPr>
        <w:spacing w:after="0" w:line="240" w:lineRule="auto"/>
        <w:jc w:val="both"/>
        <w:rPr>
          <w:rFonts w:ascii="Times New Roman" w:hAnsi="Times New Roman" w:cs="Times New Roman"/>
          <w:sz w:val="24"/>
          <w:szCs w:val="24"/>
        </w:rPr>
      </w:pPr>
    </w:p>
    <w:p w14:paraId="1AF71242" w14:textId="56AD82F4" w:rsidR="00BE3A26" w:rsidRPr="000479E9" w:rsidRDefault="00BE3A26" w:rsidP="00BE3A2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Slijedom izmjena, kroz cijeli tekst Konačnog prijedloga zakona izvršena su i ažuriranja pozivanja i ispravci uočenih nomotehničkih pogrešaka.</w:t>
      </w:r>
    </w:p>
    <w:p w14:paraId="5985ACCC" w14:textId="77777777" w:rsidR="00BE3A26" w:rsidRPr="000479E9" w:rsidRDefault="00BE3A26" w:rsidP="00BE3A26">
      <w:pPr>
        <w:spacing w:after="0" w:line="240" w:lineRule="auto"/>
        <w:jc w:val="both"/>
        <w:rPr>
          <w:rFonts w:ascii="Times New Roman" w:hAnsi="Times New Roman" w:cs="Times New Roman"/>
          <w:sz w:val="24"/>
          <w:szCs w:val="24"/>
        </w:rPr>
      </w:pPr>
    </w:p>
    <w:p w14:paraId="673D293E" w14:textId="1242890A" w:rsidR="00F8687F" w:rsidRPr="000479E9" w:rsidRDefault="00F8687F" w:rsidP="00F01D72">
      <w:pPr>
        <w:spacing w:after="0" w:line="240" w:lineRule="auto"/>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lastRenderedPageBreak/>
        <w:t xml:space="preserve">V. </w:t>
      </w:r>
      <w:r w:rsidRPr="000479E9">
        <w:rPr>
          <w:rFonts w:ascii="Times New Roman" w:eastAsia="Times New Roman" w:hAnsi="Times New Roman" w:cs="Times New Roman"/>
          <w:b/>
          <w:sz w:val="24"/>
          <w:szCs w:val="24"/>
          <w:lang w:eastAsia="hr-HR"/>
        </w:rPr>
        <w:tab/>
        <w:t>PRIJEDLOZI, PRIMJEDBE I MIŠLJENJA DANI NA PRIJEDLOG ZAKONA KOJE PREDLAGATELJ NIJE PRIHVATIO, S OBRAZLOŽENJEM</w:t>
      </w:r>
    </w:p>
    <w:p w14:paraId="1D8FF27E" w14:textId="77777777" w:rsidR="00EB78E6" w:rsidRPr="000479E9" w:rsidRDefault="00EB78E6" w:rsidP="00F01D72">
      <w:pPr>
        <w:spacing w:after="0" w:line="240" w:lineRule="auto"/>
        <w:rPr>
          <w:rFonts w:ascii="Times New Roman" w:eastAsia="Times New Roman" w:hAnsi="Times New Roman" w:cs="Times New Roman"/>
          <w:b/>
          <w:sz w:val="24"/>
          <w:szCs w:val="24"/>
          <w:lang w:eastAsia="hr-HR"/>
        </w:rPr>
      </w:pPr>
    </w:p>
    <w:p w14:paraId="306419C6" w14:textId="77777777" w:rsidR="00F8687F" w:rsidRPr="000479E9" w:rsidRDefault="00F8687F" w:rsidP="00F8687F">
      <w:pPr>
        <w:spacing w:line="240" w:lineRule="auto"/>
        <w:jc w:val="both"/>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Na tekst Prijedloga zakona nije bilo suštinskih primjedbi niti prijedloga koje predlagatelj nije prihvatio, odnosno sve upućene primjedbe s rasprave u Hrvatskome saboru pomno su razmotrene te je zaključeno kako su sve primjedbe izvan opsega predmeta ovoga Konačnog prijedloga zakona.</w:t>
      </w:r>
    </w:p>
    <w:p w14:paraId="58D91209" w14:textId="11A958C8" w:rsidR="00B962CA" w:rsidRPr="000479E9" w:rsidRDefault="00B962CA">
      <w:pPr>
        <w:rPr>
          <w:rFonts w:ascii="Times New Roman" w:eastAsia="Times New Roman" w:hAnsi="Times New Roman" w:cs="Times New Roman"/>
          <w:b/>
          <w:sz w:val="24"/>
          <w:szCs w:val="24"/>
          <w:lang w:eastAsia="hr-HR"/>
        </w:rPr>
      </w:pPr>
      <w:r w:rsidRPr="000479E9">
        <w:rPr>
          <w:rFonts w:ascii="Times New Roman" w:eastAsia="Times New Roman" w:hAnsi="Times New Roman" w:cs="Times New Roman"/>
          <w:b/>
          <w:sz w:val="24"/>
          <w:szCs w:val="24"/>
          <w:lang w:eastAsia="hr-HR"/>
        </w:rPr>
        <w:br w:type="page"/>
      </w:r>
    </w:p>
    <w:p w14:paraId="47A71B28" w14:textId="346DA270" w:rsidR="009A303F" w:rsidRPr="000479E9" w:rsidRDefault="0018767A" w:rsidP="1DEA14D9">
      <w:pPr>
        <w:spacing w:line="240" w:lineRule="auto"/>
        <w:jc w:val="center"/>
        <w:rPr>
          <w:rFonts w:ascii="Times New Roman" w:hAnsi="Times New Roman" w:cs="Times New Roman"/>
          <w:b/>
          <w:bCs/>
          <w:sz w:val="24"/>
          <w:szCs w:val="24"/>
        </w:rPr>
      </w:pPr>
      <w:r w:rsidRPr="000479E9">
        <w:rPr>
          <w:rFonts w:ascii="Times New Roman" w:hAnsi="Times New Roman" w:cs="Times New Roman"/>
          <w:b/>
          <w:bCs/>
          <w:sz w:val="24"/>
          <w:szCs w:val="24"/>
        </w:rPr>
        <w:lastRenderedPageBreak/>
        <w:t>ODREDBE</w:t>
      </w:r>
      <w:r w:rsidR="009A303F" w:rsidRPr="000479E9">
        <w:rPr>
          <w:rFonts w:ascii="Times New Roman" w:hAnsi="Times New Roman" w:cs="Times New Roman"/>
          <w:b/>
          <w:bCs/>
          <w:sz w:val="24"/>
          <w:szCs w:val="24"/>
        </w:rPr>
        <w:t xml:space="preserve"> VAŽEĆEG ZAKONA KOJE SE M</w:t>
      </w:r>
      <w:r w:rsidRPr="000479E9">
        <w:rPr>
          <w:rFonts w:ascii="Times New Roman" w:hAnsi="Times New Roman" w:cs="Times New Roman"/>
          <w:b/>
          <w:bCs/>
          <w:sz w:val="24"/>
          <w:szCs w:val="24"/>
        </w:rPr>
        <w:t>I</w:t>
      </w:r>
      <w:r w:rsidR="009A303F" w:rsidRPr="000479E9">
        <w:rPr>
          <w:rFonts w:ascii="Times New Roman" w:hAnsi="Times New Roman" w:cs="Times New Roman"/>
          <w:b/>
          <w:bCs/>
          <w:sz w:val="24"/>
          <w:szCs w:val="24"/>
        </w:rPr>
        <w:t>JENJAJU, ODNOSNO DOPUNJUJU</w:t>
      </w:r>
    </w:p>
    <w:p w14:paraId="21476D67" w14:textId="77777777" w:rsidR="000B1EFF" w:rsidRPr="000479E9" w:rsidRDefault="000B1EFF" w:rsidP="000B1EFF">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Prijenos propisa Europske unije</w:t>
      </w:r>
    </w:p>
    <w:p w14:paraId="4C3CCA6E" w14:textId="00EF8E1F" w:rsidR="000B1EFF" w:rsidRPr="000479E9" w:rsidRDefault="000B1EFF" w:rsidP="000B1EFF">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2.</w:t>
      </w:r>
    </w:p>
    <w:p w14:paraId="012BD976" w14:textId="77777777" w:rsidR="00A91B71" w:rsidRPr="000479E9" w:rsidRDefault="00A91B71" w:rsidP="000B1EFF">
      <w:pPr>
        <w:spacing w:after="0" w:line="240" w:lineRule="auto"/>
        <w:jc w:val="center"/>
        <w:rPr>
          <w:rFonts w:ascii="Times New Roman" w:hAnsi="Times New Roman" w:cs="Times New Roman"/>
          <w:sz w:val="24"/>
          <w:szCs w:val="24"/>
        </w:rPr>
      </w:pPr>
    </w:p>
    <w:p w14:paraId="10CE0E9D"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Ovim se Zakonom u hrvatsko zakonodavstvo preuzimaju sljedeći akti Europske unije:</w:t>
      </w:r>
    </w:p>
    <w:p w14:paraId="4C134C17"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Direktiva 89/117/EEZ Vijeća od 13. veljače 1989. o obvezama podružnica osnovanih u državi članici kreditnih i financijskih institucija koje imaju sjedište izvan te države članice, u pogledu objavljivanja godišnjih računovodstvenih dokumenata (SL L 44, 16. 2. 1989.)</w:t>
      </w:r>
    </w:p>
    <w:p w14:paraId="1B5AEAE5"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Direktiva 97/9/EZ Europskog parlamenta i Vijeća od 3. ožujka 1997. o sustavima naknada štete za investitore (SL L 84, 26. 3. 1997.) (u daljnjem tekstu: Direktiva 97/9/EZ)</w:t>
      </w:r>
    </w:p>
    <w:p w14:paraId="09F2132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Direktiva 98/26/EZ Europskog parlamenta i Vijeća od 19. svibnja 1998. o konačnosti namire u platnim sustavima i sustavima za namiru vrijednosnih papira (SL L 166, 11. 6. 1998.), kako je posljednje izmijenjena Uredbom (EU) br. 909/2014 Europskog parlamenta i Vijeća od 23. srpnja 2014. o poboljšanju namire vrijednosnih papira u Europskoj uniji i o središnjim depozitorijima vrijednosnih papira, te izmjeni direktiva 98/26/EZ i 2014/65/EU te Uredbe (EU) br. 236/2012 (Tekst značajan za EGP) (SL L 257, 28. 8. 2014.) (u daljnjem tekstu: Direktiva 98/26/EZ)</w:t>
      </w:r>
    </w:p>
    <w:p w14:paraId="26D6AA33"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Direktiva 2001/34/EZ Europskog parlamenta i Vijeća od 28. svibnja 2001. o uvrštenju vrijednosnih papira u službenu kotaciju burze te o informacijama koje treba objaviti o tim vrijednosnim papirima (SL L 184, 6. 7. 2001.) (u daljnjem tekstu: Direktiva 2001/34/EZ)</w:t>
      </w:r>
    </w:p>
    <w:p w14:paraId="144C1BE1"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Direktiva 2004/109/EZ Europskog parlamenta i Vijeća od 15. prosinca 2004. o usklađivanju zahtjeva za transparentnošću u vezi s informacijama o izdavateljima čiji su vrijednosni papiri uvršteni za trgovanje na uređenom tržištu i o izmjeni Direktive 2001/34/EZ (SL L 390, 31. 12. 2004.), kako je posljednji put izmijenjena Direktivom (EU) 2023/2864 Europskog parlamenta i Vijeća od 13. prosinca 2023. o izmjeni određenih direktiva u pogledu uspostave i funkcioniranja jedinstvene europske pristupne točke (Tekst značajan za EGP) (SL L 2023/2864, 20. 12. 2023.) (u daljnjem tekstu: Direktiva 2004/109 EZ)</w:t>
      </w:r>
    </w:p>
    <w:p w14:paraId="46D646CD"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Direktiva Komisije 2007/14/EZ od 8. ožujka 2007. o utvrđivanju detaljnih pravila za provedbu određenih odredbi Direktive 2004/109/EZ o usklađivanju zahtjeva za transparentnošću u odnosu na informacije o izdavateljima čiji su vrijednosni papiri uvršteni za trgovanje na uređenom tržištu (SL L 69, 9. 3. 2007.), kako je posljednje izmijenjena Direktivom 2013/50/EU Europskog parlamenta i Vijeća od 22. listopada 2013. o izmjenama Direktive 2004/109/EZ Europskog parlamenta i Vijeća o usklađivanju zahtjeva za transparentnošću u vezi s informacijama o izdavateljima čiji su vrijednosni papiri uvršteni za trgovanje na uređenom tržištu, Direktive 2003/71/EZ Europskog parlamenta i Vijeća o prospektu koji je potrebno objaviti prilikom javne ponude vrijednosnih papira ili prilikom uvrštavanja u trgovanje i Direktive Komisije 2007/14/EZ o utvrđivanju detaljnih pravila za provedbu određenih odredbi Direktive 2004/109/EZ (Tekst značajan za EGP) (SL L 294, 6. 11. 2013.)</w:t>
      </w:r>
    </w:p>
    <w:p w14:paraId="25670BED"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7. Direktiva 2013/36/EU Europskog parlamenta i Vijeća od 26. lipnja 2013. o pristupanju djelatnosti kreditnih institucija i bonitetnom nadzoru nad kreditnim institucijama i investicijskim društvima, izmjeni Direktive 2002/87/EZ te stavljanju izvan snage direktiva 2006/48/EZ i 2006/49/EZ (Tekst značajan za EGP) (SL L 176, 27. 6. 2013.) (u daljnjem tekstu: Direktiva 2013/36/EU)</w:t>
      </w:r>
    </w:p>
    <w:p w14:paraId="7D415AA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Direktiva 2014/51/EU Europskog parlamenta i Vijeća od 16. travnja 2014. o izmjeni direktiva 2003/71/EZ i 2009/138/EZ te uredbi (EZ) br. 1060/2009, (EU) br. 1094/2010 i (EU) br. 1095/2010 u pogledu ovlasti Europskog nadzornog tijela (Europskog nadzornog tijela za osiguranje i strukovno mirovinsko osiguranje) i Europskog nadzornog tijela (Europskog nadzornog tijela za vrijednosne papire i tržišta kapitala) (SL L 153, 22. 5. 2014.)</w:t>
      </w:r>
    </w:p>
    <w:p w14:paraId="4F40F8BD"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Direktiva 2014/57/EU Europskog parlamenta i Vijeća od 16. travnja 2014. o kaznenopravnim sankcijama za zlouporabu tržišta (Direktiva o zlouporabi tržišta) (SL L 173, 12. 6. 2014.)</w:t>
      </w:r>
    </w:p>
    <w:p w14:paraId="0A934C98"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Direktiva 2014/59/EU Europskog parlamenta i Vijeća od 15. svibnja 2014. o uspostavi okvira za oporavak i sanaciju kreditnih institucija i investicijskih društava te o izmjeni Direktive Vijeća 82/891/EEZ i direktiva 2001/24/EZ, 2002/47/EZ, 2004/25/EZ, 2005/56/EZ, 2007/36/EZ, 2011/35/EU, 2012/30/EU i 2013/36/EU te uredbi (EU) br. 1093/2010 i (EU) br. 648/2012 Europskog parlamenta i Vijeća (Tekst značajan za EGP) (SL L 173, 12. 6. 2014.)</w:t>
      </w:r>
    </w:p>
    <w:p w14:paraId="4FEE2634"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Direktiva 2014/65/EU Europskog parlamenta i Vijeća od 15. svibnja 2014. o tržištu financijskih instrumenata i izmjeni Direktive 2002/92/EZ i Direktive 2011/61/EU (preinačena) (Tekst značajan za EGP) (SL L 173, 12. 6. 2014.), kako je posljednje izmijenjena Uredbom (EU) 2022/858 Europskog parlamenta i Vijeća od 30. svibnja 2022. o pilot-režimu za tržišne infrastrukture temeljene na tehnologiji distribuiranog zapisa i o izmjeni uredaba (EU) br. 600/2014 i (EU) br. 909/2014 te Direktive 2014/65/EU (Tekst značajan za EGP) (SL L 151 2. 6. 2022.), koja je posljednji put izmijenjena Direktivom (EU) 2024/790 Europskog parlamenta i Vijeća od 28. veljače 2024. o izmjeni Direktive 2014/65/EU o tržištu financijskih instrumenata (Tekst značajan za EGP) (SL L 2024/790, 8. 3. 2024.) (u daljnjem tekstu: Direktiva 2014/65/EU)</w:t>
      </w:r>
    </w:p>
    <w:p w14:paraId="7E3C8190"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 Direktiva (EU) 2016/1034 Europskog parlamenta i Vijeća od 23. lipnja 2016. o izmjeni Direktive 2014/65/EU o tržištu financijskih instrumenata (Tekst značajan za EGP) (SL L 175, 30. 6. 2016.)</w:t>
      </w:r>
    </w:p>
    <w:p w14:paraId="724367F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Delegirana direktiva Komisije (EU) 2017/593 od 7. travnja 2016. o dopuni Direktive 2014/65 Europskog parlamenta i Vijeća u vezi sa zaštitom financijskih instrumenata i novčanih sredstava koja pripadaju klijentima, obvezama upravljanja proizvodima i pravilima koja se primjenjuju na davanje ili primanje naknada, provizija ili novčanih ili nenovčanih koristi (Tekst značajan za EGP) (SL 87, 31. 3. 2017.)</w:t>
      </w:r>
    </w:p>
    <w:p w14:paraId="1EF9970D"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Direktiva (EU) 2019/878 Europskog parlamenta i Vijeća od 20. svibnja 2019. o izmjeni Direktive 2013/36/EU u pogledu izuzetih subjekata, financijskih holdinga, mješovitih financijskih holdinga, primitaka, nadzornih mjera i ovlasti te mjera za očuvanje kapitala (Tekst značajan za EGP) (SL L 150, 7. 6. 2019.)</w:t>
      </w:r>
    </w:p>
    <w:p w14:paraId="68249979"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15. Direktiva (EU) 2019/2034 Europskog parlamenta i Vijeća od 27. studenoga 2019. o bonitetnom nadzoru nad investicijskim društvima i izmjeni direktiva 2002/87/EZ, </w:t>
      </w:r>
      <w:r w:rsidRPr="000479E9">
        <w:rPr>
          <w:rFonts w:ascii="Times New Roman" w:hAnsi="Times New Roman" w:cs="Times New Roman"/>
          <w:sz w:val="24"/>
          <w:szCs w:val="24"/>
        </w:rPr>
        <w:lastRenderedPageBreak/>
        <w:t>2009/65/EZ, 2011/61/EU, 2013/36/EU, 2014/59/EU i 2014/65/EU (Tekst značajan za EGP) (SL L 314, 5. 12. 2019.), kako je posljednje izmijenjena Direktivom (EU) 2023/2864 Europskog parlamenta i Vijeća od 13. prosinca 2023. o izmjeni određenih direktiva u pogledu uspostave i funkcioniranja jedinstvene europske pristupne točke (Tekst značajan za EGP) (SL L, 2023/2864, 20. 12. 2023.) (u daljnjem tekstu: Direktiva (EU) 2019/2034).</w:t>
      </w:r>
    </w:p>
    <w:p w14:paraId="5F20A94C"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 Direktiva (EU) 2019/2177 Europskog parlamenta i Vijeća od 18. prosinca 2019. o izmjeni Direktive 2009/138/EZ o osnivanju i obavljanju djelatnosti osiguranja i reosiguranja (Solventnost II), Direktive 2014/65/EU o tržištu financijskih instrumenata i Direktive (EU) 2015/849 o sprečavanju korištenja financijskog sustava u svrhu pranja novca ili financiranja terorizma (Tekst značajan za EGP) (SL L 334, 27. 12. 2019.)</w:t>
      </w:r>
    </w:p>
    <w:p w14:paraId="030BA97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 Direktiva (EU) 2020/1504 Europskog parlamenta i Vijeća od 7. listopada 2020. o izmjeni Direktive 2014/65/EU o tržištu financijskih instrumenata (Tekst značajan za EGP) (SL L 347, 20. 10. 2020.)</w:t>
      </w:r>
    </w:p>
    <w:p w14:paraId="71721B4A"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 Direktiva (EU) 2021/338 Europskog parlamenta i Vijeća od 16. veljače 2021. o izmjeni Direktive 2014/65/EU u pogledu zahtjeva za informacije, upravljanja proizvodima i ograničenja pozicija te direktiva 2013/36/EU i (EU) 2019/878 u pogledu njihove primjene na investicijska društva, radi potpore oporavku od krize uzrokovane bolešću COVlD-19 (Tekst značajan za EGP) (SL L 68, 26. 2. 2021.)</w:t>
      </w:r>
    </w:p>
    <w:p w14:paraId="418DE1E4"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 Direktiva (EU) 2022/2556 Europskog parlamenta i Vijeća od 14. prosinca 2022. o izmjeni direktiva 2009/65/EZ, 2009/138/EZ, 2011/61/EU, 2013/36/EU, 2014/59/EU, 2014/65/EU, (EU) 2015/2366 i (EU) 2016/2341 u pogledu digitalne operativne otpornosti za financijski sektor (Tekst značajan za EGP) (SL L 333, 27. 12. 2022.)</w:t>
      </w:r>
    </w:p>
    <w:p w14:paraId="7B1FC9E8"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 Direktiva (EU) 2023/2864 Europskog parlamenta i Vijeća od 13. prosinca 2023. o izmjeni određenih direktiva u pogledu uspostave i funkcioniranja jedinstvene europske pristupne točke (Tekst značajan za EGP) (SL L 2023/2864, 20. 12. 2023.)</w:t>
      </w:r>
    </w:p>
    <w:p w14:paraId="0D91C092"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21. Direktiva (EU) 2017/2399 Europskog parlamenta i Vijeća od 12. prosinca 2017. o izmjeni Direktive 2014/59/EU u pogledu rangiranja neosiguranih dužničkih instrumenata u insolvencijskoj hijerarhiji (SL L 345, 27. 12. 2017.)</w:t>
      </w:r>
    </w:p>
    <w:p w14:paraId="2B955B1C"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22. Direktiva (EU) 2019/879 Europskog parlamenta i Vijeća od 20. svibnja 2019. o izmjeni Direktive 2014/59/EU u pogledu kapaciteta pokrivanja gubitaka i dokapitalizacije kreditnih institucija i investicijskih društava te Direktive 98/26/EZ (SL L 150, 7. 6. 2019.)</w:t>
      </w:r>
    </w:p>
    <w:p w14:paraId="1BD5123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23. Direktiva (EU) 2025/794 Europskog parlamenta i Vijeća od 14. travnja 2025. o izmjeni direktiva (EU) 2022/2464 i (EU) 2024/1760 u pogledu datuma od kojih države članice moraju primjenjivati određene zahtjeve za korporativno izvješćivanje o održivosti i dubinsku analizu za održivo poslovanje (Tekst značajan za EGP) (SL L 2025/794, 16. 4. 2025.)</w:t>
      </w:r>
    </w:p>
    <w:p w14:paraId="5829C2E4"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24. Direktiva (EU) 2024/1619 Europskog parlamenta i Vijeća od 31. svibnja 2024. o izmjeni Direktive 2013/36/EU u pogledu nadzornih ovlasti, sankcija, podružnica iz trećih zemalja i okolišnih, socijalnih i upravljačkih rizika (Tekst značajan za EGP) (SL L 2024/1619, 19. 6. 2024.) (u daljnjem tekstu: Direktiva (EU) 2024/1619)</w:t>
      </w:r>
    </w:p>
    <w:p w14:paraId="55269405"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25. Direktiva (EU) 2026/470 Europskog parlamenta i Vijeća o izmjeni direktiva (EU) 2006/43/EC, 2013/34/EU, (EU) 2022/2464 i (EU) 2024/1760 u pogledu određenih zahtjeva za korporativno izvješćivanje o održivosti i određenih zahtjeva dubinske analize za održivo poslovanje (Tekst značajan za EGP) (SL L 2026/470, 26. 2. 2026.) (u daljnjem tekstu: Direktiva (EU) 2026/470).</w:t>
      </w:r>
    </w:p>
    <w:p w14:paraId="440972E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Ovim se Zakonom osigurava provedba sljedećih akata Europske unije:</w:t>
      </w:r>
    </w:p>
    <w:p w14:paraId="398B22FA"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Uredba Komisije (EZ) br. 1287/2006 od 10. kolovoza 2006. o provedbi Direktive 2004/39/EZ Europskog parlamenta i Vijeća u vezi s obvezom vođenja evidencija investicijskih društava, izvještavanjem o transakcijama, transparentnosti tržišta, uvrštavanjem financijskih instrumenata za trgovanje i određenim pojmovima za potrebe navedene Direktive (Tekst značajan za EGP) (SL L 241, 2. 9. 2006.)</w:t>
      </w:r>
    </w:p>
    <w:p w14:paraId="29C996BB"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Uredba (EU) br. 648/2012 Europskog parlamenta i Vijeća od 4. srpnja 2012. o OTC izvedenicama, središnjoj drugoj ugovornoj strani i trgovinskom repozitoriju (Tekst značajan za EGP) (SL L 201, 27. 7. 2012.) (u daljnjem tekstu: Uredba (EU) br. 648/2012)</w:t>
      </w:r>
    </w:p>
    <w:p w14:paraId="35A84978"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Uredba (EU) br. 575/2013 Europskog parlamenta i Vijeća od 26. lipnja 2013. o bonitetnim zahtjevima za kreditne institucije i investicijska društva i o izmjeni Uredbe (EU) br. 648/2012 (Tekst značajan za EGP) (SL L 176, 27. 6. 2013.) (u daljnjem tekstu: Uredba (EU) br. 575/2013)</w:t>
      </w:r>
    </w:p>
    <w:p w14:paraId="141749A7"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Uredba (EU) br. 596/2014 Europskog parlamenta i Vijeća od 16. travnja 2014. o zlouporabi tržišta (Uredba o zlouporabi tržišta) te stavljanju izvan snage Direktive 2003/6/EZ Europskog parlamenta i Vijeća i direktiva Komisije 2003/124/EZ, 2003/125/EZ i 2004/72/EZ (Tekst značajan za EGP) (SL L 173, 12. 6. 2014.), kako je posljednji put izmijenjena Uredbom (EU) 2023/2869 Europskog parlamenta i Vijeća od 13. prosinca 2023. o izmjeni određenih uredbi u pogledu uspostave i funkcioniranja jedinstvene europske pristupne točke (Tekst značajan za EGP) (SL L 2023/2869, 20. 12. 2023.) (u daljnjem tekstu: Uredba (EU) br. 596/2014)</w:t>
      </w:r>
    </w:p>
    <w:p w14:paraId="5C7142F7"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Uredba (EU) br. 600/2014 Europskog parlamenta i Vijeća od 15. svibnja 2014. o tržištima financijskih instrumenata i izmjeni Uredbe (EU) br. 648/2012 (Tekst značajan za EGP) (SL L 173, 12. 6. 2014.) kako je posljednji put izmijenjena Uredbom (EU) 2024/791 Europskog parlamenta i Vijeća od 28. veljače 2024. o izmjeni Uredbe (EU) br. 600/2014 u pogledu poboljšanja transparentnosti podataka, uklanjanja prepreka uvođenju konsolidiranih podataka, optimizacije obveza trgovanja i zabrane primanja plaćanja za tok naloga (Tekst značajan za EGP) (SL L 2024/791, 8. 3. 2024.), kako je posljednji put izmijenjena Uredbom (EU) 2023/2869 Europskog parlamenta i Vijeća od 13. prosinca 2023. o izmjeni određenih uredbi u pogledu uspostave i funkcioniranja jedinstvene europske pristupne točke (Tekst značajan za EGP) (SL L 2023/2869, 20. 12. 2023.) (u daljnjem tekstu: Uredba (EU) br. 600/2014)</w:t>
      </w:r>
    </w:p>
    <w:p w14:paraId="0022D986"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6. Uredba (EU) br. 909/2014 Europskog parlamenta i Vijeća od 23. srpnja 2014. o poboljšanju namire vrijednosnih papira u Europskoj uniji i o središnjim depozitorijima vrijednosnih papira te izmjeni direktiva 98/26/EZ i 2014/65/EU te Uredbe (EU) br. 236/2012 kako je posljednje izmijenjena Uredbom (EU) 2023/2845 Europskog parlamenta i Vijeća od 13. prosinca 2023. o izmjeni Uredbe (EU) br. 909/2014 u pogledu discipline namire, prekograničnog pružanja usluga, suradnje u području nadzora, pružanja pomoćnih usluga bankovnog tipa i zahtjeva za središnje depozitorije </w:t>
      </w:r>
      <w:r w:rsidRPr="000479E9">
        <w:rPr>
          <w:rFonts w:ascii="Times New Roman" w:hAnsi="Times New Roman" w:cs="Times New Roman"/>
          <w:sz w:val="24"/>
          <w:szCs w:val="24"/>
        </w:rPr>
        <w:lastRenderedPageBreak/>
        <w:t>vrijednosnih papira iz trećih zemalja te o izmjeni Uredbe (EU) br. 236/2012 (Tekst značajan za EGP) (SL L 2023/2845, 27. 12. 2023.) (u daljnjem tekstu: Uredba (EU) br. 909/2014)</w:t>
      </w:r>
    </w:p>
    <w:p w14:paraId="53FF8A59"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Uredba (EU) 2016/1033 Europskog parlamenta i Vijeća od 23. lipnja 2016. o izmjeni Uredbe (EU) br. 600/2014 o tržištima financijskih instrumenata, Uredbe (EU) br. 596/2014 o zlouporabi tržišta i Uredbe (EU) br. 909/2014 o poboljšanju namire vrijednosnih papira u Europskoj uniji i o središnjim depozitorijima vrijednosnih papira (Tekst značajan za EGP) (SL L 175, 30. 6. 2016.)</w:t>
      </w:r>
    </w:p>
    <w:p w14:paraId="0D6B59AB"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Uredba (EU) 2017/1129 Europskog parlamenta i Vijeća od 14. lipnja 2017. o prospektu koji je potrebno objaviti prilikom javne ponude vrijednosnih papira ili prilikom uvrštavanja za trgovanje na uređenom tržištu te stavljanju izvan snage Direktive 2003/71/EZ (Tekst značajan za EGP) (SL L 168, 30. 6. 2017.), kako je posljednji put izmijenjena Uredbom (EU) 2023/2869 Europskog parlamenta i Vijeća od 13. prosinca 2023. o izmjeni određenih uredbi u pogledu uspostave i funkcioniranja jedinstvene europske pristupne točke (Tekst značajan za EGP) (SL L 2023/2869, 20. 12. 2023.) (u daljnjem tekstu: Uredba (EU) 2017/1129)</w:t>
      </w:r>
    </w:p>
    <w:p w14:paraId="6A5BB51C"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Uredba (EU) 2019/2033 Europskog parlamenta i Vijeća od 27. studenoga 2019. o bonitetnim zahtjevima za investicijska društva i o izmjeni uredaba (EU) br. 1093/2010, (EU) br. 575/2013, (EU) br. 600/2014 i (EU) br. 806/2014 (Tekst značajan za EGP) (SL L 314, 5. 12. 2019.), kako je posljednji put izmijenjena Uredbom (EU) 2023/2869 Europskog parlamenta i Vijeća od 13. prosinca 2023. o izmjeni određenih uredbi u pogledu uspostave i funkcioniranja jedinstvene europske pristupne točke (Tekst značajan za EGP) (SL L 2023/2869, 20. 12. 2023.) (u daljnjem tekstu: Uredba (EU) 2019/2033)</w:t>
      </w:r>
    </w:p>
    <w:p w14:paraId="5B3FD1A8"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Uredba (EU) 2022/858 Europskog parlamenta i Vijeća od 30. svibnja 2022. o pilot-režimu za tržišne infrastrukture temeljene na tehnologiji distribuiranog zapisa i o izmjeni uredaba (EU) br. 600/2014 i (EU) br. 909/2014 te Direktive 2014/65/EU (Tekst značajan za EGP) (SL L 151 2. 6. 2022.) (u daljnjem tekstu: Uredba (EU) 2022/858).</w:t>
      </w:r>
    </w:p>
    <w:p w14:paraId="3A5AF5B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Hrvatska agencija za nadzor financijskih usluga nadležna je i odgovorna za provedbu i nadzor primjene ovoga Zakona i uredbi Europske unije iz stavka 2. ovoga članka te je tijelo za kontakt s europskim nadzornim tijelima u smislu ovoga Zakona i Uredbe (EU) br. 600/2014. Kada je ovim Zakonom propisana ovlast Hrvatske agencije za nadzor financijskih usluga za donošenje pravilnika, taj pravilnik donosi Upravno vijeće Hrvatske agencije za nadzor financijskih usluga.</w:t>
      </w:r>
    </w:p>
    <w:p w14:paraId="4E926073"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Smjernice koje europska nadzorna tijela donose u skladu sa svojim ovlastima obvezujuće su za Agenciju i osobe čije su obveze definirane odredbama ovoga Zakona i relevantnih propisa, i to u opsegu koji je određen očitovanjem Agencije iz točke 1. ovoga stavka, ako su ispunjeni sljedeći uvjeti:</w:t>
      </w:r>
    </w:p>
    <w:p w14:paraId="608B013B"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da se, sukladno proceduri propisanoj uredbama kojima se osnivaju europska nadzorna tijela, Agencija očitovala da se obvezuje u cijelosti ili djelomično pridržavati odredbi pojedinih smjernica ili da se do određenog roka namjerava uskladiti s pojedinim smjernicama i</w:t>
      </w:r>
    </w:p>
    <w:p w14:paraId="4FBB0C06"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da je Agencija na svojoj internetskoj stranici objavila obavijest o očitovanju iz točke 1. ovoga stavka, pri čemu su stupanje na snagu i početak primjene određeni </w:t>
      </w:r>
      <w:r w:rsidRPr="000479E9">
        <w:rPr>
          <w:rFonts w:ascii="Times New Roman" w:hAnsi="Times New Roman" w:cs="Times New Roman"/>
          <w:sz w:val="24"/>
          <w:szCs w:val="24"/>
        </w:rPr>
        <w:lastRenderedPageBreak/>
        <w:t>pojedinim smjernicama, osim kada se Agencija očitovala o namjeri usklađenja s pojedinim smjernicama do određenog roka, u kojem slučaju su stupanje na snagu i početak primjene određeni očitovanjem iz točke 1. ovoga stavka.</w:t>
      </w:r>
    </w:p>
    <w:p w14:paraId="55C928FB"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Agencija na svojoj internetskoj stranici objavljuje poveznice na tekstove smjernica kojih će se Agencija i/ili subjekti nadzora u cijelosti ili djelomično pridržavati ili s kojima se do određenog roka namjerava uskladiti, zajedno s obavijesti koja će u odnosu na pojedine smjernice sadržavati sljedeće informacije:</w:t>
      </w:r>
    </w:p>
    <w:p w14:paraId="2136071E"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na koje se subjekte nadzora smjernica odnosi</w:t>
      </w:r>
    </w:p>
    <w:p w14:paraId="30BBCCE3"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primjenjuje li se smjernica u cijelosti ili djelomično i</w:t>
      </w:r>
    </w:p>
    <w:p w14:paraId="2FAFE2C7"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datum stupanja na snagu i početka primjene smjernice, s definiranim prijelaznim razdobljima, ako je primjenjivo.</w:t>
      </w:r>
    </w:p>
    <w:p w14:paraId="099BBC9F" w14:textId="77777777" w:rsidR="001E7591"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Subjekti nadzora Agencije i osobe na koje se smjernice iz stavka 4. ovoga članka primjenjuju dužni su poduzeti sve potrebne aktivnosti radi usklađenja s tim smjernicama, u opsegu i rokovima koji su određeni u obavijesti Agencije iz stavka 4. točke 2. ovoga članka.</w:t>
      </w:r>
    </w:p>
    <w:p w14:paraId="44ADBC2E" w14:textId="369FC873" w:rsidR="003210D0" w:rsidRPr="000479E9" w:rsidRDefault="001E7591" w:rsidP="001E759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O zadaćama i odgovornostima koje su joj dodijeljene ovim Zakonom Hrvatska agencija za nadzor financijskih usluga obavještava Europsku komisiju, ESMA-u, nadležna tijela država članica i kada je primjenjivo EBA-u.</w:t>
      </w:r>
    </w:p>
    <w:p w14:paraId="4B7912E2" w14:textId="63604F03" w:rsidR="001428EC" w:rsidRPr="000479E9" w:rsidRDefault="001428EC" w:rsidP="001428EC">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w:t>
      </w:r>
    </w:p>
    <w:p w14:paraId="00C41AC2" w14:textId="77777777" w:rsidR="00A91B71" w:rsidRPr="000479E9" w:rsidRDefault="00A91B71" w:rsidP="001428EC">
      <w:pPr>
        <w:spacing w:after="0" w:line="240" w:lineRule="auto"/>
        <w:jc w:val="center"/>
        <w:rPr>
          <w:rFonts w:ascii="Times New Roman" w:hAnsi="Times New Roman" w:cs="Times New Roman"/>
          <w:sz w:val="24"/>
          <w:szCs w:val="24"/>
        </w:rPr>
      </w:pPr>
    </w:p>
    <w:p w14:paraId="7ED6555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Pojedini pojmovi u smislu ovoga Zakona imaju sljedeće značenje:</w:t>
      </w:r>
    </w:p>
    <w:p w14:paraId="7F950AB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w:t>
      </w:r>
      <w:r w:rsidRPr="000479E9">
        <w:rPr>
          <w:rFonts w:ascii="Times New Roman" w:hAnsi="Times New Roman" w:cs="Times New Roman"/>
          <w:i/>
          <w:iCs/>
          <w:sz w:val="24"/>
          <w:szCs w:val="24"/>
        </w:rPr>
        <w:t>Agencija </w:t>
      </w:r>
      <w:r w:rsidRPr="000479E9">
        <w:rPr>
          <w:rFonts w:ascii="Times New Roman" w:hAnsi="Times New Roman" w:cs="Times New Roman"/>
          <w:sz w:val="24"/>
          <w:szCs w:val="24"/>
        </w:rPr>
        <w:t>je Hrvatska agencija za nadzor financijskih usluga čije su nadležnosti i djelokrug propisani Zakonom o Hrvatskoj agenciji za nadzor financijskih usluga (»Narodne novine«, br. 140/05., 154/11. i 12/12.) i ovim Zakonom</w:t>
      </w:r>
    </w:p>
    <w:p w14:paraId="13C961D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w:t>
      </w:r>
      <w:r w:rsidRPr="000479E9">
        <w:rPr>
          <w:rFonts w:ascii="Times New Roman" w:hAnsi="Times New Roman" w:cs="Times New Roman"/>
          <w:i/>
          <w:iCs/>
          <w:sz w:val="24"/>
          <w:szCs w:val="24"/>
        </w:rPr>
        <w:t>algoritamsko trgovanje </w:t>
      </w:r>
      <w:r w:rsidRPr="000479E9">
        <w:rPr>
          <w:rFonts w:ascii="Times New Roman" w:hAnsi="Times New Roman" w:cs="Times New Roman"/>
          <w:sz w:val="24"/>
          <w:szCs w:val="24"/>
        </w:rPr>
        <w:t>je trgovanje financijskim instrumentima na način da računalni algoritam automatski određuje pojedinačne parametre naloga, kao što je odluka da se pokrene postupak davanja naloga, trenutak davanja naloga, cijena ili količina ili način upravljanja nalogom nakon njegova davanja, uz ograničenu ljudsku intervenciju ili bez nje. Algoritamsko trgovanje ne obuhvaća sustave koji se koriste samo za usmjeravanje naloga na jedno ili više mjesta trgovanja ili za obradu naloga bez određivanja parametara trgovanja ili za potvrdu naloga ili obradu izvršenih transakcija nakon trgovanja</w:t>
      </w:r>
    </w:p>
    <w:p w14:paraId="2FBBD1C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w:t>
      </w:r>
      <w:r w:rsidRPr="000479E9">
        <w:rPr>
          <w:rFonts w:ascii="Times New Roman" w:hAnsi="Times New Roman" w:cs="Times New Roman"/>
          <w:i/>
          <w:iCs/>
          <w:sz w:val="24"/>
          <w:szCs w:val="24"/>
        </w:rPr>
        <w:t>bez odgode ili odmah ili bez odgađanja </w:t>
      </w:r>
      <w:r w:rsidRPr="000479E9">
        <w:rPr>
          <w:rFonts w:ascii="Times New Roman" w:hAnsi="Times New Roman" w:cs="Times New Roman"/>
          <w:sz w:val="24"/>
          <w:szCs w:val="24"/>
        </w:rPr>
        <w:t>znači poduzimanje neke radnje ili posla najkasnije sljedeći radni dan</w:t>
      </w:r>
    </w:p>
    <w:p w14:paraId="536B49C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w:t>
      </w:r>
      <w:r w:rsidRPr="000479E9">
        <w:rPr>
          <w:rFonts w:ascii="Times New Roman" w:hAnsi="Times New Roman" w:cs="Times New Roman"/>
          <w:i/>
          <w:iCs/>
          <w:sz w:val="24"/>
          <w:szCs w:val="24"/>
        </w:rPr>
        <w:t>certifikati </w:t>
      </w:r>
      <w:r w:rsidRPr="000479E9">
        <w:rPr>
          <w:rFonts w:ascii="Times New Roman" w:hAnsi="Times New Roman" w:cs="Times New Roman"/>
          <w:sz w:val="24"/>
          <w:szCs w:val="24"/>
        </w:rPr>
        <w:t>su certifikati kako su definirani u članku 2. stavku 1. točki 27. Uredbe (EU) br. 600/2014</w:t>
      </w:r>
    </w:p>
    <w:p w14:paraId="55FA67F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w:t>
      </w:r>
      <w:r w:rsidRPr="000479E9">
        <w:rPr>
          <w:rFonts w:ascii="Times New Roman" w:hAnsi="Times New Roman" w:cs="Times New Roman"/>
          <w:i/>
          <w:iCs/>
          <w:sz w:val="24"/>
          <w:szCs w:val="24"/>
        </w:rPr>
        <w:t>CSD treće zemlje </w:t>
      </w:r>
      <w:r w:rsidRPr="000479E9">
        <w:rPr>
          <w:rFonts w:ascii="Times New Roman" w:hAnsi="Times New Roman" w:cs="Times New Roman"/>
          <w:sz w:val="24"/>
          <w:szCs w:val="24"/>
        </w:rPr>
        <w:t>je CSD treće zemlje kako je definiran u članku 2. stavku 1. točki 2. Uredbe (EU) br. 909/2014</w:t>
      </w:r>
    </w:p>
    <w:p w14:paraId="0273D85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w:t>
      </w:r>
      <w:r w:rsidRPr="000479E9">
        <w:rPr>
          <w:rFonts w:ascii="Times New Roman" w:hAnsi="Times New Roman" w:cs="Times New Roman"/>
          <w:i/>
          <w:iCs/>
          <w:sz w:val="24"/>
          <w:szCs w:val="24"/>
        </w:rPr>
        <w:t>član sustava poravnanja </w:t>
      </w:r>
      <w:r w:rsidRPr="000479E9">
        <w:rPr>
          <w:rFonts w:ascii="Times New Roman" w:hAnsi="Times New Roman" w:cs="Times New Roman"/>
          <w:sz w:val="24"/>
          <w:szCs w:val="24"/>
        </w:rPr>
        <w:t>je član sustava poravnanja kojim upravlja središnja druga ugovorna strana kako je definirano u članku 2. stavku 1. točki 14. Uredbe (EU) br. 648/2012</w:t>
      </w:r>
    </w:p>
    <w:p w14:paraId="3140028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w:t>
      </w:r>
      <w:r w:rsidRPr="000479E9">
        <w:rPr>
          <w:rFonts w:ascii="Times New Roman" w:hAnsi="Times New Roman" w:cs="Times New Roman"/>
          <w:i/>
          <w:iCs/>
          <w:sz w:val="24"/>
          <w:szCs w:val="24"/>
        </w:rPr>
        <w:t>društva povezana zajedničkim vođenjem </w:t>
      </w:r>
      <w:r w:rsidRPr="000479E9">
        <w:rPr>
          <w:rFonts w:ascii="Times New Roman" w:hAnsi="Times New Roman" w:cs="Times New Roman"/>
          <w:sz w:val="24"/>
          <w:szCs w:val="24"/>
        </w:rPr>
        <w:t>su društva koja nisu povezana na način iz točaka 25. i 129. ovoga članka, već su povezana na jedan od sljedećih načina:</w:t>
      </w:r>
    </w:p>
    <w:p w14:paraId="7FAE15B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društva su ravnopravna i povezana zajedničkim vođenjem, u skladu sa sklopljenim ugovorom ili odredbama statuta</w:t>
      </w:r>
    </w:p>
    <w:p w14:paraId="5483029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b) većina članova uprave ili nadzornog odbora tih društava su iste osobe</w:t>
      </w:r>
    </w:p>
    <w:p w14:paraId="4106317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w:t>
      </w:r>
      <w:r w:rsidRPr="000479E9">
        <w:rPr>
          <w:rFonts w:ascii="Times New Roman" w:hAnsi="Times New Roman" w:cs="Times New Roman"/>
          <w:i/>
          <w:iCs/>
          <w:sz w:val="24"/>
          <w:szCs w:val="24"/>
        </w:rPr>
        <w:t>društvo kći </w:t>
      </w:r>
      <w:r w:rsidRPr="000479E9">
        <w:rPr>
          <w:rFonts w:ascii="Times New Roman" w:hAnsi="Times New Roman" w:cs="Times New Roman"/>
          <w:sz w:val="24"/>
          <w:szCs w:val="24"/>
        </w:rPr>
        <w:t>je ovisno društvo odnosno društvo kći u smislu zakona kojim se uređuje računovodstvo poduzetnika i primjena standarda financijskog izvještavanja, uključujući društvo kćer ovisnog društva odnosno društva kćeri krajnjeg matičnog društva</w:t>
      </w:r>
    </w:p>
    <w:p w14:paraId="25A3A1C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w:t>
      </w:r>
      <w:r w:rsidRPr="000479E9">
        <w:rPr>
          <w:rFonts w:ascii="Times New Roman" w:hAnsi="Times New Roman" w:cs="Times New Roman"/>
          <w:i/>
          <w:iCs/>
          <w:sz w:val="24"/>
          <w:szCs w:val="24"/>
        </w:rPr>
        <w:t>društvo iz treće zemlje </w:t>
      </w:r>
      <w:r w:rsidRPr="000479E9">
        <w:rPr>
          <w:rFonts w:ascii="Times New Roman" w:hAnsi="Times New Roman" w:cs="Times New Roman"/>
          <w:sz w:val="24"/>
          <w:szCs w:val="24"/>
        </w:rPr>
        <w:t>je društvo koje bi bilo kreditna institucija koja pruža investicijske usluge ili obavlja investicijske aktivnosti ili investicijsko društvo da mu se glavni ured ili registrirano sjedište nalazi u Europskoj uniji</w:t>
      </w:r>
    </w:p>
    <w:p w14:paraId="118328F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w:t>
      </w:r>
      <w:r w:rsidRPr="000479E9">
        <w:rPr>
          <w:rFonts w:ascii="Times New Roman" w:hAnsi="Times New Roman" w:cs="Times New Roman"/>
          <w:i/>
          <w:iCs/>
          <w:sz w:val="24"/>
          <w:szCs w:val="24"/>
        </w:rPr>
        <w:t>društvo za pomoćne usluge </w:t>
      </w:r>
      <w:r w:rsidRPr="000479E9">
        <w:rPr>
          <w:rFonts w:ascii="Times New Roman" w:hAnsi="Times New Roman" w:cs="Times New Roman"/>
          <w:sz w:val="24"/>
          <w:szCs w:val="24"/>
        </w:rPr>
        <w:t>je društvo čiju osnovnu djelatnost čini vlasništvo nad imovinom ili upravljanje njome, upravljanje uslugama obrade podataka ili slična djelatnost koja je pomoćna u odnosu na osnovnu djelatnost jednog investicijskog društva ili više njih</w:t>
      </w:r>
    </w:p>
    <w:p w14:paraId="6FC6558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w:t>
      </w:r>
      <w:r w:rsidRPr="000479E9">
        <w:rPr>
          <w:rFonts w:ascii="Times New Roman" w:hAnsi="Times New Roman" w:cs="Times New Roman"/>
          <w:i/>
          <w:iCs/>
          <w:sz w:val="24"/>
          <w:szCs w:val="24"/>
        </w:rPr>
        <w:t>društvo za upravljanje </w:t>
      </w:r>
      <w:r w:rsidRPr="000479E9">
        <w:rPr>
          <w:rFonts w:ascii="Times New Roman" w:hAnsi="Times New Roman" w:cs="Times New Roman"/>
          <w:sz w:val="24"/>
          <w:szCs w:val="24"/>
        </w:rPr>
        <w:t>je društvo za upravljanje kako je definirano zakonom kojim se uređuje osnivanje i rad otvorenih investicijskih fondova s javnom ponudom i društava za upravljanje koja njima upravljaju odnosno upravitelj alternativnim investicijskim fondovima kako je definirano zakonom kojim se uređuju alternativni investicijski fondovi</w:t>
      </w:r>
    </w:p>
    <w:p w14:paraId="26CB194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12. </w:t>
      </w:r>
      <w:r w:rsidRPr="000479E9">
        <w:rPr>
          <w:rFonts w:ascii="Times New Roman" w:hAnsi="Times New Roman" w:cs="Times New Roman"/>
          <w:i/>
          <w:iCs/>
          <w:sz w:val="24"/>
          <w:szCs w:val="24"/>
        </w:rPr>
        <w:t>država članica domaćin </w:t>
      </w:r>
      <w:r w:rsidRPr="000479E9">
        <w:rPr>
          <w:rFonts w:ascii="Times New Roman" w:hAnsi="Times New Roman" w:cs="Times New Roman"/>
          <w:sz w:val="24"/>
          <w:szCs w:val="24"/>
        </w:rPr>
        <w:t>je država članica, različita od matične države članice:</w:t>
      </w:r>
    </w:p>
    <w:p w14:paraId="58962D9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za investicijsko društvo, država članica u kojoj investicijsko društvo ima podružnicu ili obavlja investicijske usluge i/ili aktivnosti</w:t>
      </w:r>
    </w:p>
    <w:p w14:paraId="145F971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za uređeno tržište, država članica u kojoj uređeno tržište kroz odgovarajuće mehanizme olakšava članovima s udaljenim pristupom ili sudionicima s nastanom u toj državi članici pristup trgovanju u svom sustavu</w:t>
      </w:r>
    </w:p>
    <w:p w14:paraId="3233ADF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za središnji depozitorij, država članica u kojoj središnji depozitorij ima podružnicu ili pruža usluge kao CSD</w:t>
      </w:r>
    </w:p>
    <w:p w14:paraId="03A58C1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w:t>
      </w:r>
      <w:r w:rsidRPr="000479E9">
        <w:rPr>
          <w:rFonts w:ascii="Times New Roman" w:hAnsi="Times New Roman" w:cs="Times New Roman"/>
          <w:i/>
          <w:iCs/>
          <w:sz w:val="24"/>
          <w:szCs w:val="24"/>
        </w:rPr>
        <w:t>država članica </w:t>
      </w:r>
      <w:r w:rsidRPr="000479E9">
        <w:rPr>
          <w:rFonts w:ascii="Times New Roman" w:hAnsi="Times New Roman" w:cs="Times New Roman"/>
          <w:sz w:val="24"/>
          <w:szCs w:val="24"/>
        </w:rPr>
        <w:t>je država članica Europske unije i država potpisnica Ugovora o Europskom gospodarskom prostoru</w:t>
      </w:r>
    </w:p>
    <w:p w14:paraId="00FBFA0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w:t>
      </w:r>
      <w:r w:rsidRPr="000479E9">
        <w:rPr>
          <w:rFonts w:ascii="Times New Roman" w:hAnsi="Times New Roman" w:cs="Times New Roman"/>
          <w:i/>
          <w:iCs/>
          <w:sz w:val="24"/>
          <w:szCs w:val="24"/>
        </w:rPr>
        <w:t>Europska nadzorna tijela </w:t>
      </w:r>
      <w:r w:rsidRPr="000479E9">
        <w:rPr>
          <w:rFonts w:ascii="Times New Roman" w:hAnsi="Times New Roman" w:cs="Times New Roman"/>
          <w:sz w:val="24"/>
          <w:szCs w:val="24"/>
        </w:rPr>
        <w:t>su ESMA, EIOPA i EBA</w:t>
      </w:r>
    </w:p>
    <w:p w14:paraId="5DB4278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15. </w:t>
      </w:r>
      <w:r w:rsidRPr="000479E9">
        <w:rPr>
          <w:rFonts w:ascii="Times New Roman" w:hAnsi="Times New Roman" w:cs="Times New Roman"/>
          <w:i/>
          <w:iCs/>
          <w:sz w:val="24"/>
          <w:szCs w:val="24"/>
        </w:rPr>
        <w:t>EBA </w:t>
      </w:r>
      <w:r w:rsidRPr="000479E9">
        <w:rPr>
          <w:rFonts w:ascii="Times New Roman" w:hAnsi="Times New Roman" w:cs="Times New Roman"/>
          <w:sz w:val="24"/>
          <w:szCs w:val="24"/>
        </w:rPr>
        <w:t>je Europsko nadzorno tijelo za bankarstvo, osnovano Uredbom (EU) br. 1093/2010 Europskog parlamenta i Vijeća od 24. studenoga 2010. o osnivanju europskog nadzornog tijela (Europskog nadzornog tijela za bankarstvo), izmjeni Odluke br. 716/2009/EZ i stavljanju izvan snage Odluke Komisije 2009/78/EZ (SL L 331, 15. 12. 2010.) (u daljnjem tekstu: Uredba (EU) br. 1093/2010)</w:t>
      </w:r>
    </w:p>
    <w:p w14:paraId="635C397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16. </w:t>
      </w:r>
      <w:r w:rsidRPr="000479E9">
        <w:rPr>
          <w:rFonts w:ascii="Times New Roman" w:hAnsi="Times New Roman" w:cs="Times New Roman"/>
          <w:i/>
          <w:iCs/>
          <w:sz w:val="24"/>
          <w:szCs w:val="24"/>
        </w:rPr>
        <w:t>EIOPA </w:t>
      </w:r>
      <w:r w:rsidRPr="000479E9">
        <w:rPr>
          <w:rFonts w:ascii="Times New Roman" w:hAnsi="Times New Roman" w:cs="Times New Roman"/>
          <w:sz w:val="24"/>
          <w:szCs w:val="24"/>
        </w:rPr>
        <w:t>je Europsko nadzorno tijelo za osiguranje i strukovno mirovinsko osiguranje, osnovano Uredbom (EU) br. 1094/2010 Europskog parlamenta i Vijeća od 24. studenoga 2010. o osnivanju europskog nadzornog tijela (Europskog nadzornog tijela za osiguranje i strukovno mirovinsko osiguranje), o izmjeni Odluke br. 716/2009/EZ i o stavljanju izvan snage Odluke Komisije 2009/79/EZ (SL L 331, 15. 12. 2010.) (u daljnjem tekstu: Uredba (EU) br. 1094/2010)</w:t>
      </w:r>
    </w:p>
    <w:p w14:paraId="6416232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17. </w:t>
      </w:r>
      <w:r w:rsidRPr="000479E9">
        <w:rPr>
          <w:rFonts w:ascii="Times New Roman" w:hAnsi="Times New Roman" w:cs="Times New Roman"/>
          <w:i/>
          <w:iCs/>
          <w:sz w:val="24"/>
          <w:szCs w:val="24"/>
        </w:rPr>
        <w:t>ESMA </w:t>
      </w:r>
      <w:r w:rsidRPr="000479E9">
        <w:rPr>
          <w:rFonts w:ascii="Times New Roman" w:hAnsi="Times New Roman" w:cs="Times New Roman"/>
          <w:sz w:val="24"/>
          <w:szCs w:val="24"/>
        </w:rPr>
        <w:t>je Europsko nadzorno tijelo za vrijednosne papire i tržišta kapitala, osnovano Uredbom (EU) br. 1095/2010 Europskog parlamenta i Vijeća od 24. studenoga 2010. o osnivanju europskog nadzornog tijela (Europskog nadzornog tijela za vrijednosne papire i tržišta kapitala), kojom se izmjenjuje Odluka br. 716/2009/EZ i stavlja izvan snage Odluka Komisije 2009/77/EZ (EU) (SL L 331, 15. 12. 2010.)</w:t>
      </w:r>
    </w:p>
    <w:p w14:paraId="404ECE6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18. </w:t>
      </w:r>
      <w:r w:rsidRPr="000479E9">
        <w:rPr>
          <w:rFonts w:ascii="Times New Roman" w:hAnsi="Times New Roman" w:cs="Times New Roman"/>
          <w:i/>
          <w:iCs/>
          <w:sz w:val="24"/>
          <w:szCs w:val="24"/>
        </w:rPr>
        <w:t>ESRB </w:t>
      </w:r>
      <w:r w:rsidRPr="000479E9">
        <w:rPr>
          <w:rFonts w:ascii="Times New Roman" w:hAnsi="Times New Roman" w:cs="Times New Roman"/>
          <w:sz w:val="24"/>
          <w:szCs w:val="24"/>
        </w:rPr>
        <w:t>je Europski odbor za sistemske rizike osnovan Uredbom (EU) br. 1092/2010 Europskog parlamenta i Vijeća od 24. studenoga 2010. o makrobonitetnom nadzoru financijskog sustava Europske unije i osnivanju Europskog odbora za sistemske rizike</w:t>
      </w:r>
    </w:p>
    <w:p w14:paraId="2A522E3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19. </w:t>
      </w:r>
      <w:r w:rsidRPr="000479E9">
        <w:rPr>
          <w:rFonts w:ascii="Times New Roman" w:hAnsi="Times New Roman" w:cs="Times New Roman"/>
          <w:i/>
          <w:iCs/>
          <w:sz w:val="24"/>
          <w:szCs w:val="24"/>
        </w:rPr>
        <w:t>ESSB </w:t>
      </w:r>
      <w:r w:rsidRPr="000479E9">
        <w:rPr>
          <w:rFonts w:ascii="Times New Roman" w:hAnsi="Times New Roman" w:cs="Times New Roman"/>
          <w:sz w:val="24"/>
          <w:szCs w:val="24"/>
        </w:rPr>
        <w:t>je Europski sustav središnjih banaka</w:t>
      </w:r>
    </w:p>
    <w:p w14:paraId="2DC3250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20. </w:t>
      </w:r>
      <w:r w:rsidRPr="000479E9">
        <w:rPr>
          <w:rFonts w:ascii="Times New Roman" w:hAnsi="Times New Roman" w:cs="Times New Roman"/>
          <w:i/>
          <w:iCs/>
          <w:sz w:val="24"/>
          <w:szCs w:val="24"/>
        </w:rPr>
        <w:t>elektronički oblik </w:t>
      </w:r>
      <w:r w:rsidRPr="000479E9">
        <w:rPr>
          <w:rFonts w:ascii="Times New Roman" w:hAnsi="Times New Roman" w:cs="Times New Roman"/>
          <w:sz w:val="24"/>
          <w:szCs w:val="24"/>
        </w:rPr>
        <w:t>je svaki trajni medij osim papira</w:t>
      </w:r>
    </w:p>
    <w:p w14:paraId="326F865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21. </w:t>
      </w:r>
      <w:r w:rsidRPr="000479E9">
        <w:rPr>
          <w:rFonts w:ascii="Times New Roman" w:hAnsi="Times New Roman" w:cs="Times New Roman"/>
          <w:i/>
          <w:iCs/>
          <w:sz w:val="24"/>
          <w:szCs w:val="24"/>
        </w:rPr>
        <w:t>financijska druga ugovorna strana </w:t>
      </w:r>
      <w:r w:rsidRPr="000479E9">
        <w:rPr>
          <w:rFonts w:ascii="Times New Roman" w:hAnsi="Times New Roman" w:cs="Times New Roman"/>
          <w:sz w:val="24"/>
          <w:szCs w:val="24"/>
        </w:rPr>
        <w:t>je financijska druga ugovorna strana kako je definirana u članku 2. točki 8. Uredbe (EU) br. 648/2012</w:t>
      </w:r>
    </w:p>
    <w:p w14:paraId="7B81451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22. </w:t>
      </w:r>
      <w:r w:rsidRPr="000479E9">
        <w:rPr>
          <w:rFonts w:ascii="Times New Roman" w:hAnsi="Times New Roman" w:cs="Times New Roman"/>
          <w:i/>
          <w:iCs/>
          <w:sz w:val="24"/>
          <w:szCs w:val="24"/>
        </w:rPr>
        <w:t>financijska institucija </w:t>
      </w:r>
      <w:r w:rsidRPr="000479E9">
        <w:rPr>
          <w:rFonts w:ascii="Times New Roman" w:hAnsi="Times New Roman" w:cs="Times New Roman"/>
          <w:sz w:val="24"/>
          <w:szCs w:val="24"/>
        </w:rPr>
        <w:t>je financijska institucija kako je definirana u članku 4. stavku 1. točki 14. Uredbe (EU) br. 2019/2033</w:t>
      </w:r>
    </w:p>
    <w:p w14:paraId="294477D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23. </w:t>
      </w:r>
      <w:r w:rsidRPr="000479E9">
        <w:rPr>
          <w:rFonts w:ascii="Times New Roman" w:hAnsi="Times New Roman" w:cs="Times New Roman"/>
          <w:i/>
          <w:iCs/>
          <w:sz w:val="24"/>
          <w:szCs w:val="24"/>
        </w:rPr>
        <w:t>financijski analitičar </w:t>
      </w:r>
      <w:r w:rsidRPr="000479E9">
        <w:rPr>
          <w:rFonts w:ascii="Times New Roman" w:hAnsi="Times New Roman" w:cs="Times New Roman"/>
          <w:sz w:val="24"/>
          <w:szCs w:val="24"/>
        </w:rPr>
        <w:t>je financijski analitičar kako je definiran u članku 2. stavku 1. točki 2. Delegirane uredbe Komisije (EU) 2017/565 od 25. travnja 2016. o dopuni Direktive 2014/65/EU Europskog parlamenta i Vijeća u vezi s organizacijskim zahtjevima i uvjetima poslovanja investicijskih društava te izrazima definiranima za potrebe te Direktive (Tekst značajan za EGP) (SL 87/1, 31. 3. 2017.) (u daljnjem tekstu: Delegirana uredba (EU) br. 2017/565)</w:t>
      </w:r>
    </w:p>
    <w:p w14:paraId="42B76AD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24. </w:t>
      </w:r>
      <w:r w:rsidRPr="000479E9">
        <w:rPr>
          <w:rFonts w:ascii="Times New Roman" w:hAnsi="Times New Roman" w:cs="Times New Roman"/>
          <w:i/>
          <w:iCs/>
          <w:sz w:val="24"/>
          <w:szCs w:val="24"/>
        </w:rPr>
        <w:t xml:space="preserve">financijski instrumenti, </w:t>
      </w:r>
      <w:r w:rsidRPr="000479E9">
        <w:rPr>
          <w:rFonts w:ascii="Times New Roman" w:hAnsi="Times New Roman" w:cs="Times New Roman"/>
          <w:sz w:val="24"/>
          <w:szCs w:val="24"/>
        </w:rPr>
        <w:t>uključujući instrumente izdane primjenom tehnologije distribuiranog zapisa</w:t>
      </w:r>
      <w:r w:rsidRPr="000479E9">
        <w:rPr>
          <w:rFonts w:ascii="Times New Roman" w:hAnsi="Times New Roman" w:cs="Times New Roman"/>
          <w:i/>
          <w:iCs/>
          <w:sz w:val="24"/>
          <w:szCs w:val="24"/>
        </w:rPr>
        <w:t> </w:t>
      </w:r>
      <w:r w:rsidRPr="000479E9">
        <w:rPr>
          <w:rFonts w:ascii="Times New Roman" w:hAnsi="Times New Roman" w:cs="Times New Roman"/>
          <w:sz w:val="24"/>
          <w:szCs w:val="24"/>
        </w:rPr>
        <w:t>su:</w:t>
      </w:r>
    </w:p>
    <w:p w14:paraId="118BC41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prenosivi vrijednosni papiri</w:t>
      </w:r>
    </w:p>
    <w:p w14:paraId="39EE0FA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instrumenti tržišta novca</w:t>
      </w:r>
    </w:p>
    <w:p w14:paraId="7CDB521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udjeli u subjektima za zajednička ulaganja</w:t>
      </w:r>
    </w:p>
    <w:p w14:paraId="04E8D65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 izvedenice u koje se ubrajaju:</w:t>
      </w:r>
    </w:p>
    <w:p w14:paraId="73743C1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da) opcije (engl. </w:t>
      </w:r>
      <w:r w:rsidRPr="000479E9">
        <w:rPr>
          <w:rFonts w:ascii="Times New Roman" w:hAnsi="Times New Roman" w:cs="Times New Roman"/>
          <w:i/>
          <w:iCs/>
          <w:sz w:val="24"/>
          <w:szCs w:val="24"/>
        </w:rPr>
        <w:t>options), </w:t>
      </w:r>
      <w:r w:rsidRPr="000479E9">
        <w:rPr>
          <w:rFonts w:ascii="Times New Roman" w:hAnsi="Times New Roman" w:cs="Times New Roman"/>
          <w:sz w:val="24"/>
          <w:szCs w:val="24"/>
        </w:rPr>
        <w:t>budućnosnice (engl. </w:t>
      </w:r>
      <w:r w:rsidRPr="000479E9">
        <w:rPr>
          <w:rFonts w:ascii="Times New Roman" w:hAnsi="Times New Roman" w:cs="Times New Roman"/>
          <w:i/>
          <w:iCs/>
          <w:sz w:val="24"/>
          <w:szCs w:val="24"/>
        </w:rPr>
        <w:t>futures), </w:t>
      </w:r>
      <w:r w:rsidRPr="000479E9">
        <w:rPr>
          <w:rFonts w:ascii="Times New Roman" w:hAnsi="Times New Roman" w:cs="Times New Roman"/>
          <w:sz w:val="24"/>
          <w:szCs w:val="24"/>
        </w:rPr>
        <w:t>zamjene (engl. </w:t>
      </w:r>
      <w:r w:rsidRPr="000479E9">
        <w:rPr>
          <w:rFonts w:ascii="Times New Roman" w:hAnsi="Times New Roman" w:cs="Times New Roman"/>
          <w:i/>
          <w:iCs/>
          <w:sz w:val="24"/>
          <w:szCs w:val="24"/>
        </w:rPr>
        <w:t>swaps), </w:t>
      </w:r>
      <w:r w:rsidRPr="000479E9">
        <w:rPr>
          <w:rFonts w:ascii="Times New Roman" w:hAnsi="Times New Roman" w:cs="Times New Roman"/>
          <w:sz w:val="24"/>
          <w:szCs w:val="24"/>
        </w:rPr>
        <w:t>kamatni unaprijedni ugovori (engl. </w:t>
      </w:r>
      <w:r w:rsidRPr="000479E9">
        <w:rPr>
          <w:rFonts w:ascii="Times New Roman" w:hAnsi="Times New Roman" w:cs="Times New Roman"/>
          <w:i/>
          <w:iCs/>
          <w:sz w:val="24"/>
          <w:szCs w:val="24"/>
        </w:rPr>
        <w:t>forward rate agreements) </w:t>
      </w:r>
      <w:r w:rsidRPr="000479E9">
        <w:rPr>
          <w:rFonts w:ascii="Times New Roman" w:hAnsi="Times New Roman" w:cs="Times New Roman"/>
          <w:sz w:val="24"/>
          <w:szCs w:val="24"/>
        </w:rPr>
        <w:t>i svi drugi ugovori o izvedenicama koji se odnose na vrijednosne papire, valute, kamatne stope ili prinose, emisijske jedinice ili druge izvedene instrumente financijske indekse ili financijske mjerne veličine koje se mogu namiriti fizički ili u novcu</w:t>
      </w:r>
    </w:p>
    <w:p w14:paraId="4D32592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db) opcije, budućnosnice, zamjene, unaprijedni ugovori i svi drugi ugovori o izvedenicama koji se odnose na robu, a moraju se namiriti u novcu ili se mogu namiriti u novcu na zahtjev jedne ugovorne strane, osim zbog povrede ili drugog razloga za raskid ugovora</w:t>
      </w:r>
    </w:p>
    <w:p w14:paraId="1F9337D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dc) opcije, budućnosnice, zamjene i bilo koji drugi ugovori o izvedenicama koji se odnose na robu, a mogu se namiriti fizički, pod uvjetom da se njima trguje na uređenom tržištu, multilateralnoj trgovinskoj platformi (MTP) ili organiziranoj trgovinskoj platformi (OTP), osim onih koji se odnose na veleprodajne energetske proizvode kojima se trguje na organiziranoj trgovinskoj platformi i koji se moraju namiriti fizički u skladu s uvjetima iz članka 5. Uredbe (EU) br. 2017/565</w:t>
      </w:r>
    </w:p>
    <w:p w14:paraId="6DD2D51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dd) opcije, budućnosnice, zamjene, unaprijedni ugovori i bilo koji drugi ugovori o izvedenicama koji se odnose na robu, a mogu se namiriti fizički, ako nisu navedeni u trećoj podtočki ove točke i ako nemaju komercijalnu namjenu, koji imaju obilježja drugih izvedenih financijskih instrumenata</w:t>
      </w:r>
    </w:p>
    <w:p w14:paraId="4C45382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de) izvedeni instrumenti za prijenos kreditnog rizika</w:t>
      </w:r>
    </w:p>
    <w:p w14:paraId="168832E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df) financijski ugovori za razlike (engl. </w:t>
      </w:r>
      <w:r w:rsidRPr="000479E9">
        <w:rPr>
          <w:rFonts w:ascii="Times New Roman" w:hAnsi="Times New Roman" w:cs="Times New Roman"/>
          <w:i/>
          <w:iCs/>
          <w:sz w:val="24"/>
          <w:szCs w:val="24"/>
        </w:rPr>
        <w:t>financial contracts for differences)</w:t>
      </w:r>
    </w:p>
    <w:p w14:paraId="021639C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dg) opcije, budućnosnice, zamjene, kamatni unaprijedni ugovori i bilo koji drugi ugovori o izvedenicama koji se odnose na klimatske varijable, vozarine, stope inflacije </w:t>
      </w:r>
      <w:r w:rsidRPr="000479E9">
        <w:rPr>
          <w:rFonts w:ascii="Times New Roman" w:hAnsi="Times New Roman" w:cs="Times New Roman"/>
          <w:sz w:val="24"/>
          <w:szCs w:val="24"/>
        </w:rPr>
        <w:lastRenderedPageBreak/>
        <w:t>ili druge službene ekonomske statističke podatke, a moraju se namiriti u novcu ili se mogu namiriti u novcu na zahtjev jedne ugovorne strane, osim zbog povrede ili drugog razloga za raskid ugovora, kao i bilo koji drugi ugovori o izvedenicama koji se odnose na imovinu, prava, obveze, indekse i mjerne veličine koje nisu navedene u ovoj točki, a koji imaju obilježja drugih izvedenih financijskih instrumenata, uzimajući u obzir, među ostalim, trguje li se njima na uređenom tržištu, multilateralnoj trgovinskoj platformi ili organiziranoj trgovinskoj platformi</w:t>
      </w:r>
    </w:p>
    <w:p w14:paraId="29B3BAB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dh) emisijske jedinice koje se sastoje od bilo kojih jedinica priznatih za usklađenost sa zahtjevima zakona kojim se uređuje zaštita okoliša (sustav trgovanja emisijama)</w:t>
      </w:r>
    </w:p>
    <w:p w14:paraId="6F100C5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25. </w:t>
      </w:r>
      <w:r w:rsidRPr="000479E9">
        <w:rPr>
          <w:rFonts w:ascii="Times New Roman" w:hAnsi="Times New Roman" w:cs="Times New Roman"/>
          <w:i/>
          <w:iCs/>
          <w:sz w:val="24"/>
          <w:szCs w:val="24"/>
        </w:rPr>
        <w:t>fond kojim se trguje na burzi ili ETF </w:t>
      </w:r>
      <w:r w:rsidRPr="000479E9">
        <w:rPr>
          <w:rFonts w:ascii="Times New Roman" w:hAnsi="Times New Roman" w:cs="Times New Roman"/>
          <w:sz w:val="24"/>
          <w:szCs w:val="24"/>
        </w:rPr>
        <w:t>je udjel ili dionica u subjektu za zajednička ulaganja čijom se najmanje jednom klasom udjela ili rodom dionica tijekom dana trguje na najmanje jednom mjestu trgovanja i s najmanje jednim održavateljem tržišta koji poduzima mjere kojima se osigurava da cijena udjela ili dionica na tom mjestu trgovanja bitno ne odstupa od netovrijednosti imovine po udjelu odnosno dionici i, ako je primjenjivo, indikativne netovrijednosti imovine po udjelu odnosno dionici</w:t>
      </w:r>
    </w:p>
    <w:p w14:paraId="55B6B6C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26. </w:t>
      </w:r>
      <w:r w:rsidRPr="000479E9">
        <w:rPr>
          <w:rFonts w:ascii="Times New Roman" w:hAnsi="Times New Roman" w:cs="Times New Roman"/>
          <w:i/>
          <w:iCs/>
          <w:sz w:val="24"/>
          <w:szCs w:val="24"/>
        </w:rPr>
        <w:t>grupa </w:t>
      </w:r>
      <w:r w:rsidRPr="000479E9">
        <w:rPr>
          <w:rFonts w:ascii="Times New Roman" w:hAnsi="Times New Roman" w:cs="Times New Roman"/>
          <w:sz w:val="24"/>
          <w:szCs w:val="24"/>
        </w:rPr>
        <w:t>je grupa kako je definirana u smislu zakona kojim se uređuje računovodstvo poduzetnika i primjena standarda financijskog izvještavanja</w:t>
      </w:r>
    </w:p>
    <w:p w14:paraId="5D8FDC1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27. </w:t>
      </w:r>
      <w:r w:rsidRPr="000479E9">
        <w:rPr>
          <w:rFonts w:ascii="Times New Roman" w:hAnsi="Times New Roman" w:cs="Times New Roman"/>
          <w:i/>
          <w:iCs/>
          <w:sz w:val="24"/>
          <w:szCs w:val="24"/>
        </w:rPr>
        <w:t>grupa investicijskog društva </w:t>
      </w:r>
      <w:r w:rsidRPr="000479E9">
        <w:rPr>
          <w:rFonts w:ascii="Times New Roman" w:hAnsi="Times New Roman" w:cs="Times New Roman"/>
          <w:sz w:val="24"/>
          <w:szCs w:val="24"/>
        </w:rPr>
        <w:t>je grupa investicijskog društva kako je definirana u članku 4. stavku 1. točki 25. Uredbe (EU) br. 2019/2033</w:t>
      </w:r>
    </w:p>
    <w:p w14:paraId="72FA733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28. </w:t>
      </w:r>
      <w:r w:rsidRPr="000479E9">
        <w:rPr>
          <w:rFonts w:ascii="Times New Roman" w:hAnsi="Times New Roman" w:cs="Times New Roman"/>
          <w:i/>
          <w:iCs/>
          <w:sz w:val="24"/>
          <w:szCs w:val="24"/>
        </w:rPr>
        <w:t>imobilizacija </w:t>
      </w:r>
      <w:r w:rsidRPr="000479E9">
        <w:rPr>
          <w:rFonts w:ascii="Times New Roman" w:hAnsi="Times New Roman" w:cs="Times New Roman"/>
          <w:sz w:val="24"/>
          <w:szCs w:val="24"/>
        </w:rPr>
        <w:t>je imobilizacija kako je definirana u članku 2. stavku 1. točki 3. Uredbe (EU) br. 909/2014</w:t>
      </w:r>
    </w:p>
    <w:p w14:paraId="0D229BD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29. </w:t>
      </w:r>
      <w:r w:rsidRPr="000479E9">
        <w:rPr>
          <w:rFonts w:ascii="Times New Roman" w:hAnsi="Times New Roman" w:cs="Times New Roman"/>
          <w:i/>
          <w:iCs/>
          <w:sz w:val="24"/>
          <w:szCs w:val="24"/>
        </w:rPr>
        <w:t>incident </w:t>
      </w:r>
      <w:r w:rsidRPr="000479E9">
        <w:rPr>
          <w:rFonts w:ascii="Times New Roman" w:hAnsi="Times New Roman" w:cs="Times New Roman"/>
          <w:sz w:val="24"/>
          <w:szCs w:val="24"/>
        </w:rPr>
        <w:t>znači bilo koji događaj koji ima stvaran negativan učinak na sigurnost mrežnih i informacijskih sustava</w:t>
      </w:r>
    </w:p>
    <w:p w14:paraId="03C123A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30. </w:t>
      </w:r>
      <w:r w:rsidRPr="000479E9">
        <w:rPr>
          <w:rFonts w:ascii="Times New Roman" w:hAnsi="Times New Roman" w:cs="Times New Roman"/>
          <w:i/>
          <w:iCs/>
          <w:sz w:val="24"/>
          <w:szCs w:val="24"/>
        </w:rPr>
        <w:t>inicijalni kapital </w:t>
      </w:r>
      <w:r w:rsidRPr="000479E9">
        <w:rPr>
          <w:rFonts w:ascii="Times New Roman" w:hAnsi="Times New Roman" w:cs="Times New Roman"/>
          <w:sz w:val="24"/>
          <w:szCs w:val="24"/>
        </w:rPr>
        <w:t>znači kapital propisan za potrebe odobrenja za rad investicijskog društva, za koji su iznos i vrsta određeni u člancima 9. i 10. ovoga Zakona</w:t>
      </w:r>
    </w:p>
    <w:p w14:paraId="23819F6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31. </w:t>
      </w:r>
      <w:r w:rsidRPr="000479E9">
        <w:rPr>
          <w:rFonts w:ascii="Times New Roman" w:hAnsi="Times New Roman" w:cs="Times New Roman"/>
          <w:i/>
          <w:iCs/>
          <w:sz w:val="24"/>
          <w:szCs w:val="24"/>
        </w:rPr>
        <w:t>instrumenti tržišta novca </w:t>
      </w:r>
      <w:r w:rsidRPr="000479E9">
        <w:rPr>
          <w:rFonts w:ascii="Times New Roman" w:hAnsi="Times New Roman" w:cs="Times New Roman"/>
          <w:sz w:val="24"/>
          <w:szCs w:val="24"/>
        </w:rPr>
        <w:t>su one vrste instrumenata kojima se uobičajeno trguje na tržištu novca, kao što su trezorski, blagajnički i komercijalni zapisi i certifikati o depozitu, osim instrumenata plaćanja</w:t>
      </w:r>
    </w:p>
    <w:p w14:paraId="3ECBFA5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32. </w:t>
      </w:r>
      <w:r w:rsidRPr="000479E9">
        <w:rPr>
          <w:rFonts w:ascii="Times New Roman" w:hAnsi="Times New Roman" w:cs="Times New Roman"/>
          <w:i/>
          <w:iCs/>
          <w:sz w:val="24"/>
          <w:szCs w:val="24"/>
        </w:rPr>
        <w:t>interni kapital </w:t>
      </w:r>
      <w:r w:rsidRPr="000479E9">
        <w:rPr>
          <w:rFonts w:ascii="Times New Roman" w:hAnsi="Times New Roman" w:cs="Times New Roman"/>
          <w:sz w:val="24"/>
          <w:szCs w:val="24"/>
        </w:rPr>
        <w:t>je kapital koji investicijsko društvo ocijeni adekvatnim u odnosu na vrstu i razinu rizika kojima jest ili bi moglo biti izloženo u svom poslovanju</w:t>
      </w:r>
    </w:p>
    <w:p w14:paraId="324EEA7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33. </w:t>
      </w:r>
      <w:r w:rsidRPr="000479E9">
        <w:rPr>
          <w:rFonts w:ascii="Times New Roman" w:hAnsi="Times New Roman" w:cs="Times New Roman"/>
          <w:i/>
          <w:iCs/>
          <w:sz w:val="24"/>
          <w:szCs w:val="24"/>
        </w:rPr>
        <w:t>internalizator namire </w:t>
      </w:r>
      <w:r w:rsidRPr="000479E9">
        <w:rPr>
          <w:rFonts w:ascii="Times New Roman" w:hAnsi="Times New Roman" w:cs="Times New Roman"/>
          <w:sz w:val="24"/>
          <w:szCs w:val="24"/>
        </w:rPr>
        <w:t>je internalizator namire kako je definiran u članku 2. stavku 1. točki 11. Uredbe (EU) br. 648/2012</w:t>
      </w:r>
    </w:p>
    <w:p w14:paraId="1885A66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34. </w:t>
      </w:r>
      <w:r w:rsidRPr="000479E9">
        <w:rPr>
          <w:rFonts w:ascii="Times New Roman" w:hAnsi="Times New Roman" w:cs="Times New Roman"/>
          <w:i/>
          <w:iCs/>
          <w:sz w:val="24"/>
          <w:szCs w:val="24"/>
        </w:rPr>
        <w:t>investicijski holding </w:t>
      </w:r>
      <w:r w:rsidRPr="000479E9">
        <w:rPr>
          <w:rFonts w:ascii="Times New Roman" w:hAnsi="Times New Roman" w:cs="Times New Roman"/>
          <w:sz w:val="24"/>
          <w:szCs w:val="24"/>
        </w:rPr>
        <w:t>je investicijski holding kako je definiran u članku 4. stavku 1. točki 23. Uredbe (EU) br. 2019/2033</w:t>
      </w:r>
    </w:p>
    <w:p w14:paraId="5A4EA39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35. </w:t>
      </w:r>
      <w:r w:rsidRPr="000479E9">
        <w:rPr>
          <w:rFonts w:ascii="Times New Roman" w:hAnsi="Times New Roman" w:cs="Times New Roman"/>
          <w:i/>
          <w:iCs/>
          <w:sz w:val="24"/>
          <w:szCs w:val="24"/>
        </w:rPr>
        <w:t>investicijski proizvod </w:t>
      </w:r>
      <w:r w:rsidRPr="000479E9">
        <w:rPr>
          <w:rFonts w:ascii="Times New Roman" w:hAnsi="Times New Roman" w:cs="Times New Roman"/>
          <w:sz w:val="24"/>
          <w:szCs w:val="24"/>
        </w:rPr>
        <w:t>je financijski instrument odnosno strukturirani depozit kako je definirano ovim Zakonom</w:t>
      </w:r>
    </w:p>
    <w:p w14:paraId="15E6218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36. </w:t>
      </w:r>
      <w:r w:rsidRPr="000479E9">
        <w:rPr>
          <w:rFonts w:ascii="Times New Roman" w:hAnsi="Times New Roman" w:cs="Times New Roman"/>
          <w:i/>
          <w:iCs/>
          <w:sz w:val="24"/>
          <w:szCs w:val="24"/>
        </w:rPr>
        <w:t>investicijsko društvo </w:t>
      </w:r>
      <w:r w:rsidRPr="000479E9">
        <w:rPr>
          <w:rFonts w:ascii="Times New Roman" w:hAnsi="Times New Roman" w:cs="Times New Roman"/>
          <w:sz w:val="24"/>
          <w:szCs w:val="24"/>
        </w:rPr>
        <w:t>je svaka pravna osoba čija je redovna djelatnost pružanje jedne ili više investicijskih usluga trećim osobama i/ili obavljanje jedne ili više investicijskih aktivnosti na profesionalnoj osnovi</w:t>
      </w:r>
    </w:p>
    <w:p w14:paraId="38A1442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37. </w:t>
      </w:r>
      <w:r w:rsidRPr="000479E9">
        <w:rPr>
          <w:rFonts w:ascii="Times New Roman" w:hAnsi="Times New Roman" w:cs="Times New Roman"/>
          <w:i/>
          <w:iCs/>
          <w:sz w:val="24"/>
          <w:szCs w:val="24"/>
        </w:rPr>
        <w:t>investicijsko istraživanje </w:t>
      </w:r>
      <w:r w:rsidRPr="000479E9">
        <w:rPr>
          <w:rFonts w:ascii="Times New Roman" w:hAnsi="Times New Roman" w:cs="Times New Roman"/>
          <w:sz w:val="24"/>
          <w:szCs w:val="24"/>
        </w:rPr>
        <w:t>je investicijsko istraživanje kako je definirano u članku 36. Delegirane uredbe (EU) br. 2017/565</w:t>
      </w:r>
    </w:p>
    <w:p w14:paraId="1DC0A60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38. </w:t>
      </w:r>
      <w:r w:rsidRPr="000479E9">
        <w:rPr>
          <w:rFonts w:ascii="Times New Roman" w:hAnsi="Times New Roman" w:cs="Times New Roman"/>
          <w:i/>
          <w:iCs/>
          <w:sz w:val="24"/>
          <w:szCs w:val="24"/>
        </w:rPr>
        <w:t>investicijsko savjetovanje </w:t>
      </w:r>
      <w:r w:rsidRPr="000479E9">
        <w:rPr>
          <w:rFonts w:ascii="Times New Roman" w:hAnsi="Times New Roman" w:cs="Times New Roman"/>
          <w:sz w:val="24"/>
          <w:szCs w:val="24"/>
        </w:rPr>
        <w:t>je davanje osobnih preporuka u smislu članka 9. Delegirane uredbe (EU) br. 2017/565 klijentu koje se odnose na jednu ili više transakcija financijskim instrumentima, na zahtjev klijenta ili na inicijativu investicijskog društva</w:t>
      </w:r>
    </w:p>
    <w:p w14:paraId="02ACFDF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39. </w:t>
      </w:r>
      <w:r w:rsidRPr="000479E9">
        <w:rPr>
          <w:rFonts w:ascii="Times New Roman" w:hAnsi="Times New Roman" w:cs="Times New Roman"/>
          <w:i/>
          <w:iCs/>
          <w:sz w:val="24"/>
          <w:szCs w:val="24"/>
        </w:rPr>
        <w:t>izdvajanje poslovnih procesa </w:t>
      </w:r>
      <w:r w:rsidRPr="000479E9">
        <w:rPr>
          <w:rFonts w:ascii="Times New Roman" w:hAnsi="Times New Roman" w:cs="Times New Roman"/>
          <w:sz w:val="24"/>
          <w:szCs w:val="24"/>
        </w:rPr>
        <w:t>je izdvajanje poslovnih procesa kako je definirano u članku 2. stavku 1. točki 3. Delegirane uredbe (EU) br. 2017/565</w:t>
      </w:r>
    </w:p>
    <w:p w14:paraId="41975D1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40. </w:t>
      </w:r>
      <w:r w:rsidRPr="000479E9">
        <w:rPr>
          <w:rFonts w:ascii="Times New Roman" w:hAnsi="Times New Roman" w:cs="Times New Roman"/>
          <w:i/>
          <w:iCs/>
          <w:sz w:val="24"/>
          <w:szCs w:val="24"/>
        </w:rPr>
        <w:t>izravni elektronički pristup </w:t>
      </w:r>
      <w:r w:rsidRPr="000479E9">
        <w:rPr>
          <w:rFonts w:ascii="Times New Roman" w:hAnsi="Times New Roman" w:cs="Times New Roman"/>
          <w:sz w:val="24"/>
          <w:szCs w:val="24"/>
        </w:rPr>
        <w:t>je mehanizam u kojem član ili sudionik ili klijent mjesta trgovanja dopušta određenoj osobi da se koristi njegovom oznakom u trgovinskom sustavu kako bi mogla elektroničkim putem slati naloge u vezi s financijskim instrumentom izravno na mjesto trgovanja, uključujući mehanizam u kojem se osoba koristi infrastrukturom člana ili sudionika ili klijenta ili bilo kojim sustavom povezivanja kojim se član ili sudionik ili klijent koristi za prijenos naloga (izravan pristup tržištu) i mehanizam u kojem se osoba ne koristi tom infrastrukturom (sponzorirani pristup)</w:t>
      </w:r>
    </w:p>
    <w:p w14:paraId="66DA56C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41. </w:t>
      </w:r>
      <w:r w:rsidRPr="000479E9">
        <w:rPr>
          <w:rFonts w:ascii="Times New Roman" w:hAnsi="Times New Roman" w:cs="Times New Roman"/>
          <w:i/>
          <w:iCs/>
          <w:sz w:val="24"/>
          <w:szCs w:val="24"/>
        </w:rPr>
        <w:t>izvedenice </w:t>
      </w:r>
      <w:r w:rsidRPr="000479E9">
        <w:rPr>
          <w:rFonts w:ascii="Times New Roman" w:hAnsi="Times New Roman" w:cs="Times New Roman"/>
          <w:sz w:val="24"/>
          <w:szCs w:val="24"/>
        </w:rPr>
        <w:t>su izvedenice kako su definirane u članku 2. stavku 1. točki 29. Uredbe (EU) br. 600/2014</w:t>
      </w:r>
    </w:p>
    <w:p w14:paraId="6140F07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42. </w:t>
      </w:r>
      <w:r w:rsidRPr="000479E9">
        <w:rPr>
          <w:rFonts w:ascii="Times New Roman" w:hAnsi="Times New Roman" w:cs="Times New Roman"/>
          <w:i/>
          <w:iCs/>
          <w:sz w:val="24"/>
          <w:szCs w:val="24"/>
        </w:rPr>
        <w:t>izvršavanje naloga za račun klijenata </w:t>
      </w:r>
      <w:r w:rsidRPr="000479E9">
        <w:rPr>
          <w:rFonts w:ascii="Times New Roman" w:hAnsi="Times New Roman" w:cs="Times New Roman"/>
          <w:sz w:val="24"/>
          <w:szCs w:val="24"/>
        </w:rPr>
        <w:t>je postupanje radi ugovaranja kupnje ili prodaje jednog ili više financijskih instrumenata za račun klijenata, uključujući sklapanje ugovora o prodaji financijskih instrumenata koje izdaje investicijsko društvo ili kreditna institucija prilikom izdavanja tih financijskih instrumenata</w:t>
      </w:r>
    </w:p>
    <w:p w14:paraId="1355874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43. </w:t>
      </w:r>
      <w:r w:rsidRPr="000479E9">
        <w:rPr>
          <w:rFonts w:ascii="Times New Roman" w:hAnsi="Times New Roman" w:cs="Times New Roman"/>
          <w:i/>
          <w:iCs/>
          <w:sz w:val="24"/>
          <w:szCs w:val="24"/>
        </w:rPr>
        <w:t>javni dužnički instrument </w:t>
      </w:r>
      <w:r w:rsidRPr="000479E9">
        <w:rPr>
          <w:rFonts w:ascii="Times New Roman" w:hAnsi="Times New Roman" w:cs="Times New Roman"/>
          <w:sz w:val="24"/>
          <w:szCs w:val="24"/>
        </w:rPr>
        <w:t>je dužnički instrument koji izdaje javni izdavatelj</w:t>
      </w:r>
    </w:p>
    <w:p w14:paraId="53329EC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44. </w:t>
      </w:r>
      <w:r w:rsidRPr="000479E9">
        <w:rPr>
          <w:rFonts w:ascii="Times New Roman" w:hAnsi="Times New Roman" w:cs="Times New Roman"/>
          <w:i/>
          <w:iCs/>
          <w:sz w:val="24"/>
          <w:szCs w:val="24"/>
        </w:rPr>
        <w:t>javni izdavatelj </w:t>
      </w:r>
      <w:r w:rsidRPr="000479E9">
        <w:rPr>
          <w:rFonts w:ascii="Times New Roman" w:hAnsi="Times New Roman" w:cs="Times New Roman"/>
          <w:sz w:val="24"/>
          <w:szCs w:val="24"/>
        </w:rPr>
        <w:t>je jedan od sljedećih subjekata koji izdaje dužničke instrumente:</w:t>
      </w:r>
    </w:p>
    <w:p w14:paraId="5802342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Europska unija</w:t>
      </w:r>
    </w:p>
    <w:p w14:paraId="6797794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država članica, uključujući i vladin odjel, agenciju ili subjekt posebne namjene te države članice</w:t>
      </w:r>
    </w:p>
    <w:p w14:paraId="3915ADE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u slučaju federalne države članice, član federacije</w:t>
      </w:r>
    </w:p>
    <w:p w14:paraId="0FBE625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 subjekt posebne namjene za nekoliko država članica</w:t>
      </w:r>
    </w:p>
    <w:p w14:paraId="15CEBBF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e) međunarodna financijska institucija koju su osnovale dvije ili više država članica, a kojoj je cilj osigurati financiranje i pružiti financijsku pomoć svojim članovima kojima prijete ozbiljne financijske poteškoće ili koje kroz njih prolaze ili</w:t>
      </w:r>
    </w:p>
    <w:p w14:paraId="370E5E0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f) Europska investicijska banka</w:t>
      </w:r>
    </w:p>
    <w:p w14:paraId="3D3933B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45. </w:t>
      </w:r>
      <w:r w:rsidRPr="000479E9">
        <w:rPr>
          <w:rFonts w:ascii="Times New Roman" w:hAnsi="Times New Roman" w:cs="Times New Roman"/>
          <w:i/>
          <w:iCs/>
          <w:sz w:val="24"/>
          <w:szCs w:val="24"/>
        </w:rPr>
        <w:t>klauzula o opozivu </w:t>
      </w:r>
      <w:r w:rsidRPr="000479E9">
        <w:rPr>
          <w:rFonts w:ascii="Times New Roman" w:hAnsi="Times New Roman" w:cs="Times New Roman"/>
          <w:sz w:val="24"/>
          <w:szCs w:val="24"/>
        </w:rPr>
        <w:t>»make-whole« je klauzula čiji je cilj zaštita ulagatelja na način da se osigura da se u slučaju prijevremenog otkupa obveznice izdavatelj obveže ulagatelju koji drži obveznicu isplatiti iznos jednak zbroju neto sadašnje vrijednosti preostalih isplata kupona koje se očekuju do dospijeća i glavnice obveznice koja će se otkupiti</w:t>
      </w:r>
    </w:p>
    <w:p w14:paraId="5680D34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46. </w:t>
      </w:r>
      <w:r w:rsidRPr="000479E9">
        <w:rPr>
          <w:rFonts w:ascii="Times New Roman" w:hAnsi="Times New Roman" w:cs="Times New Roman"/>
          <w:i/>
          <w:iCs/>
          <w:sz w:val="24"/>
          <w:szCs w:val="24"/>
        </w:rPr>
        <w:t>klijent </w:t>
      </w:r>
      <w:r w:rsidRPr="000479E9">
        <w:rPr>
          <w:rFonts w:ascii="Times New Roman" w:hAnsi="Times New Roman" w:cs="Times New Roman"/>
          <w:sz w:val="24"/>
          <w:szCs w:val="24"/>
        </w:rPr>
        <w:t>je svaka fizička ili pravna osoba kojoj investicijsko društvo pruža investicijske ili pomoćne usluge</w:t>
      </w:r>
    </w:p>
    <w:p w14:paraId="2736640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47. </w:t>
      </w:r>
      <w:r w:rsidRPr="000479E9">
        <w:rPr>
          <w:rFonts w:ascii="Times New Roman" w:hAnsi="Times New Roman" w:cs="Times New Roman"/>
          <w:i/>
          <w:iCs/>
          <w:sz w:val="24"/>
          <w:szCs w:val="24"/>
        </w:rPr>
        <w:t>konsolidirani položaj </w:t>
      </w:r>
      <w:r w:rsidRPr="000479E9">
        <w:rPr>
          <w:rFonts w:ascii="Times New Roman" w:hAnsi="Times New Roman" w:cs="Times New Roman"/>
          <w:sz w:val="24"/>
          <w:szCs w:val="24"/>
        </w:rPr>
        <w:t>je konsolidirani položaj kako je definiran u članku 4. stavku 1. točki 11. Uredbe (EU) br. 2019/2033</w:t>
      </w:r>
    </w:p>
    <w:p w14:paraId="6CA7FF1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48. </w:t>
      </w:r>
      <w:r w:rsidRPr="000479E9">
        <w:rPr>
          <w:rFonts w:ascii="Times New Roman" w:hAnsi="Times New Roman" w:cs="Times New Roman"/>
          <w:i/>
          <w:iCs/>
          <w:sz w:val="24"/>
          <w:szCs w:val="24"/>
        </w:rPr>
        <w:t>kreditna institucija </w:t>
      </w:r>
      <w:r w:rsidRPr="000479E9">
        <w:rPr>
          <w:rFonts w:ascii="Times New Roman" w:hAnsi="Times New Roman" w:cs="Times New Roman"/>
          <w:sz w:val="24"/>
          <w:szCs w:val="24"/>
        </w:rPr>
        <w:t>je kreditna institucija kako je definirana u članku 4. stavku 1. točki 1. Uredbe (EU) br. 575/2013</w:t>
      </w:r>
    </w:p>
    <w:p w14:paraId="03F2D99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49. </w:t>
      </w:r>
      <w:r w:rsidRPr="000479E9">
        <w:rPr>
          <w:rFonts w:ascii="Times New Roman" w:hAnsi="Times New Roman" w:cs="Times New Roman"/>
          <w:i/>
          <w:iCs/>
          <w:sz w:val="24"/>
          <w:szCs w:val="24"/>
        </w:rPr>
        <w:t>kvalificirani novčani fond </w:t>
      </w:r>
      <w:r w:rsidRPr="000479E9">
        <w:rPr>
          <w:rFonts w:ascii="Times New Roman" w:hAnsi="Times New Roman" w:cs="Times New Roman"/>
          <w:sz w:val="24"/>
          <w:szCs w:val="24"/>
        </w:rPr>
        <w:t>je subjekt za zajednička ulaganja kojemu je izdano odobrenje za rad na temelju zakona kojim je uređeno osnivanje i poslovanje otvorenih investicijskih fondova s javnom ponudom odnosno nacionalnog propisa kojim je u zakonodavstvo države članice implementirana Direktiva 2009/65/EZ ili koji podliježe nadzoru i, ako je to primjenjivo, kojemu je odobrenje za rad izdalo nadležno tijelo na temelju zakonodavstva države članice, a koji ispunjava sve sljedeće uvjete:</w:t>
      </w:r>
    </w:p>
    <w:p w14:paraId="16918E6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a) njegov primarni cilj ulaganja mora biti održavanje netovrijednosti imovine subjekta, neprekidno na nominalnoj vrijednosti (neto bez dobiti) ili na vrijednosti inicijalnog ulaganja ulagatelja plus dobit</w:t>
      </w:r>
    </w:p>
    <w:p w14:paraId="690FFEF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mora, radi ostvarivanja tog primarnog cilja ulaganja, ulagati isključivo u instrumente tržišta novca visoke kvalitete, s dospijećem ili preostalim dospijećem od najviše 397 dana ili uz redovita usklađivanja prinosa u skladu s takvim dospijećem i s ponderiranim prosječnim dospijećem od 60 dana. Taj cilj može ostvariti i pomoćnim ulaganjem u depozite kod kreditnih institucija</w:t>
      </w:r>
    </w:p>
    <w:p w14:paraId="25B65BB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mora osigurati likvidnost putem namire istog ili sljedećeg dana</w:t>
      </w:r>
    </w:p>
    <w:p w14:paraId="5FE98EF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50. </w:t>
      </w:r>
      <w:r w:rsidRPr="000479E9">
        <w:rPr>
          <w:rFonts w:ascii="Times New Roman" w:hAnsi="Times New Roman" w:cs="Times New Roman"/>
          <w:i/>
          <w:iCs/>
          <w:sz w:val="24"/>
          <w:szCs w:val="24"/>
        </w:rPr>
        <w:t>kvalificirani udio </w:t>
      </w:r>
      <w:r w:rsidRPr="000479E9">
        <w:rPr>
          <w:rFonts w:ascii="Times New Roman" w:hAnsi="Times New Roman" w:cs="Times New Roman"/>
          <w:sz w:val="24"/>
          <w:szCs w:val="24"/>
        </w:rPr>
        <w:t>je svaki neposredni ili posredni udio u investicijskom društvu koji predstavlja 10% ili više udjela u kapitalu ili glasačkim pravima, kako je propisano člancima 482., 483., 485. i 492. ovoga Zakona, uzimajući u obzir uvjete grupiranja kod izračunavanja tih prava propisanih člancima 489. i 490. ovoga Zakona, ili koji omogućava ostvarivanje značajnog utjecaja na upravljanje investicijskim društvom</w:t>
      </w:r>
    </w:p>
    <w:p w14:paraId="1E1D790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51. </w:t>
      </w:r>
      <w:r w:rsidRPr="000479E9">
        <w:rPr>
          <w:rFonts w:ascii="Times New Roman" w:hAnsi="Times New Roman" w:cs="Times New Roman"/>
          <w:i/>
          <w:iCs/>
          <w:sz w:val="24"/>
          <w:szCs w:val="24"/>
        </w:rPr>
        <w:t>likvidno tržište </w:t>
      </w:r>
      <w:r w:rsidRPr="000479E9">
        <w:rPr>
          <w:rFonts w:ascii="Times New Roman" w:hAnsi="Times New Roman" w:cs="Times New Roman"/>
          <w:sz w:val="24"/>
          <w:szCs w:val="24"/>
        </w:rPr>
        <w:t>je tržište za određeni financijski instrument ili klasu financijskih instrumenata ako, uzimajući u obzir specifičnosti tržišne strukture određenog financijskog instrumenta ili određene klase financijskih instrumenata, postoji kontinuirani interes za kupnju i prodaju koji se procjenjuje na temelju:</w:t>
      </w:r>
    </w:p>
    <w:p w14:paraId="6BB82A2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prosječne učestalosti i veličine transakcija u različitim tržišnim uvjetima, uzimajući u obzir prirodu i životni ciklus proizvoda unutar određene klase financijskih instrumenata</w:t>
      </w:r>
    </w:p>
    <w:p w14:paraId="1336E22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broja i vrste sudionika na tržištu, uključujući omjer sudionika na tržištu i financijskih instrumenata kojima se trguje za pojedini proizvod</w:t>
      </w:r>
    </w:p>
    <w:p w14:paraId="3B8DE77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prosječnu veličinu raspona cijena, ako je dostupna</w:t>
      </w:r>
    </w:p>
    <w:p w14:paraId="4DF604D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52. </w:t>
      </w:r>
      <w:r w:rsidRPr="000479E9">
        <w:rPr>
          <w:rFonts w:ascii="Times New Roman" w:hAnsi="Times New Roman" w:cs="Times New Roman"/>
          <w:i/>
          <w:iCs/>
          <w:sz w:val="24"/>
          <w:szCs w:val="24"/>
        </w:rPr>
        <w:t>limitirani nalog </w:t>
      </w:r>
      <w:r w:rsidRPr="000479E9">
        <w:rPr>
          <w:rFonts w:ascii="Times New Roman" w:hAnsi="Times New Roman" w:cs="Times New Roman"/>
          <w:sz w:val="24"/>
          <w:szCs w:val="24"/>
        </w:rPr>
        <w:t>je nalog za kupnju ili prodaju određene količine financijskih instrumenata po određenoj cijeni ili cijeni koja je od nje povoljnija</w:t>
      </w:r>
    </w:p>
    <w:p w14:paraId="72249DE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53. </w:t>
      </w:r>
      <w:r w:rsidRPr="000479E9">
        <w:rPr>
          <w:rFonts w:ascii="Times New Roman" w:hAnsi="Times New Roman" w:cs="Times New Roman"/>
          <w:i/>
          <w:iCs/>
          <w:sz w:val="24"/>
          <w:szCs w:val="24"/>
        </w:rPr>
        <w:t>mala i srednja poduzeća </w:t>
      </w:r>
      <w:r w:rsidRPr="000479E9">
        <w:rPr>
          <w:rFonts w:ascii="Times New Roman" w:hAnsi="Times New Roman" w:cs="Times New Roman"/>
          <w:sz w:val="24"/>
          <w:szCs w:val="24"/>
        </w:rPr>
        <w:t>su društva koja su, na bazi kotacija na kraju godine, u prethodne tri kalendarske godine imala prosječnu tržišnu kapitalizaciju manju od 200.000.000,00 eura</w:t>
      </w:r>
    </w:p>
    <w:p w14:paraId="01CB3D3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54. </w:t>
      </w:r>
      <w:r w:rsidRPr="000479E9">
        <w:rPr>
          <w:rFonts w:ascii="Times New Roman" w:hAnsi="Times New Roman" w:cs="Times New Roman"/>
          <w:i/>
          <w:iCs/>
          <w:sz w:val="24"/>
          <w:szCs w:val="24"/>
        </w:rPr>
        <w:t>matična država članica </w:t>
      </w:r>
      <w:r w:rsidRPr="000479E9">
        <w:rPr>
          <w:rFonts w:ascii="Times New Roman" w:hAnsi="Times New Roman" w:cs="Times New Roman"/>
          <w:sz w:val="24"/>
          <w:szCs w:val="24"/>
        </w:rPr>
        <w:t>je:</w:t>
      </w:r>
    </w:p>
    <w:p w14:paraId="6CF7BF0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za investicijsko društvo:</w:t>
      </w:r>
    </w:p>
    <w:p w14:paraId="7768E9F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aa) ako je investicijsko društvo fizička osoba, država članica u kojoj mu se nalazi glavni ured</w:t>
      </w:r>
    </w:p>
    <w:p w14:paraId="0EE4283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ab) ako je investicijsko društvo pravna osoba, država članica u kojoj mu se nalazi registrirano sjedište</w:t>
      </w:r>
    </w:p>
    <w:p w14:paraId="61E748C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ac) ako investicijsko društvo prema svojem nacionalnom pravu nema registrirano sjedište, država članica u kojoj mu se nalazi glavni ured</w:t>
      </w:r>
    </w:p>
    <w:p w14:paraId="00DEE33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za uređeno tržište država članica u kojoj je registrirano uređeno tržište ili, ako prema pravu države članice uređeno tržište nema registrirano sjedište, država članica u kojoj mu se nalazi glavni ured</w:t>
      </w:r>
    </w:p>
    <w:p w14:paraId="01C06DC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za središnji depozitorij kako je definirano u članku 2. stavku 1. točki 23. Uredbe (EU) br. 909/2014</w:t>
      </w:r>
    </w:p>
    <w:p w14:paraId="4E415F1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55. </w:t>
      </w:r>
      <w:r w:rsidRPr="000479E9">
        <w:rPr>
          <w:rFonts w:ascii="Times New Roman" w:hAnsi="Times New Roman" w:cs="Times New Roman"/>
          <w:i/>
          <w:iCs/>
          <w:sz w:val="24"/>
          <w:szCs w:val="24"/>
        </w:rPr>
        <w:t>matični investicijski holding iz Unije </w:t>
      </w:r>
      <w:r w:rsidRPr="000479E9">
        <w:rPr>
          <w:rFonts w:ascii="Times New Roman" w:hAnsi="Times New Roman" w:cs="Times New Roman"/>
          <w:sz w:val="24"/>
          <w:szCs w:val="24"/>
        </w:rPr>
        <w:t>je matični investicijski holding iz Unije kako je definiran u članku 4. stavku 1. točki 57. Uredbe (EU) br. 2019/2033</w:t>
      </w:r>
    </w:p>
    <w:p w14:paraId="3CE9BFD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56. </w:t>
      </w:r>
      <w:r w:rsidRPr="000479E9">
        <w:rPr>
          <w:rFonts w:ascii="Times New Roman" w:hAnsi="Times New Roman" w:cs="Times New Roman"/>
          <w:i/>
          <w:iCs/>
          <w:sz w:val="24"/>
          <w:szCs w:val="24"/>
        </w:rPr>
        <w:t>matični mješoviti financijski holding iz Unije </w:t>
      </w:r>
      <w:r w:rsidRPr="000479E9">
        <w:rPr>
          <w:rFonts w:ascii="Times New Roman" w:hAnsi="Times New Roman" w:cs="Times New Roman"/>
          <w:sz w:val="24"/>
          <w:szCs w:val="24"/>
        </w:rPr>
        <w:t>je matični mješoviti financijski holding iz Unije kako je definiran u članku 4. stavku 1. točki 58. Uredbe (EU) br. 2019/2033</w:t>
      </w:r>
    </w:p>
    <w:p w14:paraId="6E72965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57. </w:t>
      </w:r>
      <w:r w:rsidRPr="000479E9">
        <w:rPr>
          <w:rFonts w:ascii="Times New Roman" w:hAnsi="Times New Roman" w:cs="Times New Roman"/>
          <w:i/>
          <w:iCs/>
          <w:sz w:val="24"/>
          <w:szCs w:val="24"/>
        </w:rPr>
        <w:t>matično društvo </w:t>
      </w:r>
      <w:r w:rsidRPr="000479E9">
        <w:rPr>
          <w:rFonts w:ascii="Times New Roman" w:hAnsi="Times New Roman" w:cs="Times New Roman"/>
          <w:sz w:val="24"/>
          <w:szCs w:val="24"/>
        </w:rPr>
        <w:t>je matično društvo u smislu zakona kojim se uređuje računovodstvo poduzetnika i primjena standarda financijskog izvještavanja</w:t>
      </w:r>
    </w:p>
    <w:p w14:paraId="3CFD862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58. </w:t>
      </w:r>
      <w:r w:rsidRPr="000479E9">
        <w:rPr>
          <w:rFonts w:ascii="Times New Roman" w:hAnsi="Times New Roman" w:cs="Times New Roman"/>
          <w:i/>
          <w:iCs/>
          <w:sz w:val="24"/>
          <w:szCs w:val="24"/>
        </w:rPr>
        <w:t>matično investicijsko društvo iz Unije </w:t>
      </w:r>
      <w:r w:rsidRPr="000479E9">
        <w:rPr>
          <w:rFonts w:ascii="Times New Roman" w:hAnsi="Times New Roman" w:cs="Times New Roman"/>
          <w:sz w:val="24"/>
          <w:szCs w:val="24"/>
        </w:rPr>
        <w:t>je matično investicijsko društvo iz Unije kako je definirano u članku 4. stavku 1. točki 56. Uredbe (EU) br. 2019/2033</w:t>
      </w:r>
    </w:p>
    <w:p w14:paraId="650F7E9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59. </w:t>
      </w:r>
      <w:r w:rsidRPr="000479E9">
        <w:rPr>
          <w:rFonts w:ascii="Times New Roman" w:hAnsi="Times New Roman" w:cs="Times New Roman"/>
          <w:i/>
          <w:iCs/>
          <w:sz w:val="24"/>
          <w:szCs w:val="24"/>
        </w:rPr>
        <w:t>međusektorska prodaja </w:t>
      </w:r>
      <w:r w:rsidRPr="000479E9">
        <w:rPr>
          <w:rFonts w:ascii="Times New Roman" w:hAnsi="Times New Roman" w:cs="Times New Roman"/>
          <w:sz w:val="24"/>
          <w:szCs w:val="24"/>
        </w:rPr>
        <w:t>je ponuda investicijskih usluga zajedno s drugom uslugom ili proizvodom kao dio paketa ili kao uvjet za taj ugovor ili paket</w:t>
      </w:r>
    </w:p>
    <w:p w14:paraId="1E79836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60. </w:t>
      </w:r>
      <w:r w:rsidRPr="000479E9">
        <w:rPr>
          <w:rFonts w:ascii="Times New Roman" w:hAnsi="Times New Roman" w:cs="Times New Roman"/>
          <w:i/>
          <w:iCs/>
          <w:sz w:val="24"/>
          <w:szCs w:val="24"/>
        </w:rPr>
        <w:t>mjere za sprječavanje krize </w:t>
      </w:r>
      <w:r w:rsidRPr="000479E9">
        <w:rPr>
          <w:rFonts w:ascii="Times New Roman" w:hAnsi="Times New Roman" w:cs="Times New Roman"/>
          <w:sz w:val="24"/>
          <w:szCs w:val="24"/>
        </w:rPr>
        <w:t>su ovlasti za izravno uklanjanje nedostataka ili prepreka oporavku u skladu s člankom 179. stavcima 8. do 11. ovoga Zakona, primjena mjera rane intervencije u skladu s člancima 213. do 219. ovoga Zakona, imenovanje posebnog povjerenika u skladu s člankom 216. ovoga Zakona, kao i izvršavanje ovlasti za rješavanje ili uklanjanje prepreka mogućnosti sanacije ili izvršavanje ovlasti otpisa ili konverzije u skladu sa zakonom kojim se uređuje sanacija investicijskih društava</w:t>
      </w:r>
    </w:p>
    <w:p w14:paraId="36B3315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61. </w:t>
      </w:r>
      <w:r w:rsidRPr="000479E9">
        <w:rPr>
          <w:rFonts w:ascii="Times New Roman" w:hAnsi="Times New Roman" w:cs="Times New Roman"/>
          <w:i/>
          <w:iCs/>
          <w:sz w:val="24"/>
          <w:szCs w:val="24"/>
        </w:rPr>
        <w:t>mjesto trgovanja </w:t>
      </w:r>
      <w:r w:rsidRPr="000479E9">
        <w:rPr>
          <w:rFonts w:ascii="Times New Roman" w:hAnsi="Times New Roman" w:cs="Times New Roman"/>
          <w:sz w:val="24"/>
          <w:szCs w:val="24"/>
        </w:rPr>
        <w:t>je uređeno tržište, MTP ili OTP</w:t>
      </w:r>
    </w:p>
    <w:p w14:paraId="137849B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62. </w:t>
      </w:r>
      <w:r w:rsidRPr="000479E9">
        <w:rPr>
          <w:rFonts w:ascii="Times New Roman" w:hAnsi="Times New Roman" w:cs="Times New Roman"/>
          <w:i/>
          <w:iCs/>
          <w:sz w:val="24"/>
          <w:szCs w:val="24"/>
        </w:rPr>
        <w:t>mješoviti financijski holding </w:t>
      </w:r>
      <w:r w:rsidRPr="000479E9">
        <w:rPr>
          <w:rFonts w:ascii="Times New Roman" w:hAnsi="Times New Roman" w:cs="Times New Roman"/>
          <w:sz w:val="24"/>
          <w:szCs w:val="24"/>
        </w:rPr>
        <w:t>je mješoviti financijski holding kako je definiran zakonom kojim se uređuje dodatni nadzor kreditnih institucija, društava za osiguranje i investicijskih društava u financijskom konglomeratu</w:t>
      </w:r>
    </w:p>
    <w:p w14:paraId="08B0E86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63. </w:t>
      </w:r>
      <w:r w:rsidRPr="000479E9">
        <w:rPr>
          <w:rFonts w:ascii="Times New Roman" w:hAnsi="Times New Roman" w:cs="Times New Roman"/>
          <w:i/>
          <w:iCs/>
          <w:sz w:val="24"/>
          <w:szCs w:val="24"/>
        </w:rPr>
        <w:t>mješoviti holding </w:t>
      </w:r>
      <w:r w:rsidRPr="000479E9">
        <w:rPr>
          <w:rFonts w:ascii="Times New Roman" w:hAnsi="Times New Roman" w:cs="Times New Roman"/>
          <w:sz w:val="24"/>
          <w:szCs w:val="24"/>
        </w:rPr>
        <w:t>je matično poduzeće koje nije financijski holding, investicijski holding, kreditna institucija, investicijsko društvo ili mješoviti financijski holding u smislu zakona kojim se uređuje dodatni nadzor kreditnih institucija, društava za osiguranje i investicijskih društava u financijskom konglomeratu, a čija poduzeća kćeri uključuju barem jedno investicijsko društvo</w:t>
      </w:r>
    </w:p>
    <w:p w14:paraId="05D0284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64. </w:t>
      </w:r>
      <w:r w:rsidRPr="000479E9">
        <w:rPr>
          <w:rFonts w:ascii="Times New Roman" w:hAnsi="Times New Roman" w:cs="Times New Roman"/>
          <w:i/>
          <w:iCs/>
          <w:sz w:val="24"/>
          <w:szCs w:val="24"/>
        </w:rPr>
        <w:t>mrežni i informacijski sustav </w:t>
      </w:r>
      <w:r w:rsidRPr="000479E9">
        <w:rPr>
          <w:rFonts w:ascii="Times New Roman" w:hAnsi="Times New Roman" w:cs="Times New Roman"/>
          <w:sz w:val="24"/>
          <w:szCs w:val="24"/>
        </w:rPr>
        <w:t>je sustav kako je definiran člankom 4. točkom 1. Direktive (EU) 2016/1148 Europskog parlamenta i Vijeća od 6. srpnja 2016. o mjerama za visoku zajedničku razinu sigurnosti mrežnih i informacijskih sustava širom Unije (SL L 194, 19. 7. 2016.)</w:t>
      </w:r>
    </w:p>
    <w:p w14:paraId="1DA637D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65. </w:t>
      </w:r>
      <w:r w:rsidRPr="000479E9">
        <w:rPr>
          <w:rFonts w:ascii="Times New Roman" w:hAnsi="Times New Roman" w:cs="Times New Roman"/>
          <w:i/>
          <w:iCs/>
          <w:sz w:val="24"/>
          <w:szCs w:val="24"/>
        </w:rPr>
        <w:t>multilateralna trgovinska platforma </w:t>
      </w:r>
      <w:r w:rsidRPr="000479E9">
        <w:rPr>
          <w:rFonts w:ascii="Times New Roman" w:hAnsi="Times New Roman" w:cs="Times New Roman"/>
          <w:sz w:val="24"/>
          <w:szCs w:val="24"/>
        </w:rPr>
        <w:t>ili MTP je multilateralni sustav kojim upravlja investicijsko društvo ili tržišni operater, koji u sustavu i prema unaprijed poznatim i nediskrecijskim pravilima spaja ili omogućuje spajanje ponuda za kupnju i ponuda za prodaju financijskih instrumentima trećih tako da nastaje ugovor u skladu s odredbama dijela drugoga glave III. poglavlja VII. ovoga Zakona</w:t>
      </w:r>
    </w:p>
    <w:p w14:paraId="0CB8D2E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66. </w:t>
      </w:r>
      <w:r w:rsidRPr="000479E9">
        <w:rPr>
          <w:rFonts w:ascii="Times New Roman" w:hAnsi="Times New Roman" w:cs="Times New Roman"/>
          <w:i/>
          <w:iCs/>
          <w:sz w:val="24"/>
          <w:szCs w:val="24"/>
        </w:rPr>
        <w:t>multilateralni sustav</w:t>
      </w:r>
      <w:r w:rsidRPr="000479E9">
        <w:rPr>
          <w:rFonts w:ascii="Times New Roman" w:hAnsi="Times New Roman" w:cs="Times New Roman"/>
          <w:sz w:val="24"/>
          <w:szCs w:val="24"/>
        </w:rPr>
        <w:t xml:space="preserve"> je sustav kako je definiran u članku 2. stavku 1. točki 11. Uredbe (EU) br. 600/214</w:t>
      </w:r>
    </w:p>
    <w:p w14:paraId="297EB5D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67. </w:t>
      </w:r>
      <w:r w:rsidRPr="000479E9">
        <w:rPr>
          <w:rFonts w:ascii="Times New Roman" w:hAnsi="Times New Roman" w:cs="Times New Roman"/>
          <w:i/>
          <w:iCs/>
          <w:sz w:val="24"/>
          <w:szCs w:val="24"/>
        </w:rPr>
        <w:t>nadležno tijelo države članice </w:t>
      </w:r>
      <w:r w:rsidRPr="000479E9">
        <w:rPr>
          <w:rFonts w:ascii="Times New Roman" w:hAnsi="Times New Roman" w:cs="Times New Roman"/>
          <w:sz w:val="24"/>
          <w:szCs w:val="24"/>
        </w:rPr>
        <w:t>je nadležno tijelo pojedine države članice koje je na temelju propisa te države članice nadležno za provedbu propisa iz članka 2. stavaka 1. i 2. ovoga Zakona, ako ovim Zakonom nije drugačije propisano</w:t>
      </w:r>
    </w:p>
    <w:p w14:paraId="7D11CF9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68. </w:t>
      </w:r>
      <w:r w:rsidRPr="000479E9">
        <w:rPr>
          <w:rFonts w:ascii="Times New Roman" w:hAnsi="Times New Roman" w:cs="Times New Roman"/>
          <w:i/>
          <w:iCs/>
          <w:sz w:val="24"/>
          <w:szCs w:val="24"/>
        </w:rPr>
        <w:t>nadzorno tijelo grupe </w:t>
      </w:r>
      <w:r w:rsidRPr="000479E9">
        <w:rPr>
          <w:rFonts w:ascii="Times New Roman" w:hAnsi="Times New Roman" w:cs="Times New Roman"/>
          <w:sz w:val="24"/>
          <w:szCs w:val="24"/>
        </w:rPr>
        <w:t>je nadležno tijelo odgovorno za nadzor usklađenosti matičnih investicijskih društava iz Unije i investicijskih društava pod kontrolom matičnih investicijskih holdinga iz Unije ili matičnih mješovitih financijskih holdinga iz Unije s kriterijem kapitala grupe</w:t>
      </w:r>
    </w:p>
    <w:p w14:paraId="2F56BF2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69. </w:t>
      </w:r>
      <w:r w:rsidRPr="000479E9">
        <w:rPr>
          <w:rFonts w:ascii="Times New Roman" w:hAnsi="Times New Roman" w:cs="Times New Roman"/>
          <w:i/>
          <w:iCs/>
          <w:sz w:val="24"/>
          <w:szCs w:val="24"/>
        </w:rPr>
        <w:t>namira </w:t>
      </w:r>
      <w:r w:rsidRPr="000479E9">
        <w:rPr>
          <w:rFonts w:ascii="Times New Roman" w:hAnsi="Times New Roman" w:cs="Times New Roman"/>
          <w:sz w:val="24"/>
          <w:szCs w:val="24"/>
        </w:rPr>
        <w:t>je namira kako je definirana u članku 2. stavku 1. točki 7. Uredbe (EU) br. 909/2014</w:t>
      </w:r>
    </w:p>
    <w:p w14:paraId="2DF13F5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70. </w:t>
      </w:r>
      <w:r w:rsidRPr="000479E9">
        <w:rPr>
          <w:rFonts w:ascii="Times New Roman" w:hAnsi="Times New Roman" w:cs="Times New Roman"/>
          <w:i/>
          <w:iCs/>
          <w:sz w:val="24"/>
          <w:szCs w:val="24"/>
        </w:rPr>
        <w:t>nefinancijska druga ugovorna strana </w:t>
      </w:r>
      <w:r w:rsidRPr="000479E9">
        <w:rPr>
          <w:rFonts w:ascii="Times New Roman" w:hAnsi="Times New Roman" w:cs="Times New Roman"/>
          <w:sz w:val="24"/>
          <w:szCs w:val="24"/>
        </w:rPr>
        <w:t>je nefinancijska druga ugovorna strana kako je definirana u članku 2. točki 9. Uredbe (EU) br. 648/2012</w:t>
      </w:r>
    </w:p>
    <w:p w14:paraId="1B18FC6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71. </w:t>
      </w:r>
      <w:r w:rsidRPr="000479E9">
        <w:rPr>
          <w:rFonts w:ascii="Times New Roman" w:hAnsi="Times New Roman" w:cs="Times New Roman"/>
          <w:i/>
          <w:iCs/>
          <w:sz w:val="24"/>
          <w:szCs w:val="24"/>
        </w:rPr>
        <w:t>nematerijalizirani oblik </w:t>
      </w:r>
      <w:r w:rsidRPr="000479E9">
        <w:rPr>
          <w:rFonts w:ascii="Times New Roman" w:hAnsi="Times New Roman" w:cs="Times New Roman"/>
          <w:sz w:val="24"/>
          <w:szCs w:val="24"/>
        </w:rPr>
        <w:t>je nematerijalizirani oblik kako je definiran u članku 2. stavku 1. točki 4. Uredbe (EU) br. 909/2014</w:t>
      </w:r>
    </w:p>
    <w:p w14:paraId="28989E1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72. </w:t>
      </w:r>
      <w:r w:rsidRPr="000479E9">
        <w:rPr>
          <w:rFonts w:ascii="Times New Roman" w:hAnsi="Times New Roman" w:cs="Times New Roman"/>
          <w:i/>
          <w:iCs/>
          <w:sz w:val="24"/>
          <w:szCs w:val="24"/>
        </w:rPr>
        <w:t>održavatelj tržišta </w:t>
      </w:r>
      <w:r w:rsidRPr="000479E9">
        <w:rPr>
          <w:rFonts w:ascii="Times New Roman" w:hAnsi="Times New Roman" w:cs="Times New Roman"/>
          <w:sz w:val="24"/>
          <w:szCs w:val="24"/>
        </w:rPr>
        <w:t>je osoba koja se na financijskom tržištu kontinuirano predstavlja da je voljna trgovati za vlastiti račun tako da kupuje i prodaje financijske instrumente, koristeći se vlastitim kapitalom po cijenama koje sama odredi</w:t>
      </w:r>
    </w:p>
    <w:p w14:paraId="01F4BC0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73. </w:t>
      </w:r>
      <w:r w:rsidRPr="000479E9">
        <w:rPr>
          <w:rFonts w:ascii="Times New Roman" w:hAnsi="Times New Roman" w:cs="Times New Roman"/>
          <w:i/>
          <w:iCs/>
          <w:sz w:val="24"/>
          <w:szCs w:val="24"/>
        </w:rPr>
        <w:t>organizirana trgovinska platforma </w:t>
      </w:r>
      <w:r w:rsidRPr="000479E9">
        <w:rPr>
          <w:rFonts w:ascii="Times New Roman" w:hAnsi="Times New Roman" w:cs="Times New Roman"/>
          <w:sz w:val="24"/>
          <w:szCs w:val="24"/>
        </w:rPr>
        <w:t>ili OTP je multilateralni sustav, koji nije uređeno tržište ili MTP, koji omogućuje da se u tom sustavu susretnu ponude za kupnju i ponude za prodaju obveznica, strukturiranih financijskih proizvoda, emisijskih jedinica ili izvedenica više zainteresiranih trećih strana tako da nastaje ugovor u skladu s odredbama dijela drugoga glave III. poglavlja VII. ovoga Zakona</w:t>
      </w:r>
    </w:p>
    <w:p w14:paraId="24DF42A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74. </w:t>
      </w:r>
      <w:r w:rsidRPr="000479E9">
        <w:rPr>
          <w:rFonts w:ascii="Times New Roman" w:hAnsi="Times New Roman" w:cs="Times New Roman"/>
          <w:i/>
          <w:iCs/>
          <w:sz w:val="24"/>
          <w:szCs w:val="24"/>
        </w:rPr>
        <w:t>osoba u rodbinskom odnosu s relevantnom osobom </w:t>
      </w:r>
      <w:r w:rsidRPr="000479E9">
        <w:rPr>
          <w:rFonts w:ascii="Times New Roman" w:hAnsi="Times New Roman" w:cs="Times New Roman"/>
          <w:sz w:val="24"/>
          <w:szCs w:val="24"/>
        </w:rPr>
        <w:t>je osoba u rodbinskom odnosu s relevantnom osobom kako je definirana u članku 2. točki 3.a Delegirane uredbe (EU) br. 2017/565</w:t>
      </w:r>
    </w:p>
    <w:p w14:paraId="240D954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75. </w:t>
      </w:r>
      <w:r w:rsidRPr="000479E9">
        <w:rPr>
          <w:rFonts w:ascii="Times New Roman" w:hAnsi="Times New Roman" w:cs="Times New Roman"/>
          <w:i/>
          <w:iCs/>
          <w:sz w:val="24"/>
          <w:szCs w:val="24"/>
        </w:rPr>
        <w:t>osobe koje djeluju zajednički </w:t>
      </w:r>
      <w:r w:rsidRPr="000479E9">
        <w:rPr>
          <w:rFonts w:ascii="Times New Roman" w:hAnsi="Times New Roman" w:cs="Times New Roman"/>
          <w:sz w:val="24"/>
          <w:szCs w:val="24"/>
        </w:rPr>
        <w:t>su:</w:t>
      </w:r>
    </w:p>
    <w:p w14:paraId="3825B37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fizičke ili pravne osobe koje surađuju međusobno ili s investicijskim društvom na temelju sporazuma, izričitoga ili prešutnoga, usmenoga ili pisanoga, čiji je cilj stjecanje dionica s pravom glasa ili usklađeno ostvarivanje prava glasa ili</w:t>
      </w:r>
    </w:p>
    <w:p w14:paraId="1963C0A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pravne osobe koje su međusobno povezane u smislu odredbi zakona kojim se uređuje osnivanje i poslovanje trgovačkih društava</w:t>
      </w:r>
    </w:p>
    <w:p w14:paraId="22E3161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Smatra se da djeluju zajednički:</w:t>
      </w:r>
    </w:p>
    <w:p w14:paraId="7CD281F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osobe koje povezuju samo okolnosti u svezi sa stjecanjem dionica, a koje ukazuju na usklađenost u stjecanju dionica ili u zajedničkoj namjeri osoba</w:t>
      </w:r>
    </w:p>
    <w:p w14:paraId="32D18B6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članovi uprava ili nadzornih odbora društava koji djeluju zajednički ili</w:t>
      </w:r>
    </w:p>
    <w:p w14:paraId="2BDD7C6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članovi uprave ili nadzornog odbora s društvima u kojima su članovi tih tijela</w:t>
      </w:r>
    </w:p>
    <w:p w14:paraId="6AFB608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Pravne osobe te fizičke i/ili pravne osobe djeluju zajednički kada fizička i/ili pravna osoba ima:</w:t>
      </w:r>
    </w:p>
    <w:p w14:paraId="48B2E95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izravno ili neizravno više od 25% udjela u temeljnom kapitalu iste pravne osobe</w:t>
      </w:r>
    </w:p>
    <w:p w14:paraId="12AEA7C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izravno ili neizravno više od 25% glasačkih prava u glavnoj skupštini iste pravne osobe</w:t>
      </w:r>
    </w:p>
    <w:p w14:paraId="5166D90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pravo upravljanja poslovnim i financijskim politikama iste pravne osobe na temelju ovlasti iz statuta ili sporazuma ili</w:t>
      </w:r>
    </w:p>
    <w:p w14:paraId="71A0BEA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izravno ili neizravno prevladavajući utjecaj na vođenje poslova i donošenje odluka</w:t>
      </w:r>
    </w:p>
    <w:p w14:paraId="3EBFEA9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76. </w:t>
      </w:r>
      <w:r w:rsidRPr="000479E9">
        <w:rPr>
          <w:rFonts w:ascii="Times New Roman" w:hAnsi="Times New Roman" w:cs="Times New Roman"/>
          <w:i/>
          <w:iCs/>
          <w:sz w:val="24"/>
          <w:szCs w:val="24"/>
        </w:rPr>
        <w:t>osobna transakcija </w:t>
      </w:r>
      <w:r w:rsidRPr="000479E9">
        <w:rPr>
          <w:rFonts w:ascii="Times New Roman" w:hAnsi="Times New Roman" w:cs="Times New Roman"/>
          <w:sz w:val="24"/>
          <w:szCs w:val="24"/>
        </w:rPr>
        <w:t>je osobna transakcija kako je definirana u članku 28. Delegirane uredbe (EU) br. 2017/565</w:t>
      </w:r>
    </w:p>
    <w:p w14:paraId="63973A2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77. </w:t>
      </w:r>
      <w:r w:rsidRPr="000479E9">
        <w:rPr>
          <w:rFonts w:ascii="Times New Roman" w:hAnsi="Times New Roman" w:cs="Times New Roman"/>
          <w:i/>
          <w:iCs/>
          <w:sz w:val="24"/>
          <w:szCs w:val="24"/>
        </w:rPr>
        <w:t>OTC izvedenica ili ugovor o OTC izvedenicama </w:t>
      </w:r>
      <w:r w:rsidRPr="000479E9">
        <w:rPr>
          <w:rFonts w:ascii="Times New Roman" w:hAnsi="Times New Roman" w:cs="Times New Roman"/>
          <w:sz w:val="24"/>
          <w:szCs w:val="24"/>
        </w:rPr>
        <w:t>je OTC izvedenica ili ugovor o OTC izvedenicama kako je definiran u članku 2. točki 7. Uredbe (EU) br. 648/2012</w:t>
      </w:r>
    </w:p>
    <w:p w14:paraId="3B9EFD2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78. </w:t>
      </w:r>
      <w:r w:rsidRPr="000479E9">
        <w:rPr>
          <w:rFonts w:ascii="Times New Roman" w:hAnsi="Times New Roman" w:cs="Times New Roman"/>
          <w:i/>
          <w:iCs/>
          <w:sz w:val="24"/>
          <w:szCs w:val="24"/>
        </w:rPr>
        <w:t>ovlašteni mehanizam izvještavanja ili ARM </w:t>
      </w:r>
      <w:r w:rsidRPr="000479E9">
        <w:rPr>
          <w:rFonts w:ascii="Times New Roman" w:hAnsi="Times New Roman" w:cs="Times New Roman"/>
          <w:sz w:val="24"/>
          <w:szCs w:val="24"/>
        </w:rPr>
        <w:t>je ovlašteni mehanizam izvještavanja ili ARM kako je definirano u članku 2. stavku 1. točki 36. Uredbe (EU) br. 600/2014</w:t>
      </w:r>
    </w:p>
    <w:p w14:paraId="5D638FB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79. </w:t>
      </w:r>
      <w:r w:rsidRPr="000479E9">
        <w:rPr>
          <w:rFonts w:ascii="Times New Roman" w:hAnsi="Times New Roman" w:cs="Times New Roman"/>
          <w:i/>
          <w:iCs/>
          <w:sz w:val="24"/>
          <w:szCs w:val="24"/>
        </w:rPr>
        <w:t>ovlašteni revizor </w:t>
      </w:r>
      <w:r w:rsidRPr="000479E9">
        <w:rPr>
          <w:rFonts w:ascii="Times New Roman" w:hAnsi="Times New Roman" w:cs="Times New Roman"/>
          <w:sz w:val="24"/>
          <w:szCs w:val="24"/>
        </w:rPr>
        <w:t>je ovlašteni revizor kako je definiran propisima kojima se uređuje obavljanje revizije financijskih izvještaja i konsolidiranih financijskih izvještaja</w:t>
      </w:r>
    </w:p>
    <w:p w14:paraId="4F8D870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80. </w:t>
      </w:r>
      <w:r w:rsidRPr="000479E9">
        <w:rPr>
          <w:rFonts w:ascii="Times New Roman" w:hAnsi="Times New Roman" w:cs="Times New Roman"/>
          <w:i/>
          <w:iCs/>
          <w:sz w:val="24"/>
          <w:szCs w:val="24"/>
        </w:rPr>
        <w:t>ovlašteni sustav objavljivanja ili APA </w:t>
      </w:r>
      <w:r w:rsidRPr="000479E9">
        <w:rPr>
          <w:rFonts w:ascii="Times New Roman" w:hAnsi="Times New Roman" w:cs="Times New Roman"/>
          <w:sz w:val="24"/>
          <w:szCs w:val="24"/>
        </w:rPr>
        <w:t>je ovlašteni sustav objavljivanja ili APA kako je definirano u članku 2. stavku 1. točki 34. Uredbe (EU) br. 600/2014</w:t>
      </w:r>
    </w:p>
    <w:p w14:paraId="0381AA5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81. </w:t>
      </w:r>
      <w:r w:rsidRPr="000479E9">
        <w:rPr>
          <w:rFonts w:ascii="Times New Roman" w:hAnsi="Times New Roman" w:cs="Times New Roman"/>
          <w:i/>
          <w:iCs/>
          <w:sz w:val="24"/>
          <w:szCs w:val="24"/>
        </w:rPr>
        <w:t>podružnica investicijskog društva </w:t>
      </w:r>
      <w:r w:rsidRPr="000479E9">
        <w:rPr>
          <w:rFonts w:ascii="Times New Roman" w:hAnsi="Times New Roman" w:cs="Times New Roman"/>
          <w:sz w:val="24"/>
          <w:szCs w:val="24"/>
        </w:rPr>
        <w:t>je svako mjesto poslovanja različito od mjesta glavnog ureda koje je dio investicijskog društva, nema pravnu osobnost i koje obavlja investicijske usluge i/ili aktivnosti i koje ujedno može pružati pomoćne usluge za koje investicijsko društvo ima odobrenje; sva mjesta poslovanja koje investicijsko društvo iz druge države članice ima u Republici Hrvatskoj smatrat će se jednom podružnicom u smislu ovoga Zakona</w:t>
      </w:r>
    </w:p>
    <w:p w14:paraId="207108E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82. </w:t>
      </w:r>
      <w:r w:rsidRPr="000479E9">
        <w:rPr>
          <w:rFonts w:ascii="Times New Roman" w:hAnsi="Times New Roman" w:cs="Times New Roman"/>
          <w:i/>
          <w:iCs/>
          <w:sz w:val="24"/>
          <w:szCs w:val="24"/>
        </w:rPr>
        <w:t>podružnica središnjeg depozitorija </w:t>
      </w:r>
      <w:r w:rsidRPr="000479E9">
        <w:rPr>
          <w:rFonts w:ascii="Times New Roman" w:hAnsi="Times New Roman" w:cs="Times New Roman"/>
          <w:sz w:val="24"/>
          <w:szCs w:val="24"/>
        </w:rPr>
        <w:t>je mjesto poslovanja koje je definirano u članku 2. stavku 1. točki 25. Uredbe (EU) br. 909/2014</w:t>
      </w:r>
    </w:p>
    <w:p w14:paraId="2B6E4C7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83. </w:t>
      </w:r>
      <w:r w:rsidRPr="000479E9">
        <w:rPr>
          <w:rFonts w:ascii="Times New Roman" w:hAnsi="Times New Roman" w:cs="Times New Roman"/>
          <w:i/>
          <w:iCs/>
          <w:sz w:val="24"/>
          <w:szCs w:val="24"/>
        </w:rPr>
        <w:t>poljoprivredne robne izvedenice </w:t>
      </w:r>
      <w:r w:rsidRPr="000479E9">
        <w:rPr>
          <w:rFonts w:ascii="Times New Roman" w:hAnsi="Times New Roman" w:cs="Times New Roman"/>
          <w:sz w:val="24"/>
          <w:szCs w:val="24"/>
        </w:rPr>
        <w:t>su ugovori o izvedenicama koji se odnose na proizvode nabrojene u članku 1. Uredbe (EU) br. 1308/2013 i njezinu prilogu I., dijelovima I. do XX. i XXIV. odjeljku 1. Priloga I. Uredbi (EU) br. 1308/2013 Europskog parlamenta i Vijeća, kao i na proizvode navedene u Prilogu I. Uredbi (EU) br. 1379/2013 Europskog parlamenta i Vijeća</w:t>
      </w:r>
    </w:p>
    <w:p w14:paraId="4178824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84. </w:t>
      </w:r>
      <w:r w:rsidRPr="000479E9">
        <w:rPr>
          <w:rFonts w:ascii="Times New Roman" w:hAnsi="Times New Roman" w:cs="Times New Roman"/>
          <w:i/>
          <w:iCs/>
          <w:sz w:val="24"/>
          <w:szCs w:val="24"/>
        </w:rPr>
        <w:t>poravnanje </w:t>
      </w:r>
      <w:r w:rsidRPr="000479E9">
        <w:rPr>
          <w:rFonts w:ascii="Times New Roman" w:hAnsi="Times New Roman" w:cs="Times New Roman"/>
          <w:sz w:val="24"/>
          <w:szCs w:val="24"/>
        </w:rPr>
        <w:t>je postupak uspoređivanja podataka po sklopljenim pravnim poslovima s nematerijaliziranim vrijednosnim papirima, utvrđivanje rokova podmirenja tih pravnih poslova te izračun obveza za namiru, koji se provodi uz posredovanje ili bez posredovanja središnje druge ugovorne strane. Kada se poravnanje provodi uz posredovanje središnje druge ugovorne strane, označava postupak koji je definiran u članku 2. stavku 3. Uredbe (EU) br. 648/2012</w:t>
      </w:r>
    </w:p>
    <w:p w14:paraId="472B43E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85. </w:t>
      </w:r>
      <w:r w:rsidRPr="000479E9">
        <w:rPr>
          <w:rFonts w:ascii="Times New Roman" w:hAnsi="Times New Roman" w:cs="Times New Roman"/>
          <w:i/>
          <w:iCs/>
          <w:sz w:val="24"/>
          <w:szCs w:val="24"/>
        </w:rPr>
        <w:t>potvrde o deponiranim vrijednosnim papirima </w:t>
      </w:r>
      <w:r w:rsidRPr="000479E9">
        <w:rPr>
          <w:rFonts w:ascii="Times New Roman" w:hAnsi="Times New Roman" w:cs="Times New Roman"/>
          <w:sz w:val="24"/>
          <w:szCs w:val="24"/>
        </w:rPr>
        <w:t>su vrijednosni papiri koji su prenosivi na tržištu kapitala i koji predstavljaju vrijednosne papire inozemnog izdavatelja, a koji se mogu uvrstiti na uređeno tržište i kojima se može trgovati neovisno o vrijednosnim papirima inozemnog izdavatelja</w:t>
      </w:r>
    </w:p>
    <w:p w14:paraId="61D8A16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86. </w:t>
      </w:r>
      <w:r w:rsidRPr="000479E9">
        <w:rPr>
          <w:rFonts w:ascii="Times New Roman" w:hAnsi="Times New Roman" w:cs="Times New Roman"/>
          <w:i/>
          <w:iCs/>
          <w:sz w:val="24"/>
          <w:szCs w:val="24"/>
        </w:rPr>
        <w:t>povezane osobe </w:t>
      </w:r>
      <w:r w:rsidRPr="000479E9">
        <w:rPr>
          <w:rFonts w:ascii="Times New Roman" w:hAnsi="Times New Roman" w:cs="Times New Roman"/>
          <w:sz w:val="24"/>
          <w:szCs w:val="24"/>
        </w:rPr>
        <w:t>su dvije ili više pravnih ili fizičkih osoba i članovi njihovih užih obitelji koji su, ako se ne dokaže drugačije, za investicijsko društvo jedan rizik jer:</w:t>
      </w:r>
    </w:p>
    <w:p w14:paraId="4EB5A86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jedna od njih ima, izravno ili neizravno, kontrolu nad drugom odnosno drugima ili</w:t>
      </w:r>
    </w:p>
    <w:p w14:paraId="2A09DD5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su međusobno povezane tako da postoji velika vjerojatnost da će zbog pogoršanja ili poboljšanja gospodarskog i financijskog stanja jedne osobe doći do pogoršanja ili poboljšanja gospodarskog i financijskog stanja jedne ili više drugih osoba, osobito ako između njih postoji mogućnost prijenosa gubitka, dobiti, kreditne sposobnosti ili ako poteškoće u izvorima financiranja odnosno podmirivanju obveza jedne osobe mogu prouzročiti poteškoće u izvoru financiranja odnosno podmirivanja obveza jedne ili više drugih osoba</w:t>
      </w:r>
    </w:p>
    <w:p w14:paraId="577D4AB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87. </w:t>
      </w:r>
      <w:r w:rsidRPr="000479E9">
        <w:rPr>
          <w:rFonts w:ascii="Times New Roman" w:hAnsi="Times New Roman" w:cs="Times New Roman"/>
          <w:i/>
          <w:iCs/>
          <w:sz w:val="24"/>
          <w:szCs w:val="24"/>
        </w:rPr>
        <w:t>prenosivi vrijednosni papiri </w:t>
      </w:r>
      <w:r w:rsidRPr="000479E9">
        <w:rPr>
          <w:rFonts w:ascii="Times New Roman" w:hAnsi="Times New Roman" w:cs="Times New Roman"/>
          <w:sz w:val="24"/>
          <w:szCs w:val="24"/>
        </w:rPr>
        <w:t>su one vrste vrijednosnih papira koji su prenosivi na tržištu kapitala, kao što su:</w:t>
      </w:r>
    </w:p>
    <w:p w14:paraId="7CA82ED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dionice i drugi ekvivalentni vrijednosni papiri koji predstavljaju udio u kapitalu ili članskim pravima u društvu ili drugom subjektu te potvrde o deponiranim vrijednosnim papirima za dionice</w:t>
      </w:r>
    </w:p>
    <w:p w14:paraId="5B19B83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obveznice i drugi oblici sekuritiziranog duga, uključujući i potvrde o deponiranim vrijednosnim papirima za takve vrijednosne papire</w:t>
      </w:r>
    </w:p>
    <w:p w14:paraId="04BCBBD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svi ostali vrijednosni papiri koji daju pravo na stjecanje ili prodaju prenosivih vrijednosnih papira ili koji se namiruju u novcu pozivanjem na prenosive vrijednosne papire, valute, kamatne stope ili prinose, robu ili druge indekse ili mjerne veličine</w:t>
      </w:r>
    </w:p>
    <w:p w14:paraId="577E36B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Instrumenti plaćanja ne smatraju se prenosivim vrijednosnim papirima u smislu ove točke ovoga članka.</w:t>
      </w:r>
    </w:p>
    <w:p w14:paraId="2005D2A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88. </w:t>
      </w:r>
      <w:r w:rsidRPr="000479E9">
        <w:rPr>
          <w:rFonts w:ascii="Times New Roman" w:hAnsi="Times New Roman" w:cs="Times New Roman"/>
          <w:i/>
          <w:iCs/>
          <w:sz w:val="24"/>
          <w:szCs w:val="24"/>
        </w:rPr>
        <w:t>pretežno komercijalna grupa </w:t>
      </w:r>
      <w:r w:rsidRPr="000479E9">
        <w:rPr>
          <w:rFonts w:ascii="Times New Roman" w:hAnsi="Times New Roman" w:cs="Times New Roman"/>
          <w:sz w:val="24"/>
          <w:szCs w:val="24"/>
        </w:rPr>
        <w:t>je svaka grupa čija redovna djelatnost nije obavljanje investicijskih usluga ili aktivnosti iz članka 5. stavka 1. ovoga Zakona ili obavljanje bilo koje uzajamno priznate usluge iz zakona kojim se uređuje osnivanje i poslovanje kreditnih institucija ili djelovanje kao održavatelj tržišta u odnosu na robne izvedenice</w:t>
      </w:r>
    </w:p>
    <w:p w14:paraId="1A6E8DF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89. </w:t>
      </w:r>
      <w:r w:rsidRPr="000479E9">
        <w:rPr>
          <w:rFonts w:ascii="Times New Roman" w:hAnsi="Times New Roman" w:cs="Times New Roman"/>
          <w:i/>
          <w:iCs/>
          <w:sz w:val="24"/>
          <w:szCs w:val="24"/>
        </w:rPr>
        <w:t>primici </w:t>
      </w:r>
      <w:r w:rsidRPr="000479E9">
        <w:rPr>
          <w:rFonts w:ascii="Times New Roman" w:hAnsi="Times New Roman" w:cs="Times New Roman"/>
          <w:sz w:val="24"/>
          <w:szCs w:val="24"/>
        </w:rPr>
        <w:t>su primici kako su definirani u članku 2. stavku 1. točki 5. Delegirane uredbe (EU) br. 2017/565</w:t>
      </w:r>
    </w:p>
    <w:p w14:paraId="1E49BD1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90. </w:t>
      </w:r>
      <w:r w:rsidRPr="000479E9">
        <w:rPr>
          <w:rFonts w:ascii="Times New Roman" w:hAnsi="Times New Roman" w:cs="Times New Roman"/>
          <w:i/>
          <w:iCs/>
          <w:sz w:val="24"/>
          <w:szCs w:val="24"/>
        </w:rPr>
        <w:t>pružatelj usluga dostave podataka </w:t>
      </w:r>
      <w:r w:rsidRPr="000479E9">
        <w:rPr>
          <w:rFonts w:ascii="Times New Roman" w:hAnsi="Times New Roman" w:cs="Times New Roman"/>
          <w:sz w:val="24"/>
          <w:szCs w:val="24"/>
        </w:rPr>
        <w:t>je pružatelj usluge dostave podataka kako je definirano u članku 2. stavku 1. točki 36.a. Uredbe (EU) br. 600/2014</w:t>
      </w:r>
    </w:p>
    <w:p w14:paraId="0DE6D15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91. </w:t>
      </w:r>
      <w:r w:rsidRPr="000479E9">
        <w:rPr>
          <w:rFonts w:ascii="Times New Roman" w:hAnsi="Times New Roman" w:cs="Times New Roman"/>
          <w:i/>
          <w:iCs/>
          <w:sz w:val="24"/>
          <w:szCs w:val="24"/>
        </w:rPr>
        <w:t>račun za namiru </w:t>
      </w:r>
      <w:r w:rsidRPr="000479E9">
        <w:rPr>
          <w:rFonts w:ascii="Times New Roman" w:hAnsi="Times New Roman" w:cs="Times New Roman"/>
          <w:sz w:val="24"/>
          <w:szCs w:val="24"/>
        </w:rPr>
        <w:t>je račun za namiru u smislu posebnog zakona kojim se uređuje konačnost namire u platnim sustavima i sustavima za namiru financijskih instrumenata</w:t>
      </w:r>
    </w:p>
    <w:p w14:paraId="6AFA288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92. </w:t>
      </w:r>
      <w:r w:rsidRPr="000479E9">
        <w:rPr>
          <w:rFonts w:ascii="Times New Roman" w:hAnsi="Times New Roman" w:cs="Times New Roman"/>
          <w:i/>
          <w:iCs/>
          <w:sz w:val="24"/>
          <w:szCs w:val="24"/>
        </w:rPr>
        <w:t>rastuće tržište malih i srednjih poduzeća </w:t>
      </w:r>
      <w:r w:rsidRPr="000479E9">
        <w:rPr>
          <w:rFonts w:ascii="Times New Roman" w:hAnsi="Times New Roman" w:cs="Times New Roman"/>
          <w:sz w:val="24"/>
          <w:szCs w:val="24"/>
        </w:rPr>
        <w:t>je MTP koji je registriran kao tržište malih i srednjih poduzeća u skladu s odredbama iz članka 352. ovoga Zakona</w:t>
      </w:r>
    </w:p>
    <w:p w14:paraId="19F2DF00"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93. </w:t>
      </w:r>
      <w:r w:rsidRPr="000479E9">
        <w:rPr>
          <w:rFonts w:ascii="Times New Roman" w:hAnsi="Times New Roman" w:cs="Times New Roman"/>
          <w:i/>
          <w:iCs/>
          <w:sz w:val="24"/>
          <w:szCs w:val="24"/>
        </w:rPr>
        <w:t>relevantna osoba </w:t>
      </w:r>
      <w:r w:rsidRPr="000479E9">
        <w:rPr>
          <w:rFonts w:ascii="Times New Roman" w:hAnsi="Times New Roman" w:cs="Times New Roman"/>
          <w:sz w:val="24"/>
          <w:szCs w:val="24"/>
        </w:rPr>
        <w:t>je relevantna osoba kako je definirana u članku 2. stavku 1. točki 1. Delegirane uredbe (EU) br. 2017/565</w:t>
      </w:r>
    </w:p>
    <w:p w14:paraId="1561CFF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94. </w:t>
      </w:r>
      <w:r w:rsidRPr="000479E9">
        <w:rPr>
          <w:rFonts w:ascii="Times New Roman" w:hAnsi="Times New Roman" w:cs="Times New Roman"/>
          <w:i/>
          <w:iCs/>
          <w:sz w:val="24"/>
          <w:szCs w:val="24"/>
        </w:rPr>
        <w:t>relevantni propisi </w:t>
      </w:r>
      <w:r w:rsidRPr="000479E9">
        <w:rPr>
          <w:rFonts w:ascii="Times New Roman" w:hAnsi="Times New Roman" w:cs="Times New Roman"/>
          <w:sz w:val="24"/>
          <w:szCs w:val="24"/>
        </w:rPr>
        <w:t>su ovaj Zakon, propisi doneseni na temelju ovoga Zakona, kao i drugi propisi i uredbe Europske unije za čiju je provedbu kao nadležno tijelo ovlaštena Agencija</w:t>
      </w:r>
    </w:p>
    <w:p w14:paraId="64738C0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95. </w:t>
      </w:r>
      <w:r w:rsidRPr="000479E9">
        <w:rPr>
          <w:rFonts w:ascii="Times New Roman" w:hAnsi="Times New Roman" w:cs="Times New Roman"/>
          <w:i/>
          <w:iCs/>
          <w:sz w:val="24"/>
          <w:szCs w:val="24"/>
        </w:rPr>
        <w:t>revizija </w:t>
      </w:r>
      <w:r w:rsidRPr="000479E9">
        <w:rPr>
          <w:rFonts w:ascii="Times New Roman" w:hAnsi="Times New Roman" w:cs="Times New Roman"/>
          <w:sz w:val="24"/>
          <w:szCs w:val="24"/>
        </w:rPr>
        <w:t>za potrebe Agencije obuhvaća revizijske angažmane u svezi s obavljanjem povezanih usluga s revizijom godišnjih financijskih izvještaja, izražavanja uvjerenja, prema posebnim zahtjevima Agencije</w:t>
      </w:r>
    </w:p>
    <w:p w14:paraId="3FCF877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96. </w:t>
      </w:r>
      <w:r w:rsidRPr="000479E9">
        <w:rPr>
          <w:rFonts w:ascii="Times New Roman" w:hAnsi="Times New Roman" w:cs="Times New Roman"/>
          <w:i/>
          <w:iCs/>
          <w:sz w:val="24"/>
          <w:szCs w:val="24"/>
        </w:rPr>
        <w:t>revizor </w:t>
      </w:r>
      <w:r w:rsidRPr="000479E9">
        <w:rPr>
          <w:rFonts w:ascii="Times New Roman" w:hAnsi="Times New Roman" w:cs="Times New Roman"/>
          <w:sz w:val="24"/>
          <w:szCs w:val="24"/>
        </w:rPr>
        <w:t>obuhvaća revizorsko društvo i samostalnog revizora kako su definirani zakonom kojim se uređuje revizija</w:t>
      </w:r>
    </w:p>
    <w:p w14:paraId="178DA0E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97. </w:t>
      </w:r>
      <w:r w:rsidRPr="000479E9">
        <w:rPr>
          <w:rFonts w:ascii="Times New Roman" w:hAnsi="Times New Roman" w:cs="Times New Roman"/>
          <w:i/>
          <w:iCs/>
          <w:sz w:val="24"/>
          <w:szCs w:val="24"/>
        </w:rPr>
        <w:t>roba </w:t>
      </w:r>
      <w:r w:rsidRPr="000479E9">
        <w:rPr>
          <w:rFonts w:ascii="Times New Roman" w:hAnsi="Times New Roman" w:cs="Times New Roman"/>
          <w:sz w:val="24"/>
          <w:szCs w:val="24"/>
        </w:rPr>
        <w:t>je roba kako je definirana u članku 2. stavku 1. točki 6. Delegirane uredbe (EU) br. 2017/565</w:t>
      </w:r>
    </w:p>
    <w:p w14:paraId="2F6367C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98. </w:t>
      </w:r>
      <w:r w:rsidRPr="000479E9">
        <w:rPr>
          <w:rFonts w:ascii="Times New Roman" w:hAnsi="Times New Roman" w:cs="Times New Roman"/>
          <w:i/>
          <w:iCs/>
          <w:sz w:val="24"/>
          <w:szCs w:val="24"/>
        </w:rPr>
        <w:t>robne izvedenice </w:t>
      </w:r>
      <w:r w:rsidRPr="000479E9">
        <w:rPr>
          <w:rFonts w:ascii="Times New Roman" w:hAnsi="Times New Roman" w:cs="Times New Roman"/>
          <w:sz w:val="24"/>
          <w:szCs w:val="24"/>
        </w:rPr>
        <w:t>su robne izvedenice kako su definirane u članku 2. stavku 1. točki 30. Uredbe (EU) br. 600/2014</w:t>
      </w:r>
    </w:p>
    <w:p w14:paraId="1390582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99. </w:t>
      </w:r>
      <w:r w:rsidRPr="000479E9">
        <w:rPr>
          <w:rFonts w:ascii="Times New Roman" w:hAnsi="Times New Roman" w:cs="Times New Roman"/>
          <w:i/>
          <w:iCs/>
          <w:sz w:val="24"/>
          <w:szCs w:val="24"/>
        </w:rPr>
        <w:t>rodno neutralna politika primitaka </w:t>
      </w:r>
      <w:r w:rsidRPr="000479E9">
        <w:rPr>
          <w:rFonts w:ascii="Times New Roman" w:hAnsi="Times New Roman" w:cs="Times New Roman"/>
          <w:sz w:val="24"/>
          <w:szCs w:val="24"/>
        </w:rPr>
        <w:t>znači politika primitaka koja se temelji na jednakoj plaći radnika i radnica za jednak rad ili rad jednake vrijednosti</w:t>
      </w:r>
    </w:p>
    <w:p w14:paraId="23922EA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100. </w:t>
      </w:r>
      <w:r w:rsidRPr="000479E9">
        <w:rPr>
          <w:rFonts w:ascii="Times New Roman" w:hAnsi="Times New Roman" w:cs="Times New Roman"/>
          <w:i/>
          <w:iCs/>
          <w:sz w:val="24"/>
          <w:szCs w:val="24"/>
        </w:rPr>
        <w:t>sekuritizacija </w:t>
      </w:r>
      <w:r w:rsidRPr="000479E9">
        <w:rPr>
          <w:rFonts w:ascii="Times New Roman" w:hAnsi="Times New Roman" w:cs="Times New Roman"/>
          <w:sz w:val="24"/>
          <w:szCs w:val="24"/>
        </w:rPr>
        <w:t>je sekuritizacija kako je definirana u članku 2. točki 1. Uredbe (EU) 2017/2402 Europskog parlamenta i Vijeća od 12. prosinca 2017. o utvrđivanju općeg okvira za sekuritizaciju i o uspostavi specifičnog okvira za jednostavnu, transparentnu i standardiziranu sekuritizaciju te o izmjeni direktiva 2009/65/EZ, 2009/138/EZ i 2011/61/EU te uredaba (EZ) br. 1060/2009 i (EU) br. 648/2012 (SL L 347, 28. 12. 2017.) (u daljnjem tekstu: Uredba EU 2017/2402)</w:t>
      </w:r>
    </w:p>
    <w:p w14:paraId="3A15754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101. </w:t>
      </w:r>
      <w:r w:rsidRPr="000479E9">
        <w:rPr>
          <w:rFonts w:ascii="Times New Roman" w:hAnsi="Times New Roman" w:cs="Times New Roman"/>
          <w:i/>
          <w:iCs/>
          <w:sz w:val="24"/>
          <w:szCs w:val="24"/>
        </w:rPr>
        <w:t>serviser </w:t>
      </w:r>
      <w:r w:rsidRPr="000479E9">
        <w:rPr>
          <w:rFonts w:ascii="Times New Roman" w:hAnsi="Times New Roman" w:cs="Times New Roman"/>
          <w:sz w:val="24"/>
          <w:szCs w:val="24"/>
        </w:rPr>
        <w:t>je subjekt na kojeg je delegirano svakodnevno aktivno upravljanje portfeljem koji je uključen u sekuritizaciju u skladu s člankom 2. točkom 5. podtočkom (b) Uredbe (EU) 2017/2402</w:t>
      </w:r>
    </w:p>
    <w:p w14:paraId="6440AA6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102. </w:t>
      </w:r>
      <w:r w:rsidRPr="000479E9">
        <w:rPr>
          <w:rFonts w:ascii="Times New Roman" w:hAnsi="Times New Roman" w:cs="Times New Roman"/>
          <w:i/>
          <w:iCs/>
          <w:sz w:val="24"/>
          <w:szCs w:val="24"/>
        </w:rPr>
        <w:t>sigurnost mrežnih i informacijskih sustava </w:t>
      </w:r>
      <w:r w:rsidRPr="000479E9">
        <w:rPr>
          <w:rFonts w:ascii="Times New Roman" w:hAnsi="Times New Roman" w:cs="Times New Roman"/>
          <w:sz w:val="24"/>
          <w:szCs w:val="24"/>
        </w:rPr>
        <w:t>znači sposobnost mrežnih i informacijskih sustava da odolijevaju, na određenoj razini pouzdanosti, bilo kojoj radnji koja ugrožava dostupnost, autentičnost, cjelovitost ili povjerljivost pohranjenih ili prenesenih ili obrađenih podataka ili srodnih usluga koje ti mrežni i informacijski sustavi nude ili kojima omogućuju pristup</w:t>
      </w:r>
    </w:p>
    <w:p w14:paraId="1FD66FE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 xml:space="preserve">103. </w:t>
      </w:r>
      <w:r w:rsidRPr="000479E9">
        <w:rPr>
          <w:rFonts w:ascii="Times New Roman" w:hAnsi="Times New Roman" w:cs="Times New Roman"/>
          <w:i/>
          <w:iCs/>
          <w:sz w:val="24"/>
          <w:szCs w:val="24"/>
        </w:rPr>
        <w:t>sistematski internalizator</w:t>
      </w:r>
      <w:r w:rsidRPr="000479E9">
        <w:rPr>
          <w:rFonts w:ascii="Times New Roman" w:hAnsi="Times New Roman" w:cs="Times New Roman"/>
          <w:sz w:val="24"/>
          <w:szCs w:val="24"/>
        </w:rPr>
        <w:t xml:space="preserve"> je investicijsko društvo koje na organiziran, učestao i sustavan način trguje vlasničkim instrumentima za vlastiti račun na način da izvršava naloge klijenata izvan uređenog tržišta, MTP-a ili OTP-a, bez upravljanja multilateralnim sustavom ili koje odluči odabrati status sistematskog internalizatora </w:t>
      </w:r>
    </w:p>
    <w:p w14:paraId="008F26F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104. </w:t>
      </w:r>
      <w:r w:rsidRPr="000479E9">
        <w:rPr>
          <w:rFonts w:ascii="Times New Roman" w:hAnsi="Times New Roman" w:cs="Times New Roman"/>
          <w:i/>
          <w:iCs/>
          <w:sz w:val="24"/>
          <w:szCs w:val="24"/>
        </w:rPr>
        <w:t>sistemski rizik </w:t>
      </w:r>
      <w:r w:rsidRPr="000479E9">
        <w:rPr>
          <w:rFonts w:ascii="Times New Roman" w:hAnsi="Times New Roman" w:cs="Times New Roman"/>
          <w:sz w:val="24"/>
          <w:szCs w:val="24"/>
        </w:rPr>
        <w:t>je sistemski rizik kako je definirano zakonom kojim se uređuje osnivanje i poslovanje kreditnih institucija</w:t>
      </w:r>
    </w:p>
    <w:p w14:paraId="0ED6A0D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105. </w:t>
      </w:r>
      <w:r w:rsidRPr="000479E9">
        <w:rPr>
          <w:rFonts w:ascii="Times New Roman" w:hAnsi="Times New Roman" w:cs="Times New Roman"/>
          <w:i/>
          <w:iCs/>
          <w:sz w:val="24"/>
          <w:szCs w:val="24"/>
        </w:rPr>
        <w:t>središnja druga ugovorna strana </w:t>
      </w:r>
      <w:r w:rsidRPr="000479E9">
        <w:rPr>
          <w:rFonts w:ascii="Times New Roman" w:hAnsi="Times New Roman" w:cs="Times New Roman"/>
          <w:sz w:val="24"/>
          <w:szCs w:val="24"/>
        </w:rPr>
        <w:t>je središnja druga ugovorna strana kako je definirana u članku 2. točki 1. Uredbe (EU) br. 648/2012 i zakonom kojim se uređuje konačnost namire u platnim sustavima i sustavima za namiru financijskih instrumenata</w:t>
      </w:r>
    </w:p>
    <w:p w14:paraId="5AE5C43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106. </w:t>
      </w:r>
      <w:r w:rsidRPr="000479E9">
        <w:rPr>
          <w:rFonts w:ascii="Times New Roman" w:hAnsi="Times New Roman" w:cs="Times New Roman"/>
          <w:i/>
          <w:iCs/>
          <w:sz w:val="24"/>
          <w:szCs w:val="24"/>
        </w:rPr>
        <w:t>središnji depozitorij vrijednosnih papira ili CSD </w:t>
      </w:r>
      <w:r w:rsidRPr="000479E9">
        <w:rPr>
          <w:rFonts w:ascii="Times New Roman" w:hAnsi="Times New Roman" w:cs="Times New Roman"/>
          <w:sz w:val="24"/>
          <w:szCs w:val="24"/>
        </w:rPr>
        <w:t>je središnji depozitorij vrijednosnih papira ili CSD kako je definiran u članku 558. ovoga Zakona</w:t>
      </w:r>
    </w:p>
    <w:p w14:paraId="3BA4F1A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107. </w:t>
      </w:r>
      <w:r w:rsidRPr="000479E9">
        <w:rPr>
          <w:rFonts w:ascii="Times New Roman" w:hAnsi="Times New Roman" w:cs="Times New Roman"/>
          <w:i/>
          <w:iCs/>
          <w:sz w:val="24"/>
          <w:szCs w:val="24"/>
        </w:rPr>
        <w:t>strukturirani depozit </w:t>
      </w:r>
      <w:r w:rsidRPr="000479E9">
        <w:rPr>
          <w:rFonts w:ascii="Times New Roman" w:hAnsi="Times New Roman" w:cs="Times New Roman"/>
          <w:sz w:val="24"/>
          <w:szCs w:val="24"/>
        </w:rPr>
        <w:t>je depozit kako je definiran zakonom kojim se uređuje sustav osiguranja depozita, kod kojeg se glavnica u cijelosti isplaćuje po dospijeću, a kamata ili premija isplaćuje se ili podliježe riziku u ovisnosti o formuli koja može uključivati elemente kao što su:</w:t>
      </w:r>
    </w:p>
    <w:p w14:paraId="41D7149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indeks ili kombinacija indeksa, osim ako se radi o depozitu s promjenjivom kamatnom stopom čiji je povrat izravno povezan s indeksom kamatne stope poput Euribora ili Libora</w:t>
      </w:r>
    </w:p>
    <w:p w14:paraId="733CDF6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financijski instrumenti ili kombinacija financijskih instrumenata</w:t>
      </w:r>
    </w:p>
    <w:p w14:paraId="015385B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roba ili kombinacija robe ili druge materijalne ili nematerijalne nezamjenjive imovine ili</w:t>
      </w:r>
    </w:p>
    <w:p w14:paraId="7C3E0E9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 devizni tečaj ili kombinacija deviznih tečajeva</w:t>
      </w:r>
    </w:p>
    <w:p w14:paraId="73C3289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108. </w:t>
      </w:r>
      <w:r w:rsidRPr="000479E9">
        <w:rPr>
          <w:rFonts w:ascii="Times New Roman" w:hAnsi="Times New Roman" w:cs="Times New Roman"/>
          <w:i/>
          <w:iCs/>
          <w:sz w:val="24"/>
          <w:szCs w:val="24"/>
        </w:rPr>
        <w:t>strukturirani financijski proizvodi </w:t>
      </w:r>
      <w:r w:rsidRPr="000479E9">
        <w:rPr>
          <w:rFonts w:ascii="Times New Roman" w:hAnsi="Times New Roman" w:cs="Times New Roman"/>
          <w:sz w:val="24"/>
          <w:szCs w:val="24"/>
        </w:rPr>
        <w:t>su strukturirani financijski proizvodi kako su definirani u članku 2. stavku 1. točki 28. Uredbe (EU) br. 600/2014</w:t>
      </w:r>
    </w:p>
    <w:p w14:paraId="20F873B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109. </w:t>
      </w:r>
      <w:r w:rsidRPr="000479E9">
        <w:rPr>
          <w:rFonts w:ascii="Times New Roman" w:hAnsi="Times New Roman" w:cs="Times New Roman"/>
          <w:i/>
          <w:iCs/>
          <w:sz w:val="24"/>
          <w:szCs w:val="24"/>
        </w:rPr>
        <w:t>subjekt za zajednička ulaganja </w:t>
      </w:r>
      <w:r w:rsidRPr="000479E9">
        <w:rPr>
          <w:rFonts w:ascii="Times New Roman" w:hAnsi="Times New Roman" w:cs="Times New Roman"/>
          <w:sz w:val="24"/>
          <w:szCs w:val="24"/>
        </w:rPr>
        <w:t>je:</w:t>
      </w:r>
    </w:p>
    <w:p w14:paraId="767CAF2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subjekt za zajednička ulaganja koji je dobio odobrenje Agencije u skladu sa zakonom kojim se uređuje osnivanje i rad otvorenih investicijskih fondova s javnom ponudom i društava za upravljanje tim fondovima i zakonom kojim se uređuje osnivanje i rad alternativnih investicijskih fondova i njihovih upravitelja</w:t>
      </w:r>
    </w:p>
    <w:p w14:paraId="2858BD1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subjekt za zajednička ulaganja koji je dobio odobrenje za rad u državi članici i koji prema propisima matične države članice ispunjava uvjete iz Direktive 2009/65/EZ Europskog parlamenta i Vijeća od 13. srpnja 2009. o usklađivanju zakona i drugih propisa koji se odnose na subjekte za zajednička ulaganja u prenosive vrijednosne papire (UCITS) te iz Direktive 2011/61/EU Europskog parlamenta i Vijeća od 8. lipnja 2011. o upraviteljima alternativnih investicijskih fondova i o izmjeni direktiva 2003/41/EZ i 2009/65/EZ te uredbi (EZ) br. 1060/2009 i (EU) br. 1095/2010</w:t>
      </w:r>
    </w:p>
    <w:p w14:paraId="6F5C003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drugi strani subjekt za zajednička ulaganja, uključujući i subjekte različite od onih iz podtočke b) ove točke i subjekte za zajednička ulaganja s odobrenjem za rad u trećoj državi</w:t>
      </w:r>
    </w:p>
    <w:p w14:paraId="378203EB"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110. </w:t>
      </w:r>
      <w:r w:rsidRPr="000479E9">
        <w:rPr>
          <w:rFonts w:ascii="Times New Roman" w:hAnsi="Times New Roman" w:cs="Times New Roman"/>
          <w:i/>
          <w:iCs/>
          <w:sz w:val="24"/>
          <w:szCs w:val="24"/>
        </w:rPr>
        <w:t>sudionik u platnom sustavu </w:t>
      </w:r>
      <w:r w:rsidRPr="000479E9">
        <w:rPr>
          <w:rFonts w:ascii="Times New Roman" w:hAnsi="Times New Roman" w:cs="Times New Roman"/>
          <w:sz w:val="24"/>
          <w:szCs w:val="24"/>
        </w:rPr>
        <w:t>je sudionik sustava u smislu posebnog zakona kojim se uređuje konačnost namire u platnim sustavima i sustavima za namiru financijskih instrumenata</w:t>
      </w:r>
    </w:p>
    <w:p w14:paraId="11DD2D9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111. </w:t>
      </w:r>
      <w:r w:rsidRPr="000479E9">
        <w:rPr>
          <w:rFonts w:ascii="Times New Roman" w:hAnsi="Times New Roman" w:cs="Times New Roman"/>
          <w:i/>
          <w:iCs/>
          <w:sz w:val="24"/>
          <w:szCs w:val="24"/>
        </w:rPr>
        <w:t>sudionik u sustavu poravnanja i/ili namire </w:t>
      </w:r>
      <w:r w:rsidRPr="000479E9">
        <w:rPr>
          <w:rFonts w:ascii="Times New Roman" w:hAnsi="Times New Roman" w:cs="Times New Roman"/>
          <w:sz w:val="24"/>
          <w:szCs w:val="24"/>
        </w:rPr>
        <w:t>je sudionik u smislu posebnog zakona kojim se uređuje konačnost namire u platnim sustavima i sustavima za namiru financijskih instrumenata</w:t>
      </w:r>
    </w:p>
    <w:p w14:paraId="6D2B67F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112. </w:t>
      </w:r>
      <w:r w:rsidRPr="000479E9">
        <w:rPr>
          <w:rFonts w:ascii="Times New Roman" w:hAnsi="Times New Roman" w:cs="Times New Roman"/>
          <w:i/>
          <w:iCs/>
          <w:sz w:val="24"/>
          <w:szCs w:val="24"/>
        </w:rPr>
        <w:t>sudjelovanje </w:t>
      </w:r>
      <w:r w:rsidRPr="000479E9">
        <w:rPr>
          <w:rFonts w:ascii="Times New Roman" w:hAnsi="Times New Roman" w:cs="Times New Roman"/>
          <w:sz w:val="24"/>
          <w:szCs w:val="24"/>
        </w:rPr>
        <w:t>znači sudjelovanje neke osobe u drugoj pravnoj osobi ako:</w:t>
      </w:r>
    </w:p>
    <w:p w14:paraId="3540C56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ima izravna ili neizravna ulaganja na temelju kojih sudjeluje s 20% udjela ili više u kapitalu te pravne osobe ili u glasačkim pravima u toj pravnoj osobi ili</w:t>
      </w:r>
    </w:p>
    <w:p w14:paraId="10E1C35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ima udjel u kapitalu te pravne osobe ili u glasačkim pravima u toj pravnoj osobi manji od 20%, a stečen je s namjerom da, na temelju trajne povezanosti s tom pravnom osobom, omogući utjecaj na njezino poslovanje</w:t>
      </w:r>
    </w:p>
    <w:p w14:paraId="400F4F3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113. </w:t>
      </w:r>
      <w:r w:rsidRPr="000479E9">
        <w:rPr>
          <w:rFonts w:ascii="Times New Roman" w:hAnsi="Times New Roman" w:cs="Times New Roman"/>
          <w:i/>
          <w:iCs/>
          <w:sz w:val="24"/>
          <w:szCs w:val="24"/>
        </w:rPr>
        <w:t>suradnik stjecatelja kvalificiranog udjela u investicijskom društvu </w:t>
      </w:r>
      <w:r w:rsidRPr="000479E9">
        <w:rPr>
          <w:rFonts w:ascii="Times New Roman" w:hAnsi="Times New Roman" w:cs="Times New Roman"/>
          <w:sz w:val="24"/>
          <w:szCs w:val="24"/>
        </w:rPr>
        <w:t>je:</w:t>
      </w:r>
    </w:p>
    <w:p w14:paraId="265F122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svaka fizička osoba koja je na rukovodećem položaju u pravnom subjektu u kojem je namjeravani stjecatelj kvalificiranog udjela u investicijskom društvu na rukovodećem položaju ili stvarni vlasnik nad pravnim subjektom</w:t>
      </w:r>
    </w:p>
    <w:p w14:paraId="284830D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svaka fizička osoba koja je stvarni vlasnik pravnog subjekta u kojem je namjeravani stjecatelj kvalificiranog udjela u investicijskom društvu na rukovodećem položaju</w:t>
      </w:r>
    </w:p>
    <w:p w14:paraId="74869DA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svaka fizička osoba koja s namjeravanim stjecateljem kvalificiranog udjela u investicijskom društvu ima zajedničko stvarno vlasništvo nad pravnim subjektom</w:t>
      </w:r>
    </w:p>
    <w:p w14:paraId="6B5B82B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114. </w:t>
      </w:r>
      <w:r w:rsidRPr="000479E9">
        <w:rPr>
          <w:rFonts w:ascii="Times New Roman" w:hAnsi="Times New Roman" w:cs="Times New Roman"/>
          <w:i/>
          <w:iCs/>
          <w:sz w:val="24"/>
          <w:szCs w:val="24"/>
        </w:rPr>
        <w:t>suradnik podnositelja zahtjeva za izdavanje odobrenja za obavljanje funkcije člana uprave investicijskog društva </w:t>
      </w:r>
      <w:r w:rsidRPr="000479E9">
        <w:rPr>
          <w:rFonts w:ascii="Times New Roman" w:hAnsi="Times New Roman" w:cs="Times New Roman"/>
          <w:sz w:val="24"/>
          <w:szCs w:val="24"/>
        </w:rPr>
        <w:t>je:</w:t>
      </w:r>
    </w:p>
    <w:p w14:paraId="30B3496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svaka fizička osoba koja je na rukovodećem položaju u pravnom subjektu u kojem je kandidat za člana uprave investicijskog društva na rukovodećem položaju ili stvarni vlasnik nad pravnim subjektom</w:t>
      </w:r>
    </w:p>
    <w:p w14:paraId="6914C06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svaka fizička osoba koja je stvarni vlasnik pravnog subjekta u kojem je kandidat za člana uprave investicijskog društva na rukovodećem položaju</w:t>
      </w:r>
    </w:p>
    <w:p w14:paraId="5C26E9A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svaka fizička osoba koja s kandidatom za člana uprave u investicijskom društvu ima zajedničko stvarno vlasništvo nad pravnim subjektom</w:t>
      </w:r>
    </w:p>
    <w:p w14:paraId="5BDF175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115. </w:t>
      </w:r>
      <w:r w:rsidRPr="000479E9">
        <w:rPr>
          <w:rFonts w:ascii="Times New Roman" w:hAnsi="Times New Roman" w:cs="Times New Roman"/>
          <w:i/>
          <w:iCs/>
          <w:sz w:val="24"/>
          <w:szCs w:val="24"/>
        </w:rPr>
        <w:t>tehnika visokofrekventnog algoritamskog trgovanja </w:t>
      </w:r>
      <w:r w:rsidRPr="000479E9">
        <w:rPr>
          <w:rFonts w:ascii="Times New Roman" w:hAnsi="Times New Roman" w:cs="Times New Roman"/>
          <w:sz w:val="24"/>
          <w:szCs w:val="24"/>
        </w:rPr>
        <w:t>je tehnika algoritamskog trgovanja koju obilježava:</w:t>
      </w:r>
    </w:p>
    <w:p w14:paraId="188E623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infrastruktura namijenjena tomu da se na najmanju moguću mjeru skrati mrežna i druge vrste latentnosti, uključujući najmanje jednu od sljedećih mogućnosti za algoritamski unos naloga: kolokaciju, držanje datoteka na poslužitelju u neposrednoj blizini ili vrlo brz izravan elektronički pristup</w:t>
      </w:r>
    </w:p>
    <w:p w14:paraId="295B492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sustavno pokretanje postupka davanja, davanje, usmjeravanje ili izvršavanje naloga bez ljudske intervencije za pojedinačne transakcije ili naloge i</w:t>
      </w:r>
    </w:p>
    <w:p w14:paraId="2E1311B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velik broj unutardnevnih poruka koje predstavljaju naloge, ponude i otkazivanja</w:t>
      </w:r>
    </w:p>
    <w:p w14:paraId="2C9BBFE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116. </w:t>
      </w:r>
      <w:r w:rsidRPr="000479E9">
        <w:rPr>
          <w:rFonts w:ascii="Times New Roman" w:hAnsi="Times New Roman" w:cs="Times New Roman"/>
          <w:i/>
          <w:iCs/>
          <w:sz w:val="24"/>
          <w:szCs w:val="24"/>
        </w:rPr>
        <w:t>trajni medij </w:t>
      </w:r>
      <w:r w:rsidRPr="000479E9">
        <w:rPr>
          <w:rFonts w:ascii="Times New Roman" w:hAnsi="Times New Roman" w:cs="Times New Roman"/>
          <w:sz w:val="24"/>
          <w:szCs w:val="24"/>
        </w:rPr>
        <w:t>je svako sredstvo koje klijentu omogućuje pohranjivanje podataka koji su mu osobno upućeni tako da mu budu dostupni za buduću uporabu tijekom razdoblja koje je prikladno s obzirom na svrhu tih podataka i koje omogućuje neizmijenjenu reprodukciju pohranjenih podataka</w:t>
      </w:r>
    </w:p>
    <w:p w14:paraId="6E1D9E4A"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117. </w:t>
      </w:r>
      <w:r w:rsidRPr="000479E9">
        <w:rPr>
          <w:rFonts w:ascii="Times New Roman" w:hAnsi="Times New Roman" w:cs="Times New Roman"/>
          <w:i/>
          <w:iCs/>
          <w:sz w:val="24"/>
          <w:szCs w:val="24"/>
        </w:rPr>
        <w:t>transakcija financiranja vrijednosnih papira </w:t>
      </w:r>
      <w:r w:rsidRPr="000479E9">
        <w:rPr>
          <w:rFonts w:ascii="Times New Roman" w:hAnsi="Times New Roman" w:cs="Times New Roman"/>
          <w:sz w:val="24"/>
          <w:szCs w:val="24"/>
        </w:rPr>
        <w:t>je transakcija financiranja vrijednosnih papira kako je definirana u članku 3. stavku 11. Uredbe (EU) br. 2015/2365 Europskog parlamenta i Vijeća od 25. studenoga 2015. o transparentnosti transakcija financiranja vrijednosnih papira i ponovne uporabe te o izmjeni Uredbe (EU) br. 648/2012 (Tekst značajan za EGP) (SL L 337, 23. 12. 2015.)</w:t>
      </w:r>
    </w:p>
    <w:p w14:paraId="014E5E8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118. </w:t>
      </w:r>
      <w:r w:rsidRPr="000479E9">
        <w:rPr>
          <w:rFonts w:ascii="Times New Roman" w:hAnsi="Times New Roman" w:cs="Times New Roman"/>
          <w:i/>
          <w:iCs/>
          <w:sz w:val="24"/>
          <w:szCs w:val="24"/>
        </w:rPr>
        <w:t>treća zemlja </w:t>
      </w:r>
      <w:r w:rsidRPr="000479E9">
        <w:rPr>
          <w:rFonts w:ascii="Times New Roman" w:hAnsi="Times New Roman" w:cs="Times New Roman"/>
          <w:sz w:val="24"/>
          <w:szCs w:val="24"/>
        </w:rPr>
        <w:t>je država koja nije država članica</w:t>
      </w:r>
    </w:p>
    <w:p w14:paraId="368CBB8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119. </w:t>
      </w:r>
      <w:r w:rsidRPr="000479E9">
        <w:rPr>
          <w:rFonts w:ascii="Times New Roman" w:hAnsi="Times New Roman" w:cs="Times New Roman"/>
          <w:i/>
          <w:iCs/>
          <w:sz w:val="24"/>
          <w:szCs w:val="24"/>
        </w:rPr>
        <w:t>trgovac robom i emisijskim jedinicama </w:t>
      </w:r>
      <w:r w:rsidRPr="000479E9">
        <w:rPr>
          <w:rFonts w:ascii="Times New Roman" w:hAnsi="Times New Roman" w:cs="Times New Roman"/>
          <w:sz w:val="24"/>
          <w:szCs w:val="24"/>
        </w:rPr>
        <w:t>je trgovac robom i emisijskim jedinicama kako je definiran u članku 4. stavku 1. točki 150. Uredbe (EU) br. 575/2013</w:t>
      </w:r>
    </w:p>
    <w:p w14:paraId="50021DA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120. </w:t>
      </w:r>
      <w:r w:rsidRPr="000479E9">
        <w:rPr>
          <w:rFonts w:ascii="Times New Roman" w:hAnsi="Times New Roman" w:cs="Times New Roman"/>
          <w:i/>
          <w:iCs/>
          <w:sz w:val="24"/>
          <w:szCs w:val="24"/>
        </w:rPr>
        <w:t>trgovanje za vlastiti račun </w:t>
      </w:r>
      <w:r w:rsidRPr="000479E9">
        <w:rPr>
          <w:rFonts w:ascii="Times New Roman" w:hAnsi="Times New Roman" w:cs="Times New Roman"/>
          <w:sz w:val="24"/>
          <w:szCs w:val="24"/>
        </w:rPr>
        <w:t>je trgovanje koristeći se vlastitim kapitalom iz kojeg proizlaze transakcije s jednim ili više financijskih instrumenata</w:t>
      </w:r>
    </w:p>
    <w:p w14:paraId="7C377FA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121. </w:t>
      </w:r>
      <w:r w:rsidRPr="000479E9">
        <w:rPr>
          <w:rFonts w:ascii="Times New Roman" w:hAnsi="Times New Roman" w:cs="Times New Roman"/>
          <w:i/>
          <w:iCs/>
          <w:sz w:val="24"/>
          <w:szCs w:val="24"/>
        </w:rPr>
        <w:t>trgovanje za vlastiti račun uparivanjem naloga </w:t>
      </w:r>
      <w:r w:rsidRPr="000479E9">
        <w:rPr>
          <w:rFonts w:ascii="Times New Roman" w:hAnsi="Times New Roman" w:cs="Times New Roman"/>
          <w:sz w:val="24"/>
          <w:szCs w:val="24"/>
        </w:rPr>
        <w:t>je transakcija kod koje se posrednik postavlja između kupca i prodavatelja na način da se tijekom izvršenja transakcije ne izlaže tržišnom riziku, pri čemu se izvršenje za obje strane događa istodobno, a transakcija je zaključena po cijeni pri kojoj posrednik ne ostvaruje ni dobit ni gubitak, osim unaprijed dogovorene provizije ili naknade za transakciju</w:t>
      </w:r>
    </w:p>
    <w:p w14:paraId="7829258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122. </w:t>
      </w:r>
      <w:r w:rsidRPr="000479E9">
        <w:rPr>
          <w:rFonts w:ascii="Times New Roman" w:hAnsi="Times New Roman" w:cs="Times New Roman"/>
          <w:i/>
          <w:iCs/>
          <w:sz w:val="24"/>
          <w:szCs w:val="24"/>
        </w:rPr>
        <w:t>tržišni operater </w:t>
      </w:r>
      <w:r w:rsidRPr="000479E9">
        <w:rPr>
          <w:rFonts w:ascii="Times New Roman" w:hAnsi="Times New Roman" w:cs="Times New Roman"/>
          <w:sz w:val="24"/>
          <w:szCs w:val="24"/>
        </w:rPr>
        <w:t>je osoba ili osobe koje vode i/ili upravljaju poslovanjem uređenoga tržišta. Tržišni operater može biti i samo uređeno tržište</w:t>
      </w:r>
    </w:p>
    <w:p w14:paraId="5D916942"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123. </w:t>
      </w:r>
      <w:r w:rsidRPr="000479E9">
        <w:rPr>
          <w:rFonts w:ascii="Times New Roman" w:hAnsi="Times New Roman" w:cs="Times New Roman"/>
          <w:i/>
          <w:iCs/>
          <w:sz w:val="24"/>
          <w:szCs w:val="24"/>
        </w:rPr>
        <w:t>UCITS fond </w:t>
      </w:r>
      <w:r w:rsidRPr="000479E9">
        <w:rPr>
          <w:rFonts w:ascii="Times New Roman" w:hAnsi="Times New Roman" w:cs="Times New Roman"/>
          <w:sz w:val="24"/>
          <w:szCs w:val="24"/>
        </w:rPr>
        <w:t>je otvoreni investicijski fond s javnom ponudom kako je definirano zakonom kojim se uređuje osnivanje i rad otvorenih investicijskih fondova s javnom ponudom i društava za upravljanje tim fondovima</w:t>
      </w:r>
    </w:p>
    <w:p w14:paraId="2E7FF24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124. </w:t>
      </w:r>
      <w:r w:rsidRPr="000479E9">
        <w:rPr>
          <w:rFonts w:ascii="Times New Roman" w:hAnsi="Times New Roman" w:cs="Times New Roman"/>
          <w:i/>
          <w:iCs/>
          <w:sz w:val="24"/>
          <w:szCs w:val="24"/>
        </w:rPr>
        <w:t>ugovori o energetskim izvedenicama </w:t>
      </w:r>
      <w:r w:rsidRPr="000479E9">
        <w:rPr>
          <w:rFonts w:ascii="Times New Roman" w:hAnsi="Times New Roman" w:cs="Times New Roman"/>
          <w:sz w:val="24"/>
          <w:szCs w:val="24"/>
        </w:rPr>
        <w:t>su opcije, budućnosnice, zamjene i svaki drugi ugovor o izvedenicama iz točke 23. podtočke d) podpodtočke dc) ovoga stavka koji se odnosi na ugljen ili naftu, a kojim se trguje na OTP-u i koji se mora fizički namiriti</w:t>
      </w:r>
    </w:p>
    <w:p w14:paraId="7D7D62F4"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125. </w:t>
      </w:r>
      <w:r w:rsidRPr="000479E9">
        <w:rPr>
          <w:rFonts w:ascii="Times New Roman" w:hAnsi="Times New Roman" w:cs="Times New Roman"/>
          <w:i/>
          <w:iCs/>
          <w:sz w:val="24"/>
          <w:szCs w:val="24"/>
        </w:rPr>
        <w:t>Unija </w:t>
      </w:r>
      <w:r w:rsidRPr="000479E9">
        <w:rPr>
          <w:rFonts w:ascii="Times New Roman" w:hAnsi="Times New Roman" w:cs="Times New Roman"/>
          <w:sz w:val="24"/>
          <w:szCs w:val="24"/>
        </w:rPr>
        <w:t>obuhvaća područje Europske unije i Europskog gospodarskog prostora</w:t>
      </w:r>
    </w:p>
    <w:p w14:paraId="4E4A257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126. </w:t>
      </w:r>
      <w:r w:rsidRPr="000479E9">
        <w:rPr>
          <w:rFonts w:ascii="Times New Roman" w:hAnsi="Times New Roman" w:cs="Times New Roman"/>
          <w:i/>
          <w:iCs/>
          <w:sz w:val="24"/>
          <w:szCs w:val="24"/>
        </w:rPr>
        <w:t>upravljačko tijelo </w:t>
      </w:r>
      <w:r w:rsidRPr="000479E9">
        <w:rPr>
          <w:rFonts w:ascii="Times New Roman" w:hAnsi="Times New Roman" w:cs="Times New Roman"/>
          <w:sz w:val="24"/>
          <w:szCs w:val="24"/>
        </w:rPr>
        <w:t>je tijelo ili tijela investicijskog društva ili tržišnog operatera ili pružatelja usluga dostave podataka kako je definiran u članku 2. stavku 1. točki 36.a Uredbe (EU) br. 600/2014, imenovano u skladu s ovim Zakonom i zakonom kojim se uređuje osnivanje i poslovanje trgovačkih društava, a koje raspolaže ovlastima za utvrđivanje strategije, ciljeva i općeg smjera poslovanja subjekta te koje nadgleda i nadzire donošenje odluka uprave, uključujući osobe koje stvarno upravljaju poslovanjem subjekta. Upravljačko tijelo u smislu ovoga Zakona obuhvaća upravu i nadzorni odbor odnosno upravni odbor</w:t>
      </w:r>
    </w:p>
    <w:p w14:paraId="0D8B7B8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127. </w:t>
      </w:r>
      <w:r w:rsidRPr="000479E9">
        <w:rPr>
          <w:rFonts w:ascii="Times New Roman" w:hAnsi="Times New Roman" w:cs="Times New Roman"/>
          <w:i/>
          <w:iCs/>
          <w:sz w:val="24"/>
          <w:szCs w:val="24"/>
        </w:rPr>
        <w:t>upravljačko tijelo u nadzornoj funkciji </w:t>
      </w:r>
      <w:r w:rsidRPr="000479E9">
        <w:rPr>
          <w:rFonts w:ascii="Times New Roman" w:hAnsi="Times New Roman" w:cs="Times New Roman"/>
          <w:sz w:val="24"/>
          <w:szCs w:val="24"/>
        </w:rPr>
        <w:t>je upravljačko tijelo u ulozi nadziranja i praćenja odluka uprave. Upravljačko tijelo u nadzornoj funkciji u smislu ovoga zakona odnosi se na nadzorni odbor odnosno neizvršne direktore u upravnom odboru</w:t>
      </w:r>
    </w:p>
    <w:p w14:paraId="3B0EC036"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128. </w:t>
      </w:r>
      <w:r w:rsidRPr="000479E9">
        <w:rPr>
          <w:rFonts w:ascii="Times New Roman" w:hAnsi="Times New Roman" w:cs="Times New Roman"/>
          <w:i/>
          <w:iCs/>
          <w:sz w:val="24"/>
          <w:szCs w:val="24"/>
        </w:rPr>
        <w:t>upravljanje portfeljem </w:t>
      </w:r>
      <w:r w:rsidRPr="000479E9">
        <w:rPr>
          <w:rFonts w:ascii="Times New Roman" w:hAnsi="Times New Roman" w:cs="Times New Roman"/>
          <w:sz w:val="24"/>
          <w:szCs w:val="24"/>
        </w:rPr>
        <w:t>je upravljanje portfeljima koji uključuju jedan ili više financijskih instrumenata, na individualnoj i diskrecijskoj osnovi, u skladu s ovlaštenjem/nalogom klijenta</w:t>
      </w:r>
    </w:p>
    <w:p w14:paraId="3FF0AD1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129. </w:t>
      </w:r>
      <w:r w:rsidRPr="000479E9">
        <w:rPr>
          <w:rFonts w:ascii="Times New Roman" w:hAnsi="Times New Roman" w:cs="Times New Roman"/>
          <w:i/>
          <w:iCs/>
          <w:sz w:val="24"/>
          <w:szCs w:val="24"/>
        </w:rPr>
        <w:t>Uredba (EU) br. 1095/2010 </w:t>
      </w:r>
      <w:r w:rsidRPr="000479E9">
        <w:rPr>
          <w:rFonts w:ascii="Times New Roman" w:hAnsi="Times New Roman" w:cs="Times New Roman"/>
          <w:sz w:val="24"/>
          <w:szCs w:val="24"/>
        </w:rPr>
        <w:t>je Uredba (EU) br. 1095/2010 Europskog parlamenta i Vijeća od 24. studenoga 2010. o osnivanju europskog nadzornog tijela (Europskog nadzornog tijela za vrijednosne papire i tržišta kapitala), izmjeni Odluke br. 716/2009/EZ i stavljanju izvan snage Odluke Komisije 2009/77/EZ</w:t>
      </w:r>
    </w:p>
    <w:p w14:paraId="0F2DEEA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130. </w:t>
      </w:r>
      <w:r w:rsidRPr="000479E9">
        <w:rPr>
          <w:rFonts w:ascii="Times New Roman" w:hAnsi="Times New Roman" w:cs="Times New Roman"/>
          <w:i/>
          <w:iCs/>
          <w:sz w:val="24"/>
          <w:szCs w:val="24"/>
        </w:rPr>
        <w:t>uređeno tržište </w:t>
      </w:r>
      <w:r w:rsidRPr="000479E9">
        <w:rPr>
          <w:rFonts w:ascii="Times New Roman" w:hAnsi="Times New Roman" w:cs="Times New Roman"/>
          <w:sz w:val="24"/>
          <w:szCs w:val="24"/>
        </w:rPr>
        <w:t>je multilateralni sustav koji u sustavu i prema unaprijed poznatim i nediskrecijskim pravilima spaja ili omogućuje spajanje ponuda za kupnju i ponuda za prodaju financijskih instrumenata trećih strana tako da nastaje ugovor s financijskim instrumentima uvrštenim u trgovanje prema pravilima toga sustava i/ili u samom sustavu, pod uvjetom da uređeno tržište i/ili tržišni operater koji ga vodi ili njime upravlja ima odobrenje za rad i redovito posluje u skladu s odredbama dijela drugoga glave III. ovoga Zakona</w:t>
      </w:r>
    </w:p>
    <w:p w14:paraId="702A451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131. </w:t>
      </w:r>
      <w:r w:rsidRPr="000479E9">
        <w:rPr>
          <w:rFonts w:ascii="Times New Roman" w:hAnsi="Times New Roman" w:cs="Times New Roman"/>
          <w:i/>
          <w:iCs/>
          <w:sz w:val="24"/>
          <w:szCs w:val="24"/>
        </w:rPr>
        <w:t>uska povezanost </w:t>
      </w:r>
      <w:r w:rsidRPr="000479E9">
        <w:rPr>
          <w:rFonts w:ascii="Times New Roman" w:hAnsi="Times New Roman" w:cs="Times New Roman"/>
          <w:sz w:val="24"/>
          <w:szCs w:val="24"/>
        </w:rPr>
        <w:t>je situacija u kojoj su dvije ili više fizičkih ili pravnih osoba povezane na bilo koji od sljedećih načina:</w:t>
      </w:r>
    </w:p>
    <w:p w14:paraId="20A8EF21"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sudjelujući udio u obliku vlasništva, izravnog ili putem kontrole, nad 20% ili više glasačkih prava ili kapitala društva</w:t>
      </w:r>
    </w:p>
    <w:p w14:paraId="0BEA76F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kontrola, što znači odnos između matičnog društva i društva kćeri kako je definiran u smislu zakona kojim se uređuje računovodstvo poduzetnika i primjena standarda financijskog izvještavanja ili sličan odnos između fizičke ili pravne osobe i društva, društva kćeri drugog društva kćeri koje se također smatra društvom kćeri matičnog društva koje je na čelu tih društava</w:t>
      </w:r>
    </w:p>
    <w:p w14:paraId="3CE2C17D"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činjenica da su obje ili sve osobe stalno povezane s istom trećom osobom odnosom kontrole</w:t>
      </w:r>
    </w:p>
    <w:p w14:paraId="6225B77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132. </w:t>
      </w:r>
      <w:r w:rsidRPr="000479E9">
        <w:rPr>
          <w:rFonts w:ascii="Times New Roman" w:hAnsi="Times New Roman" w:cs="Times New Roman"/>
          <w:i/>
          <w:iCs/>
          <w:sz w:val="24"/>
          <w:szCs w:val="24"/>
        </w:rPr>
        <w:t>usklađenost s kriterijem kapitala grupe </w:t>
      </w:r>
      <w:r w:rsidRPr="000479E9">
        <w:rPr>
          <w:rFonts w:ascii="Times New Roman" w:hAnsi="Times New Roman" w:cs="Times New Roman"/>
          <w:sz w:val="24"/>
          <w:szCs w:val="24"/>
        </w:rPr>
        <w:t>znači usklađenost matičnog društva u grupi investicijskog društva sa zahtjevima iz članka 8. Uredbe (EU) br. 2019/2033</w:t>
      </w:r>
    </w:p>
    <w:p w14:paraId="5BFD49DE"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133. </w:t>
      </w:r>
      <w:r w:rsidRPr="000479E9">
        <w:rPr>
          <w:rFonts w:ascii="Times New Roman" w:hAnsi="Times New Roman" w:cs="Times New Roman"/>
          <w:i/>
          <w:iCs/>
          <w:sz w:val="24"/>
          <w:szCs w:val="24"/>
        </w:rPr>
        <w:t>veleprodajni energetski proizvod </w:t>
      </w:r>
      <w:r w:rsidRPr="000479E9">
        <w:rPr>
          <w:rFonts w:ascii="Times New Roman" w:hAnsi="Times New Roman" w:cs="Times New Roman"/>
          <w:sz w:val="24"/>
          <w:szCs w:val="24"/>
        </w:rPr>
        <w:t>je veleprodajni energetski proizvod kako je definiran u članku 2. točki 4. Uredbe (EU) br. 1227/2011 Europskog parlamenta i Vijeća od 25. listopada 2011. o cjelovitosti i transparentnosti veleprodajnog tržišta energije</w:t>
      </w:r>
    </w:p>
    <w:p w14:paraId="1F07B57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134. </w:t>
      </w:r>
      <w:r w:rsidRPr="000479E9">
        <w:rPr>
          <w:rFonts w:ascii="Times New Roman" w:hAnsi="Times New Roman" w:cs="Times New Roman"/>
          <w:i/>
          <w:iCs/>
          <w:sz w:val="24"/>
          <w:szCs w:val="24"/>
        </w:rPr>
        <w:t>vezani zastupnik </w:t>
      </w:r>
      <w:r w:rsidRPr="000479E9">
        <w:rPr>
          <w:rFonts w:ascii="Times New Roman" w:hAnsi="Times New Roman" w:cs="Times New Roman"/>
          <w:sz w:val="24"/>
          <w:szCs w:val="24"/>
        </w:rPr>
        <w:t>je fizička ili pravna osoba koja pod punom i bezuvjetnom odgovornošću samo jednog investicijskog društva za čiji račun nastupa obavlja poslove vezanog zastupnika propisane ovim Zakonom</w:t>
      </w:r>
    </w:p>
    <w:p w14:paraId="05C9A50C"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135. </w:t>
      </w:r>
      <w:r w:rsidRPr="000479E9">
        <w:rPr>
          <w:rFonts w:ascii="Times New Roman" w:hAnsi="Times New Roman" w:cs="Times New Roman"/>
          <w:i/>
          <w:iCs/>
          <w:sz w:val="24"/>
          <w:szCs w:val="24"/>
        </w:rPr>
        <w:t>Vijeće za financijsku stabilnost </w:t>
      </w:r>
      <w:r w:rsidRPr="000479E9">
        <w:rPr>
          <w:rFonts w:ascii="Times New Roman" w:hAnsi="Times New Roman" w:cs="Times New Roman"/>
          <w:sz w:val="24"/>
          <w:szCs w:val="24"/>
        </w:rPr>
        <w:t>je vijeće za financijsku stabilnost kako je definirano zakonom kojim se uređuje osnivanje, način rada i nadležnost Vijeća za financijsku stabilnost</w:t>
      </w:r>
    </w:p>
    <w:p w14:paraId="23CD78C8"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136. </w:t>
      </w:r>
      <w:r w:rsidRPr="000479E9">
        <w:rPr>
          <w:rFonts w:ascii="Times New Roman" w:hAnsi="Times New Roman" w:cs="Times New Roman"/>
          <w:i/>
          <w:iCs/>
          <w:sz w:val="24"/>
          <w:szCs w:val="24"/>
        </w:rPr>
        <w:t>više rukovodstvo </w:t>
      </w:r>
      <w:r w:rsidRPr="000479E9">
        <w:rPr>
          <w:rFonts w:ascii="Times New Roman" w:hAnsi="Times New Roman" w:cs="Times New Roman"/>
          <w:sz w:val="24"/>
          <w:szCs w:val="24"/>
        </w:rPr>
        <w:t>su fizičke osobe koje obavljaju izvršne funkcije u investicijskom društvu ili tržišnom operateru ili pružatelju usluga dostave podataka kako je definirano u članku 2. stavku 1. točki 36.a Uredbe (EU) br. 600/2014, a koje su zadužene i upravljačkom tijelu odgovorne za svakodnevno upravljanje društvom, uključujući provedbu politika koje se odnose na distribuciju proizvoda i usluga klijentima od strane društva ili osoba koje djeluju za račun društva prema klijentima</w:t>
      </w:r>
    </w:p>
    <w:p w14:paraId="1C9F45B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137. </w:t>
      </w:r>
      <w:r w:rsidRPr="000479E9">
        <w:rPr>
          <w:rFonts w:ascii="Times New Roman" w:hAnsi="Times New Roman" w:cs="Times New Roman"/>
          <w:i/>
          <w:iCs/>
          <w:sz w:val="24"/>
          <w:szCs w:val="24"/>
        </w:rPr>
        <w:t>zamjena financijskih instrumenata </w:t>
      </w:r>
      <w:r w:rsidRPr="000479E9">
        <w:rPr>
          <w:rFonts w:ascii="Times New Roman" w:hAnsi="Times New Roman" w:cs="Times New Roman"/>
          <w:sz w:val="24"/>
          <w:szCs w:val="24"/>
        </w:rPr>
        <w:t>je prodaja financijskog instrumenta i kupnja drugog financijskog instrumenta ili korištenje prava na izmjenu u pogledu postojećeg financijskog instrumenta</w:t>
      </w:r>
    </w:p>
    <w:p w14:paraId="2541FB4F"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138. </w:t>
      </w:r>
      <w:r w:rsidRPr="000479E9">
        <w:rPr>
          <w:rFonts w:ascii="Times New Roman" w:hAnsi="Times New Roman" w:cs="Times New Roman"/>
          <w:i/>
          <w:iCs/>
          <w:sz w:val="24"/>
          <w:szCs w:val="24"/>
        </w:rPr>
        <w:t>zbirni računi </w:t>
      </w:r>
      <w:r w:rsidRPr="000479E9">
        <w:rPr>
          <w:rFonts w:ascii="Times New Roman" w:hAnsi="Times New Roman" w:cs="Times New Roman"/>
          <w:sz w:val="24"/>
          <w:szCs w:val="24"/>
        </w:rPr>
        <w:t>koji se koriste za poravnanje transakcija su zbirni računi u smislu Uredbe (EU) br. 648/2012</w:t>
      </w:r>
    </w:p>
    <w:p w14:paraId="6F52D54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139. </w:t>
      </w:r>
      <w:r w:rsidRPr="000479E9">
        <w:rPr>
          <w:rFonts w:ascii="Times New Roman" w:hAnsi="Times New Roman" w:cs="Times New Roman"/>
          <w:i/>
          <w:iCs/>
          <w:sz w:val="24"/>
          <w:szCs w:val="24"/>
        </w:rPr>
        <w:t>značajni tržišni operater </w:t>
      </w:r>
      <w:r w:rsidRPr="000479E9">
        <w:rPr>
          <w:rFonts w:ascii="Times New Roman" w:hAnsi="Times New Roman" w:cs="Times New Roman"/>
          <w:sz w:val="24"/>
          <w:szCs w:val="24"/>
        </w:rPr>
        <w:t>je onaj kojeg Agencija svojim rješenjem proglasi značajnim s obzirom na veličinu, unutarnju organizaciju i prirodu, opseg i složenost poslovanja</w:t>
      </w:r>
    </w:p>
    <w:p w14:paraId="57CCB485"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140. tržišna infrastruktura DLT-a je tržišna infrastruktura DLT-a kako je definirano člankom 2. točkom 5. Uredbe (EU) 2022/858</w:t>
      </w:r>
    </w:p>
    <w:p w14:paraId="63364747"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141. multilateralna trgovinska platforma DLT-a ili MTP DLT-a je multilateralna trgovinska platforma DLT-a ili MTP DLT-a kako je definirano člankom 2. točkom 6. Uredbe (EU) 2022/858</w:t>
      </w:r>
    </w:p>
    <w:p w14:paraId="34595D6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142. sustav za namiru DLT-a ili SS DLT-a je sustav za namiru DLT-a ili SS DLT-a kako je definirano člankom 2. točkom 7. Uredbe (EU) 2022/858</w:t>
      </w:r>
    </w:p>
    <w:p w14:paraId="63607CB3"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143. sustav za trgovanje i namiru DLT-a ili TSS DLT-a je sustav za trgovanje i namiru DLT-a ili TSS DLT-a kako je definirano člankom 2. točkom 10. Uredbe (EU) 2022/858</w:t>
      </w:r>
    </w:p>
    <w:p w14:paraId="079CC1C9" w14:textId="77777777" w:rsidR="001428EC" w:rsidRPr="000479E9" w:rsidRDefault="001428EC" w:rsidP="001428E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144. </w:t>
      </w:r>
      <w:r w:rsidRPr="000479E9">
        <w:rPr>
          <w:rFonts w:ascii="Times New Roman" w:hAnsi="Times New Roman" w:cs="Times New Roman"/>
          <w:i/>
          <w:iCs/>
          <w:sz w:val="24"/>
          <w:szCs w:val="24"/>
        </w:rPr>
        <w:t>Uredba (EU) 2023/2859</w:t>
      </w:r>
      <w:r w:rsidRPr="000479E9">
        <w:rPr>
          <w:rFonts w:ascii="Times New Roman" w:hAnsi="Times New Roman" w:cs="Times New Roman"/>
          <w:sz w:val="24"/>
          <w:szCs w:val="24"/>
        </w:rPr>
        <w:t xml:space="preserve"> je Uredba (EU) 2023/2859 Europskog parlamenta i Vijeća od 13. prosinca 2023. o uspostavi jedinstvene europske pristupne točke za centralizirani pristup javno dostupnim informacijama koje su od važnosti za financijske usluge, tržišta kapitala i održivost (SL L, 20. 12. 2023., u daljnjem tekstu: Uredba (EU) 2023/2859).</w:t>
      </w:r>
    </w:p>
    <w:p w14:paraId="63FE2D4C" w14:textId="2707D6DC" w:rsidR="001428EC" w:rsidRPr="000479E9" w:rsidRDefault="001428EC" w:rsidP="003F14ED">
      <w:pPr>
        <w:spacing w:after="0" w:line="240" w:lineRule="auto"/>
        <w:jc w:val="both"/>
        <w:rPr>
          <w:rFonts w:ascii="Times New Roman" w:hAnsi="Times New Roman" w:cs="Times New Roman"/>
          <w:sz w:val="24"/>
          <w:szCs w:val="24"/>
        </w:rPr>
      </w:pPr>
    </w:p>
    <w:p w14:paraId="2C655C4C" w14:textId="77777777" w:rsidR="007A69FE" w:rsidRPr="000479E9" w:rsidRDefault="007A69FE" w:rsidP="000479E9">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Područje primjene i primjena odredbi na ostale subjekte</w:t>
      </w:r>
    </w:p>
    <w:p w14:paraId="4792A9BF" w14:textId="77777777" w:rsidR="007A69FE" w:rsidRPr="000479E9" w:rsidRDefault="007A69FE" w:rsidP="000479E9">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Članak 7.</w:t>
      </w:r>
    </w:p>
    <w:p w14:paraId="6B66A3A8" w14:textId="5B34C9F4" w:rsidR="007A69FE" w:rsidRPr="000479E9" w:rsidRDefault="007A69FE" w:rsidP="007A69FE">
      <w:pPr>
        <w:spacing w:after="0" w:line="240" w:lineRule="auto"/>
        <w:jc w:val="both"/>
        <w:rPr>
          <w:rFonts w:ascii="Times New Roman" w:hAnsi="Times New Roman" w:cs="Times New Roman"/>
          <w:sz w:val="24"/>
          <w:szCs w:val="24"/>
        </w:rPr>
      </w:pPr>
    </w:p>
    <w:p w14:paraId="6BE7E4F6"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Na osobu koja primjenjuje izuzeće iz članka 4. stavka 1. ovoga Zakona primjenjuju se odredbe glave V. ovoga dijela Zakona.</w:t>
      </w:r>
    </w:p>
    <w:p w14:paraId="3A47AE6C"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Na osobu koja primjenjuje izuzeće iz članka 4. stavka 1. točaka 1., 5., 9. i 10. ovoga Zakona primjenjuju se odredbe članaka 82. do 85. ovoga Zakona.</w:t>
      </w:r>
    </w:p>
    <w:p w14:paraId="6AFB4537"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Na društvo za upravljanje koje prema članku 6. stavku 2. točka 2. ovoga Zakona pruža investicijske usluge u odnosu na te investicijske usluge primjenjuje se sljedeće:</w:t>
      </w:r>
    </w:p>
    <w:p w14:paraId="449B42F8"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članak 31. stavci 1., 2. i 3. i članak 36. ovoga Zakona</w:t>
      </w:r>
    </w:p>
    <w:p w14:paraId="136504D4"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članak 50. stavci 1. do 4. i 6., članci 51. do 56. i članci 57. do 85. ovoga Zakona</w:t>
      </w:r>
    </w:p>
    <w:p w14:paraId="2576FF9A"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članci 86. do 129. ovoga Zakona, u mjeri u kojoj je primjenjivo za investicijske usluge koje obavlja</w:t>
      </w:r>
    </w:p>
    <w:p w14:paraId="61386E77"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odredbe o nadzoru Agencije i izricanju nadzornih mjera</w:t>
      </w:r>
    </w:p>
    <w:p w14:paraId="4CF2BBEC"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odredbe u kojima je primjena na društvo za upravljanje izrijekom propisana i</w:t>
      </w:r>
    </w:p>
    <w:p w14:paraId="17202DC5"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prekršajne odredbe, kada je to posebno propisano.</w:t>
      </w:r>
    </w:p>
    <w:p w14:paraId="48889AA9"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Na kreditnu instituciju iz članka 6. stavka 1. točke 4. primjenjuje se sljedeće:</w:t>
      </w:r>
    </w:p>
    <w:p w14:paraId="3BA212CC"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izuzeće iz stavka 2. članka 4. ovoga Zakona</w:t>
      </w:r>
    </w:p>
    <w:p w14:paraId="53B7E7F0"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članci 30. i 36. ovoga Zakona</w:t>
      </w:r>
    </w:p>
    <w:p w14:paraId="5149B522"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izdavanje prethodne suglasnosti iz članka 46. ovoga Zakona</w:t>
      </w:r>
    </w:p>
    <w:p w14:paraId="13B6B61E"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članak 50., stavci 1. do 4. ovoga Zakona, članci 51. do 56. ovoga Zakona, članci 57. do 74., članak 75. stavci 2. do 9. ovoga Zakona i članci 76. do 85. ovoga Zakona</w:t>
      </w:r>
    </w:p>
    <w:p w14:paraId="63754B6D"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članci 86. do 129. ovoga Zakona</w:t>
      </w:r>
    </w:p>
    <w:p w14:paraId="25DB8D16"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odredbe o nadzoru Agencije i izricanju nadzornih mjera</w:t>
      </w:r>
    </w:p>
    <w:p w14:paraId="72C03B76"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odredbe u kojima je primjena na kreditnu instituciju izrijekom propisana i</w:t>
      </w:r>
    </w:p>
    <w:p w14:paraId="53B62017"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prekršajne odredbe, kada je to posebno propisano.</w:t>
      </w:r>
    </w:p>
    <w:p w14:paraId="0CFA06DF"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Na investicijsko društvo i kreditnu instituciju kada prodaje ili klijente savjetuje vezano za strukturirane depozite, u odnosu na strukturirane depozite primjenjuje se sljedeće:</w:t>
      </w:r>
    </w:p>
    <w:p w14:paraId="6EE65DCB"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obveze iz članka 31. ovoga Zakona</w:t>
      </w:r>
    </w:p>
    <w:p w14:paraId="16A92B36"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obveza sudjelovanja u fondu za zaštitu ulagatelja u skladu s člankom 36. ovoga Zakona</w:t>
      </w:r>
    </w:p>
    <w:p w14:paraId="72EB70D5"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članci 54., 57., 58., 60. do 76. ovoga Zakona</w:t>
      </w:r>
    </w:p>
    <w:p w14:paraId="4D54A0C0"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članci 86. do 120. ovoga Zakona</w:t>
      </w:r>
    </w:p>
    <w:p w14:paraId="42A7CBE1"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članci 126. do 129. ovoga Zakona</w:t>
      </w:r>
    </w:p>
    <w:p w14:paraId="3A454052"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odredbe o nadzoru Agencije i izricanju nadzornih mjera</w:t>
      </w:r>
    </w:p>
    <w:p w14:paraId="0DC14B81"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7. odredbe u kojima je primjena na strukturirane depozite izrijekom propisana i</w:t>
      </w:r>
    </w:p>
    <w:p w14:paraId="4B7A52CD"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prekršajne odredbe, kada je to posebno propisano.</w:t>
      </w:r>
    </w:p>
    <w:p w14:paraId="2EC7727E"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Na društvo za upravljanje kada distribuira udjele fondova pod vlastitim upravljanjem primjenjuje se sljedeće:</w:t>
      </w:r>
    </w:p>
    <w:p w14:paraId="34801474"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članci 86. do 99. ovoga Zakona</w:t>
      </w:r>
    </w:p>
    <w:p w14:paraId="309D8753"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odredbe o nadzoru Agencije i izricanju nadzornih mjera i</w:t>
      </w:r>
    </w:p>
    <w:p w14:paraId="265D452F" w14:textId="77777777" w:rsidR="007A69FE" w:rsidRPr="000479E9" w:rsidRDefault="007A69FE" w:rsidP="007A69F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odredbe u kojima je primjena na društvo za upravljanje kada distribuira udjele pod vlastitim upravljanjem izrijekom propisana.</w:t>
      </w:r>
    </w:p>
    <w:p w14:paraId="72CA8292" w14:textId="5E4AE167" w:rsidR="007A69FE" w:rsidRPr="000479E9" w:rsidRDefault="007A69FE" w:rsidP="003F14ED">
      <w:pPr>
        <w:spacing w:after="0" w:line="240" w:lineRule="auto"/>
        <w:jc w:val="both"/>
        <w:rPr>
          <w:rFonts w:ascii="Times New Roman" w:hAnsi="Times New Roman" w:cs="Times New Roman"/>
          <w:sz w:val="24"/>
          <w:szCs w:val="24"/>
        </w:rPr>
      </w:pPr>
    </w:p>
    <w:p w14:paraId="79B615D7" w14:textId="77777777" w:rsidR="007A69FE" w:rsidRPr="000479E9" w:rsidRDefault="007A69FE" w:rsidP="003F14ED">
      <w:pPr>
        <w:spacing w:after="0" w:line="240" w:lineRule="auto"/>
        <w:jc w:val="both"/>
        <w:rPr>
          <w:rFonts w:ascii="Times New Roman" w:hAnsi="Times New Roman" w:cs="Times New Roman"/>
          <w:sz w:val="24"/>
          <w:szCs w:val="24"/>
        </w:rPr>
      </w:pPr>
    </w:p>
    <w:p w14:paraId="0E28E872" w14:textId="77777777" w:rsidR="0078609A" w:rsidRPr="000479E9" w:rsidRDefault="0078609A" w:rsidP="0078609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Odlučivanje o suglasnosti za namjeravano stjecanje</w:t>
      </w:r>
    </w:p>
    <w:p w14:paraId="526A2412" w14:textId="62A54D95" w:rsidR="0078609A" w:rsidRPr="000479E9" w:rsidRDefault="0078609A" w:rsidP="0078609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21.</w:t>
      </w:r>
    </w:p>
    <w:p w14:paraId="7A9E25EB" w14:textId="77777777" w:rsidR="00A91B71" w:rsidRPr="000479E9" w:rsidRDefault="00A91B71" w:rsidP="0078609A">
      <w:pPr>
        <w:spacing w:after="0" w:line="240" w:lineRule="auto"/>
        <w:jc w:val="center"/>
        <w:rPr>
          <w:rFonts w:ascii="Times New Roman" w:hAnsi="Times New Roman" w:cs="Times New Roman"/>
          <w:sz w:val="24"/>
          <w:szCs w:val="24"/>
        </w:rPr>
      </w:pPr>
    </w:p>
    <w:p w14:paraId="4CF6AB64"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Pri odlučivanju o izdavanju suglasnosti za namjeravano stjecanje, u svrhu provjere hoće li se investicijskim društvom upravljati pažnjom dobrog stručnjaka, a s obzirom na vjerojatni utjecaj namjeravanog stjecatelja na investicijsko društvo, procjenjuje se primjerenost namjeravanog stjecatelja i financijska stabilnost namjeravanog stjecanja prema sljedećim kriterijima:</w:t>
      </w:r>
    </w:p>
    <w:p w14:paraId="2E1A07E7"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ugledu namjeravanog stjecatelja</w:t>
      </w:r>
    </w:p>
    <w:p w14:paraId="37ADE3F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ugledu, stručnim znanjima, sposobnostima i iskustvu osoba koje stjecatelj namjerava predložiti kao članove uprave ili nadzornog odbora investicijskog društva</w:t>
      </w:r>
    </w:p>
    <w:p w14:paraId="250F334E"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financijskoj stabilnosti namjeravanog stjecatelja, posebno u odnosu na poslovanje investicijskog društva u kojemu se stjecanje predlaže</w:t>
      </w:r>
    </w:p>
    <w:p w14:paraId="532FF021"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mogućnostima investicijskog društva da se pridržava odnosno nastavi pridržavati odredbi ovoga Zakona, drugih relevantnih propisa a posebno Uredbe (EU) br. 2019/2033, propisa kojima se uređuje poslovanje financijskih konglomerata te, ako je to primjenjivo, ostalih propisa Europske unije, a posebno prema tome ima li grupa čijim će članom postati investicijsko društvo strukturu koja omogućava učinkovito provođenje nadzora, djelotvornu razmjenu podataka između nadležnih nadzornih tijela i određivanje podjele odgovornosti među nadležnim tijelima</w:t>
      </w:r>
    </w:p>
    <w:p w14:paraId="711C160D"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prema tome postoje li opravdani razlozi za sumnju, u skladu s propisima o sprečavanju pranja novca i financiranja terorizma, da se u vezi s namjeravanim stjecanjem provodi ili pokušava provesti pranje novca ili financiranje terorizma ili da namjeravano stjecanje može povećati rizik od provođenja pranja novca ili financiranja terorizma i</w:t>
      </w:r>
    </w:p>
    <w:p w14:paraId="5D86D86C"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je li namjeravani stjecatelj suradnik osobe osuđene za kazneno djelo koje se goni po službenoj dužnosti.</w:t>
      </w:r>
    </w:p>
    <w:p w14:paraId="1929901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U postupku odlučivanja Agencija neće postavljati prethodne uvjete u vezi s visinom udjela koje stjecatelj namjerava steći niti će se zahtjev za izdavanje suglasnosti za namjeravano stjecanje procjenjivati s osnova gospodarskih potreba tržišta.</w:t>
      </w:r>
    </w:p>
    <w:p w14:paraId="6A886DB5"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Agencija je ovlaštena podatke o pravomoćnoj osuđivanosti suradnika namjeravanog stjecatelja kvalificiranog udjela za kaznena djela u Republici Hrvatskoj pribaviti od ministarstva nadležnog za pravosuđe ili iz Europskog sustava kaznenih evidencija u skladu sa zakonom kojim se uređuju pravne posljedice osude, kaznena evidencija i rehabilitacija.</w:t>
      </w:r>
    </w:p>
    <w:p w14:paraId="14547CB1" w14:textId="77CFF16E" w:rsidR="2B3481CE" w:rsidRPr="000479E9" w:rsidRDefault="2B3481CE" w:rsidP="2B3481CE">
      <w:pPr>
        <w:spacing w:after="0" w:line="240" w:lineRule="auto"/>
        <w:jc w:val="both"/>
        <w:rPr>
          <w:rFonts w:ascii="Times New Roman" w:hAnsi="Times New Roman" w:cs="Times New Roman"/>
          <w:sz w:val="24"/>
          <w:szCs w:val="24"/>
        </w:rPr>
      </w:pPr>
    </w:p>
    <w:p w14:paraId="15C52A7F" w14:textId="7AC9E478" w:rsidR="2AECB64D" w:rsidRPr="000479E9" w:rsidRDefault="2AECB64D"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Uprava investicijskog društva </w:t>
      </w:r>
    </w:p>
    <w:p w14:paraId="494647B5" w14:textId="563AD720" w:rsidR="2AECB64D" w:rsidRPr="000479E9" w:rsidRDefault="2AECB64D"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27.</w:t>
      </w:r>
    </w:p>
    <w:p w14:paraId="52A570F3" w14:textId="496B4A9D"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(1) Uprava investicijskog društva mora imati najmanje dva člana koji vode poslove i zastupaju investicijsko društvo. Jedan od članova uprave mora biti imenovan za predsjednika uprave. </w:t>
      </w:r>
    </w:p>
    <w:p w14:paraId="7C056BD8" w14:textId="675CDF84"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Iznimno od stavka 1. ovoga članka, uprava investicijskog društva koje je osnovano kao društvo s ograničenom odgovornošću, može imati samo jednog člana, ako dokaže da ima propisane i implementirane dodatne mjere i postupke kojima se pri donošenju odluka osigurava dobro i razborito upravljanje investicijskim društvom i uzimaju u obzir interesi klijenata i integritet tržišta. </w:t>
      </w:r>
    </w:p>
    <w:p w14:paraId="16A4E8F7" w14:textId="64C1212F"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Najmanje jedan član uprave mora obavljati poslove upravljanja investicijskim društvom u punom radnom vremenu. </w:t>
      </w:r>
    </w:p>
    <w:p w14:paraId="712B289C" w14:textId="07618B87"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Ako osnivačkim aktom investicijskog društva nije drukčije određeno, članovi uprave vode poslove i zastupaju investicijsko društvo zajedno. </w:t>
      </w:r>
    </w:p>
    <w:p w14:paraId="607B1AC6" w14:textId="487049B8"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Uprava je dužna voditi poslove investicijskog društva s područja Republike Hrvatske. </w:t>
      </w:r>
    </w:p>
    <w:p w14:paraId="7E23ED09" w14:textId="194B9D95"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Uprava investicijskog društva može ovlastiti prokurista za zastupanje investicijskog društva odnosno sklapanje ugovora i poduzimanje pravnih radnji u ime i za račun investicijskog društva koje proizlaze iz usluga i aktivnosti za koje je investicijsko društvo dobilo odobrenje za rad, ali samo zajedno s barem jednim članom uprave investicijskog društva. </w:t>
      </w:r>
    </w:p>
    <w:p w14:paraId="6FEF6C82" w14:textId="7651531C"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(7) Uprava investicijskog društva dužna je pri upisu prokurista u sudski registar upisati i ograničenje prokure. </w:t>
      </w:r>
    </w:p>
    <w:p w14:paraId="6CB6016A" w14:textId="2C7A4908"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(8) Uvjete koje treba ispunjavati osoba kojoj se daje prokura, vrsta i način davanja prokure, opseg ovlasti iz prokure, uključujući i ograničenja u poduzimanju određenih radnji od strane prokurista, utvrđuje se osnivačkim aktom investicijskog društva. </w:t>
      </w:r>
    </w:p>
    <w:p w14:paraId="15526057" w14:textId="3BC91632"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(9) Najmanje jedan član uprave mora poznavati hrvatski jezik tečno u govoru i pismu da bi mogao obavljati tu funkciju. </w:t>
      </w:r>
    </w:p>
    <w:p w14:paraId="28FEF242" w14:textId="2276C9D3" w:rsidR="2AECB64D" w:rsidRPr="000479E9" w:rsidRDefault="2AECB64D"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(10) Agencija na zahtjev stranke rješenjem odobrava izuzeće iz stavka 2. ovoga članka, ako su ispunjeni uvjeti iz tog stavka te ako je to primjereno opsegu i složenosti usluga i aktivnosti koje investicijsko društvo obavlja</w:t>
      </w:r>
    </w:p>
    <w:p w14:paraId="2EEAA687" w14:textId="2734E421" w:rsidR="2B3481CE" w:rsidRPr="000479E9" w:rsidRDefault="2B3481CE" w:rsidP="2B3481CE">
      <w:pPr>
        <w:spacing w:after="0" w:line="240" w:lineRule="auto"/>
        <w:jc w:val="both"/>
        <w:rPr>
          <w:rFonts w:ascii="Times New Roman" w:hAnsi="Times New Roman" w:cs="Times New Roman"/>
          <w:sz w:val="24"/>
          <w:szCs w:val="24"/>
        </w:rPr>
      </w:pPr>
    </w:p>
    <w:p w14:paraId="0EE5A5EE" w14:textId="77777777" w:rsidR="0078609A" w:rsidRPr="000479E9" w:rsidRDefault="0078609A" w:rsidP="0078609A">
      <w:pPr>
        <w:spacing w:after="0" w:line="240" w:lineRule="auto"/>
        <w:jc w:val="both"/>
        <w:rPr>
          <w:rFonts w:ascii="Times New Roman" w:hAnsi="Times New Roman" w:cs="Times New Roman"/>
          <w:sz w:val="24"/>
          <w:szCs w:val="24"/>
        </w:rPr>
      </w:pPr>
    </w:p>
    <w:p w14:paraId="676C9652" w14:textId="77777777" w:rsidR="0078609A" w:rsidRPr="000479E9" w:rsidRDefault="0078609A" w:rsidP="0078609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Uvjeti za članstvo u upravi investicijskog društva</w:t>
      </w:r>
    </w:p>
    <w:p w14:paraId="4BCFC0A6" w14:textId="7672F941" w:rsidR="0078609A" w:rsidRPr="000479E9" w:rsidRDefault="0078609A" w:rsidP="0078609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28.</w:t>
      </w:r>
    </w:p>
    <w:p w14:paraId="33D12EB2" w14:textId="77777777" w:rsidR="00A91B71" w:rsidRPr="000479E9" w:rsidRDefault="00A91B71" w:rsidP="0078609A">
      <w:pPr>
        <w:spacing w:after="0" w:line="240" w:lineRule="auto"/>
        <w:jc w:val="center"/>
        <w:rPr>
          <w:rFonts w:ascii="Times New Roman" w:hAnsi="Times New Roman" w:cs="Times New Roman"/>
          <w:sz w:val="24"/>
          <w:szCs w:val="24"/>
        </w:rPr>
      </w:pPr>
    </w:p>
    <w:p w14:paraId="7C1E799E"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Član uprave investicijskog društva može biti osoba koja u svakom trenutku dok obavlja tu dužnost:</w:t>
      </w:r>
    </w:p>
    <w:p w14:paraId="382C9005"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ispunjava uvjete za člana uprave propisane zakonom kojim se uređuje osnivanje i ustroj trgovačkih društava</w:t>
      </w:r>
    </w:p>
    <w:p w14:paraId="209DDFC4"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ima dobar ugled</w:t>
      </w:r>
    </w:p>
    <w:p w14:paraId="639E34C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ima odgovarajuća stručna znanja, sposobnost i iskustvo potrebno za vođenje poslova investicijskog društva</w:t>
      </w:r>
    </w:p>
    <w:p w14:paraId="475B703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4. nije u sukobu interesa u odnosu na investicijsko društvo, članove nadzornog odbora ako ih ima, nositelje ključnih funkcija i više rukovodstvo investicijskog društva</w:t>
      </w:r>
    </w:p>
    <w:p w14:paraId="19ECB11E"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za koju je na osnovi dosadašnjeg ponašanja moguće opravdano zaključiti da će pošteno i savjesno obavljati poslove člana uprave investicijskog društva</w:t>
      </w:r>
    </w:p>
    <w:p w14:paraId="28539C2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može posvetiti dovoljno vremena ispunjavanju dužnosti iz svoje nadležnosti u investicijskom društvu i</w:t>
      </w:r>
    </w:p>
    <w:p w14:paraId="2A9A25E3"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nije suradnik osobe osuđene za kazneno djelo za koje se goni po službenoj dužnosti.</w:t>
      </w:r>
    </w:p>
    <w:p w14:paraId="76AC4543"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Nadzorni odnosno upravni odbor investicijskog društva dužan je donijeti i primjenjivati primjerenu politiku za izbor i procjenu ispunjenja uvjeta za članove uprave investicijskog društva. Ta politika mora kao jedan od kriterija za odabir članova uprave postaviti širok raspon kvaliteta i kompetencija, kao i promicanje raznolikosti uprave.</w:t>
      </w:r>
    </w:p>
    <w:p w14:paraId="49EA065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Član upravljačkog tijela investicijskog društva ne smije istodobno obavljati više od jedne od sljedećih kombinacija funkcija:</w:t>
      </w:r>
    </w:p>
    <w:p w14:paraId="3201F9C5"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istodobno biti član uprave odnosno izvršni direktor u jednom i član nadzornog odbora odnosno neizvršni direktor u najviše dva trgovačka društva ili</w:t>
      </w:r>
    </w:p>
    <w:p w14:paraId="10D7BCF5"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istodobno biti član nadzornog odbora odnosno neizvršni direktor u najviše četiri trgovačka društva, uključujući investicijsko društvo.</w:t>
      </w:r>
    </w:p>
    <w:p w14:paraId="3F78B3E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Agencija je ovlaštena podatke o pravomoćnoj osuđivanosti suradnika osobe za koje je podnesen zahtjev u skladu s člankom 29. ovoga Zakona, za kaznena djela u Republici Hrvatskoj pribaviti od ministarstva nadležnog za pravosuđe ili iz Europskog sustava kaznenih evidencija u skladu sa zakonom kojim se uređuju pravne posljedice osude, kaznena evidencija i rehabilitacija.</w:t>
      </w:r>
    </w:p>
    <w:p w14:paraId="149BA2C1"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Ograničenje iz stavka 3. ovoga članka ne primjenjuje se na one osobe koje u nadzornom odboru odnosno kao neizvršni direktori zastupaju Republiku Hrvatsku.</w:t>
      </w:r>
    </w:p>
    <w:p w14:paraId="31BF922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Sljedeće pozicije računaju se kao jedna pozicija za potrebe stavka 3. ovoga članka:</w:t>
      </w:r>
    </w:p>
    <w:p w14:paraId="1D573D1C"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član uprave odnosno izvršni direktor ili član nadzornog odbora odnosno neizvršni direktor unutar iste grupe</w:t>
      </w:r>
    </w:p>
    <w:p w14:paraId="36D02B92"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član uprave odnosno izvršni direktor ili član nadzornog odbora odnosno neizvršni direktor u investicijskom društvu ili kreditnoj instituciji koja je član istog sustava zaštite, ako su ispunjeni uvjeti iz članka 113. stavka 7. Uredbe (EU) br. 575/2013 ili društvima (uključujući nefinancijske subjekte) u kojima investicijsko društvo ima kvalificirani udio.</w:t>
      </w:r>
    </w:p>
    <w:p w14:paraId="6B24560E"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Pozicije u organizacijama koje nemaju pretežno komercijalne ciljeve ne uzimaju se u obzir za potrebe stavka 3. ovoga članka.</w:t>
      </w:r>
    </w:p>
    <w:p w14:paraId="6C064501"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Iznimno od stavka 1. ovoga članka, član uprave investicijskog društva može zadržati jednu dodatnu poziciju člana nadzornog odbora odnosno neizvršnog direktora, za što je potrebno ishoditi prethodno odobrenje Agencije u skladu s pravilnikom iz stavka 11. ovoga članka, o čemu Agencija obavještava ESMA-u.</w:t>
      </w:r>
    </w:p>
    <w:p w14:paraId="4792232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Agencija podatke o pravomoćnoj osuđivanosti za kaznena djela i prekršaje u Republici Hrvatskoj za osobe za koje je podnesen zahtjev u skladu s člankom 29. ovoga Zakona pribavlja iz kaznene odnosno prekršajne evidencije na temelju obrazloženog zahtjeva ili iz Europskog sustava kaznenih evidencija u skladu sa zakonom kojim se uređuju pravne posljedice osude, kaznena evidencija i rehabilitacija.</w:t>
      </w:r>
    </w:p>
    <w:p w14:paraId="4C5CAA99"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(10) Ako je to primjereno, Agencija će u svrhu provjere uvjeta iz ovoga članka provjeriti podatke o izrečenim sankcijama u evidencijama europskih nadzornih tijela.</w:t>
      </w:r>
    </w:p>
    <w:p w14:paraId="1A09985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Agencija pravilnikom pobliže uređuje:</w:t>
      </w:r>
    </w:p>
    <w:p w14:paraId="7D25CC2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uvjete iz stavka 1. ovoga članka</w:t>
      </w:r>
    </w:p>
    <w:p w14:paraId="2E167EEA"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kriterije za procjenu ispunjavanja uvjeta za izdavanje suglasnosti</w:t>
      </w:r>
    </w:p>
    <w:p w14:paraId="300FA31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dokumentaciju koja se prilaže zahtjevu za izdavanje suglasnosti za imenovanje člana uprave</w:t>
      </w:r>
    </w:p>
    <w:p w14:paraId="62EF5E4C"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sadržaj politike iz stavka 2. ovoga članka i dinamiku procjene ispunjenja uvjeta za članove uprave investicijskog društva</w:t>
      </w:r>
    </w:p>
    <w:p w14:paraId="1401806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pojam dovoljnog vremena koje član uprave posvećuje obavljanju svojih funkcija, s obzirom na pojedinačne okolnosti i prirodu, opseg i složenost investicijskog društva i</w:t>
      </w:r>
    </w:p>
    <w:p w14:paraId="18A69288"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pojmove odgovarajućih stručnih znanja, sposobnosti i iskustva potrebnog za vođenje poslova investicijskog društva.</w:t>
      </w:r>
    </w:p>
    <w:p w14:paraId="4AA56D90" w14:textId="6B382932" w:rsidR="2B3481CE" w:rsidRPr="000479E9" w:rsidRDefault="2B3481CE" w:rsidP="2B3481CE">
      <w:pPr>
        <w:spacing w:after="0" w:line="240" w:lineRule="auto"/>
        <w:jc w:val="both"/>
        <w:rPr>
          <w:rFonts w:ascii="Times New Roman" w:hAnsi="Times New Roman" w:cs="Times New Roman"/>
          <w:sz w:val="24"/>
          <w:szCs w:val="24"/>
        </w:rPr>
      </w:pPr>
    </w:p>
    <w:p w14:paraId="155D5540" w14:textId="77777777" w:rsidR="00AE52FD" w:rsidRPr="000479E9" w:rsidRDefault="00AE52FD" w:rsidP="00483C20">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Dužnosti i odgovornost uprave</w:t>
      </w:r>
    </w:p>
    <w:p w14:paraId="389C3432" w14:textId="0BFBC5F3" w:rsidR="00AE52FD" w:rsidRPr="000479E9" w:rsidRDefault="00AE52FD" w:rsidP="00483C20">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Članak 30.</w:t>
      </w:r>
    </w:p>
    <w:p w14:paraId="54E5A7A2" w14:textId="77777777" w:rsidR="00AE52FD" w:rsidRPr="000479E9" w:rsidRDefault="00AE52FD" w:rsidP="00483C20">
      <w:pPr>
        <w:spacing w:after="0" w:line="240" w:lineRule="auto"/>
        <w:jc w:val="center"/>
        <w:rPr>
          <w:rFonts w:ascii="Times New Roman" w:hAnsi="Times New Roman" w:cs="Times New Roman"/>
          <w:bCs/>
          <w:sz w:val="24"/>
          <w:szCs w:val="24"/>
        </w:rPr>
      </w:pPr>
    </w:p>
    <w:p w14:paraId="5A653EDD" w14:textId="0F1B33B8"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Osim općih dužnosti i odgovornosti propisanih zakonom kojim se uređuje osnivanje i ustroj trgovačkih društava, uprava investicijskog društva ima dužnosti i odgovornosti propisane ovim Zakonom.</w:t>
      </w:r>
    </w:p>
    <w:p w14:paraId="79297DF9"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Uprava je dužna osigurati da investicijsko društvo posluje u skladu s relevantnim propisima i pravilima struke.</w:t>
      </w:r>
    </w:p>
    <w:p w14:paraId="47D2A38E"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Uprava je dužna osigurati provođenje nadzornih mjera koje je naložila Agencija u skladu sa svojim nadležnostima i ovlastima iz ovoga Zakona i drugih relevantnih propisa.</w:t>
      </w:r>
    </w:p>
    <w:p w14:paraId="76D96037"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Uprava je dužna uspostaviti i primjenjivati djelotvoran i pouzdan sustav upravljanja, što uključuje i raspodjelu dužnosti te sprječavanje sukoba interesa, na način da se promiču integritet tržišta i interesi klijenata investicijskog društva.</w:t>
      </w:r>
    </w:p>
    <w:p w14:paraId="0C4D11D3"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Uprava je u skladu s člankom 25. Delegirane uredbe (EU) br. 2017/565 dužna procjenjivati i periodički preispitivati učinkovitost politika i postupaka investicijskog društva usvojenih u svrhu usklađenja s relevantnim propisima.</w:t>
      </w:r>
    </w:p>
    <w:p w14:paraId="03B1783D"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Uprava investicijskog društva odgovorna je za strategije i politike investicijskog društva u području rizika.</w:t>
      </w:r>
    </w:p>
    <w:p w14:paraId="4A5E728F"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Uprava investicijskog društva dužna je, kada je primjenjivo, članovima društva, nadzornom odboru odnosno odboru za rizike omogućiti pristup informacijama o rizicima kojima je investicijsko društvo izloženo ili može biti izloženo.</w:t>
      </w:r>
    </w:p>
    <w:p w14:paraId="245DACD8"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Uprava investicijskog društva dužna je odobravati i periodično provjeravati strategije i politike investicijskog društva u pogledu sklonosti preuzimanju rizika i u pogledu upravljanja rizicima te praćenja i smanjenja rizika kojima je investicijsko društvo izloženo ili bi moglo biti izloženo, uzimajući u obzir makroekonomsko okruženje i poslovni ciklus investicijskog društva.</w:t>
      </w:r>
    </w:p>
    <w:p w14:paraId="38BCAC97"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Uprava investicijskog društva dužna je posvetiti dovoljno vremena i osigurati dovoljno sredstava kako bi se svim rizicima iz stavka 8. ovoga članka na odgovarajući način upravljalo.</w:t>
      </w:r>
    </w:p>
    <w:p w14:paraId="3935F9B1" w14:textId="77777777" w:rsidR="00AE52FD" w:rsidRPr="000479E9" w:rsidRDefault="00AE52FD" w:rsidP="00AE52F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(10) Investicijsko društvo dužno je uspostaviti linije izvještavanja uprave za sve značajnije rizike, sve politike upravljanja rizicima te njihove promjene.</w:t>
      </w:r>
    </w:p>
    <w:p w14:paraId="5C3CD6BA" w14:textId="2ED29725" w:rsidR="2B3481CE" w:rsidRPr="000479E9" w:rsidRDefault="2B3481CE" w:rsidP="2B3481CE">
      <w:pPr>
        <w:spacing w:after="0" w:line="240" w:lineRule="auto"/>
        <w:jc w:val="both"/>
        <w:rPr>
          <w:rFonts w:ascii="Times New Roman" w:hAnsi="Times New Roman" w:cs="Times New Roman"/>
          <w:sz w:val="24"/>
          <w:szCs w:val="24"/>
        </w:rPr>
      </w:pPr>
    </w:p>
    <w:p w14:paraId="2666462B" w14:textId="183C34E6" w:rsidR="30E4BBDA" w:rsidRPr="000479E9" w:rsidRDefault="30E4BBDA"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Sustav upravljanja investicijskog društva </w:t>
      </w:r>
    </w:p>
    <w:p w14:paraId="6C9AB2FA" w14:textId="71795B29" w:rsidR="30E4BBDA" w:rsidRPr="000479E9" w:rsidRDefault="30E4BBDA"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31. </w:t>
      </w:r>
    </w:p>
    <w:p w14:paraId="53871D6D" w14:textId="1241010A"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Sustav upravljanja iz članka 30. stavka 4. ovoga Zakona mora posebice osiguravati odgovornost uprave za definiranje, odobravanje i nadzor: </w:t>
      </w:r>
    </w:p>
    <w:p w14:paraId="3DFC4CF0" w14:textId="430E7A0B"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strateških ciljeva društva, strategije upravljanja rizicima i internog upravljanja </w:t>
      </w:r>
    </w:p>
    <w:p w14:paraId="41353CEB" w14:textId="0DABF968"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integriteta računovodstvenog sustava i sustava financijskog izvještavanja, kao i financijske i operativne kontrole i usklađenosti sa zakonom i primjenjivim standardima </w:t>
      </w:r>
    </w:p>
    <w:p w14:paraId="54AC1244" w14:textId="14C34179"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procesa javne objave i priopćavanja podataka u skladu s odredbama ovoga Zakona </w:t>
      </w:r>
    </w:p>
    <w:p w14:paraId="7DFE51A2" w14:textId="69F0E248"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ustrojstva društva za obavljanje investicijskih usluga i aktivnosti te pomoćnih usluga, uključujući vještine, znanje i stručnost višeg rukovodstva i radnika, resurse, postupke i mehanizme društva za obavljanje usluga i aktivnosti, uzimajući u obzir opseg i složenost svog poslovanja </w:t>
      </w:r>
    </w:p>
    <w:p w14:paraId="33B8DB5C" w14:textId="07BB6094"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politika koje se odnose na usluge, aktivnosti, proizvode i poslovanje društva, u skladu s tolerancijom na rizik društva i karakteristikama i potrebama klijenata društva, uključujući provođenje primjerenog testiranja otpornosti na stres, prema potrebi</w:t>
      </w:r>
    </w:p>
    <w:p w14:paraId="41245335" w14:textId="3D0056C1"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politiku primitaka osoba uključenih u pružanje usluga klijentima, čiji je cilj poticanje odgovornog poslovnog ponašanja, korektnog postupanja prema klijentima, kao i izbjegavanje sukoba interesa u odnosu s klijentima. </w:t>
      </w:r>
    </w:p>
    <w:p w14:paraId="12C23F47" w14:textId="12C0449D"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Uprava investicijskog društva dužna je pratiti i periodički, a najmanje jednom godišnje, procjenjivati učinkovitost sustava upravljanja s obzirom na odgovornosti iz stavka 1. ovoga članka te poduzimati primjerene mjere za ispravljanje uočenih nedostataka. </w:t>
      </w:r>
    </w:p>
    <w:p w14:paraId="05B15745" w14:textId="7DA932DD"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Investicijsko društvo dužno je objavljivati opće podatke o svom poslovanju u skladu s dijelom VI. Uredbe (EU) br. 2019/2033. </w:t>
      </w:r>
    </w:p>
    <w:p w14:paraId="619C0139" w14:textId="4BABEDEA"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Brisan.</w:t>
      </w:r>
    </w:p>
    <w:p w14:paraId="418DBECD" w14:textId="34A42A36"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Brisan. </w:t>
      </w:r>
    </w:p>
    <w:p w14:paraId="0D95B3A5" w14:textId="46293BF5" w:rsidR="30E4BBDA" w:rsidRPr="000479E9" w:rsidRDefault="30E4BBD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Brisan.</w:t>
      </w:r>
    </w:p>
    <w:p w14:paraId="2B11CD7D" w14:textId="712EF8F8" w:rsidR="2B3481CE" w:rsidRPr="000479E9" w:rsidRDefault="2B3481CE" w:rsidP="2B3481CE">
      <w:pPr>
        <w:spacing w:after="0" w:line="240" w:lineRule="auto"/>
        <w:jc w:val="both"/>
        <w:rPr>
          <w:rFonts w:ascii="Times New Roman" w:eastAsia="Calibri" w:hAnsi="Times New Roman" w:cs="Times New Roman"/>
          <w:sz w:val="24"/>
          <w:szCs w:val="24"/>
        </w:rPr>
      </w:pPr>
    </w:p>
    <w:p w14:paraId="3CA289D7" w14:textId="109C1ED1" w:rsidR="6F7EDEC7" w:rsidRPr="000479E9" w:rsidRDefault="6F7EDEC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Nositelji ključnih funkcija </w:t>
      </w:r>
    </w:p>
    <w:p w14:paraId="7CB11934" w14:textId="0FB8DFEE" w:rsidR="6F7EDEC7" w:rsidRPr="000479E9" w:rsidRDefault="6F7EDEC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35.</w:t>
      </w:r>
    </w:p>
    <w:p w14:paraId="5AEBB3C5" w14:textId="78521061" w:rsidR="6F7EDEC7" w:rsidRPr="000479E9" w:rsidRDefault="6F7EDEC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(1) Investicijsko društvo dužno je identificirati ključne funkcije u društvu odnosno one osobe koje obnašaju funkcije koje im omogućavaju značajan utjecaj na upravljanje investicijskim društvom, a nisu članovi uprave ili nadzornog odbora. </w:t>
      </w:r>
    </w:p>
    <w:p w14:paraId="24DC25DF" w14:textId="1B8D2B02" w:rsidR="6F7EDEC7" w:rsidRPr="000479E9" w:rsidRDefault="6F7EDEC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Uprava investicijskog društva iz stavka 1. ovoga članka dužna je donijeti primjerene politike za izbor i procjenu primjerenosti nositelja ključnih funkcija. </w:t>
      </w:r>
    </w:p>
    <w:p w14:paraId="19B9E1E0" w14:textId="3463068A" w:rsidR="6F7EDEC7" w:rsidRPr="000479E9" w:rsidRDefault="6F7EDEC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Ako investicijsko društvo procijeni da nositelj ključne funkcije u investicijskom društvu nije primjeren, dužno je poduzeti primjerene mjere. </w:t>
      </w:r>
    </w:p>
    <w:p w14:paraId="50973C6B" w14:textId="20530989" w:rsidR="6F7EDEC7" w:rsidRPr="000479E9" w:rsidRDefault="6F7EDEC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Agencija pravilnikom iz članka 28. stavka 11. ovoga Zakona detaljnije propisuje kriterije za procjenu primjerenosti nositelja ključnih funkcija iz stavka 2. ovoga Zakona.</w:t>
      </w:r>
    </w:p>
    <w:p w14:paraId="44452E11" w14:textId="3251DCCF" w:rsidR="2B3481CE" w:rsidRPr="000479E9" w:rsidRDefault="2B3481CE" w:rsidP="2B3481CE">
      <w:pPr>
        <w:spacing w:after="0" w:line="240" w:lineRule="auto"/>
        <w:jc w:val="both"/>
        <w:rPr>
          <w:rFonts w:ascii="Times New Roman" w:hAnsi="Times New Roman" w:cs="Times New Roman"/>
          <w:sz w:val="24"/>
          <w:szCs w:val="24"/>
        </w:rPr>
      </w:pPr>
    </w:p>
    <w:p w14:paraId="5C3FA447" w14:textId="25C93CDA" w:rsidR="00A91B71" w:rsidRPr="000479E9" w:rsidRDefault="00A91B71" w:rsidP="00EF7953">
      <w:pPr>
        <w:spacing w:after="0" w:line="240" w:lineRule="auto"/>
        <w:jc w:val="both"/>
        <w:rPr>
          <w:rFonts w:ascii="Times New Roman" w:hAnsi="Times New Roman" w:cs="Times New Roman"/>
          <w:sz w:val="24"/>
          <w:szCs w:val="24"/>
        </w:rPr>
      </w:pPr>
    </w:p>
    <w:p w14:paraId="47D68E55" w14:textId="34BF8194" w:rsidR="00EF7953" w:rsidRPr="000479E9" w:rsidRDefault="00EF7953" w:rsidP="00EF7953">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Opći organizacijski uvjeti</w:t>
      </w:r>
    </w:p>
    <w:p w14:paraId="31DADF5C" w14:textId="77777777" w:rsidR="00EF7953" w:rsidRPr="000479E9" w:rsidRDefault="00EF7953" w:rsidP="00EF7953">
      <w:pPr>
        <w:spacing w:after="0" w:line="240" w:lineRule="auto"/>
        <w:jc w:val="center"/>
        <w:rPr>
          <w:rFonts w:ascii="Times New Roman" w:hAnsi="Times New Roman" w:cs="Times New Roman"/>
          <w:sz w:val="24"/>
          <w:szCs w:val="24"/>
        </w:rPr>
      </w:pPr>
    </w:p>
    <w:p w14:paraId="50EECE0B" w14:textId="7BCBE338" w:rsidR="00EF7953" w:rsidRPr="000479E9" w:rsidRDefault="00EF7953" w:rsidP="00EF7953">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Kontinuirano ispunjavanje organizacijskih uvjeta i interno upravljanje</w:t>
      </w:r>
    </w:p>
    <w:p w14:paraId="7A2D2D29" w14:textId="57D8C60A" w:rsidR="00EF7953" w:rsidRPr="000479E9" w:rsidRDefault="00EF7953">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50.</w:t>
      </w:r>
    </w:p>
    <w:p w14:paraId="2F10C277" w14:textId="77777777" w:rsidR="00EF7953" w:rsidRPr="000479E9" w:rsidRDefault="00EF7953" w:rsidP="0065340E">
      <w:pPr>
        <w:spacing w:after="0" w:line="240" w:lineRule="auto"/>
        <w:jc w:val="both"/>
        <w:rPr>
          <w:rFonts w:ascii="Times New Roman" w:hAnsi="Times New Roman" w:cs="Times New Roman"/>
          <w:sz w:val="24"/>
          <w:szCs w:val="24"/>
        </w:rPr>
      </w:pPr>
    </w:p>
    <w:p w14:paraId="45D95FBA"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Investicijsko društvo dužno je u svakom trenutku ispunjavati organizacijske uvjete kako je propisano člancima 21. do 43. Delegirane uredbe (EU) br. 2017/565 i ovim odjeljkom, uzimajući u obzir prirodu, opseg i složenost poslovanja, kao i prirodu i opseg investicijskih usluga i aktivnosti koje obavlja. </w:t>
      </w:r>
    </w:p>
    <w:p w14:paraId="34EC7A3E"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U svrhu ispunjavanja uvjeta iz stavka 1. ovoga članka investicijsko društvo dužno je, u svrhu uspostavljanja pouzdanog sustava upravljanja: </w:t>
      </w:r>
    </w:p>
    <w:p w14:paraId="0507C2B9"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uspostaviti, provoditi, održavati te redovito ažurirati, procjenjivati i nadzirati postupke odlučivanja i organizacijsku strukturu u kojima se jasno, dosljedno i na dokumentirani način utvrđuju linije odgovornosti i dodjeljuju funkcije i nadležnosti </w:t>
      </w:r>
    </w:p>
    <w:p w14:paraId="1FBE3F61"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uspostaviti, provoditi, održavati te redovito ažurirati, procjenjivati i nadzirati učinkovite postupke za utvrđivanje, upravljanje i praćenje rizika i izvještavanje o rizicima kojima je investicijsko društvo izloženo ili bi im moglo biti izloženo ili rizika koji predstavlja ili bi moglo predstavljati za druge </w:t>
      </w:r>
    </w:p>
    <w:p w14:paraId="2C8EB445"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uspostaviti, provoditi, održavati te redovito ažurirati, procjenjivati i nadzirati postupke koji osiguravaju da su relevantne osobe upoznate s postupcima koje moraju poštivati za pravilno izvršavanje svojih dužnosti i odgovornosti </w:t>
      </w:r>
    </w:p>
    <w:p w14:paraId="009E41C9"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uspostaviti, provoditi i održavati primjerene mehanizme unutarnje kontrole, uključujući odgovarajuće administrativne i računovodstvene postupke čija je namjena osiguravanje usklađenosti s odlukama i postupcima na svim razinama investicijskog društva </w:t>
      </w:r>
    </w:p>
    <w:p w14:paraId="4BC4BB66"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 zapošljavati osobe s vještinama, znanjem i stručnošću koji su potrebni za izvršavanje dodijeljenih zaduženja i zadataka </w:t>
      </w:r>
    </w:p>
    <w:p w14:paraId="1F37BC20"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6. uspostaviti, provoditi i održavati učinkovit sustav internog izvještavanja i priopćavanja informacija na svim relevantnim razinama investicijskog društva </w:t>
      </w:r>
    </w:p>
    <w:p w14:paraId="7ED71058"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7. održavati primjerenu i urednu evidenciju svojeg poslovanja i unutarnje organizacije i </w:t>
      </w:r>
    </w:p>
    <w:p w14:paraId="41BBFF39"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8. osigurati da obavljanje višestrukih funkcija povjerenih relevantnim osobama ne sprječava te osobe da izvršavaju bilo koju od tih funkcija na ispravan, pošten i profesionalan način </w:t>
      </w:r>
    </w:p>
    <w:p w14:paraId="72496F51"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9. uspostaviti, provoditi, održavati te redovito ažurirati, procjenjivati i nadzirati politike i prakse koje se odnose na primitke koje su rodno neutralne i koje su usklađene s dobrim i učinkovitim upravljanjem rizicima i kojima se promiče dobro i učinkovito upravljanje rizicima. </w:t>
      </w:r>
    </w:p>
    <w:p w14:paraId="7F450D25"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O svakoj promjeni okolnosti o kojima ovisi primjena odredbi iz stavka 1. ovoga članka investicijsko društvo dužno je bez odgađanja izvijestiti Agenciju. </w:t>
      </w:r>
    </w:p>
    <w:p w14:paraId="0065C34C"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Investicijsko društvo dužno je pratiti i na redovnoj osnovi procjenjivati primjerenost i učinkovitost ustrojenih sustava i postupaka iz stavka 2. ovoga članka te poduzimati odgovarajuće mjere za uklanjanje nedostataka. </w:t>
      </w:r>
    </w:p>
    <w:p w14:paraId="477B54E0" w14:textId="7777777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 xml:space="preserve">(5) Pri uspostavi sustava internog upravljanja investicijsko društvo dužno je uzeti u obzir kriterije iz članaka 30., 34., 56., 56.a do 56.c i 167. ovoga Zakona. </w:t>
      </w:r>
    </w:p>
    <w:p w14:paraId="5EE3B138" w14:textId="506B8287" w:rsidR="00EF7953" w:rsidRPr="000479E9" w:rsidRDefault="00EF7953" w:rsidP="0065340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Mehanizmi unutarnje kontrole te administrativni i računovodstveni postupci investicijskog društava moraju biti ustrojeni tako da Agenciji omogućuju da u svakom trenutku provjeri usklađenost društava s odredbama ovoga Zakona i Uredbom (EU) br. 2019/2033.</w:t>
      </w:r>
    </w:p>
    <w:p w14:paraId="6F1CF305" w14:textId="1AD7FF01" w:rsidR="2B3481CE" w:rsidRPr="000479E9" w:rsidRDefault="2B3481CE" w:rsidP="2B3481CE">
      <w:pPr>
        <w:spacing w:after="0" w:line="240" w:lineRule="auto"/>
        <w:jc w:val="both"/>
        <w:rPr>
          <w:rFonts w:ascii="Times New Roman" w:hAnsi="Times New Roman" w:cs="Times New Roman"/>
          <w:sz w:val="24"/>
          <w:szCs w:val="24"/>
        </w:rPr>
      </w:pPr>
    </w:p>
    <w:p w14:paraId="4D601A8C" w14:textId="7AB839BC" w:rsidR="7CBF8293" w:rsidRPr="000479E9" w:rsidRDefault="7CBF829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Praćenje usklađenosti </w:t>
      </w:r>
    </w:p>
    <w:p w14:paraId="3EE259D0" w14:textId="2ECD841F" w:rsidR="7CBF8293" w:rsidRPr="000479E9" w:rsidRDefault="7CBF829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54. </w:t>
      </w:r>
    </w:p>
    <w:p w14:paraId="0CA676BF" w14:textId="2140871D" w:rsidR="7CBF8293" w:rsidRPr="000479E9" w:rsidRDefault="7CBF829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Investicijsko društvo dužno je propisati i primjenjivati te redovito ažurirati, procjenjivati i nadzirati primjerene politike i postupke koji osiguravaju najmanje da investicijsko društvo i relevantne osobe društva postupaju u skladu sa svojim obvezama propisanima ovim Zakonom, Uredbom (EU) br. 596/2014, Uredbom (EU) br. 600/2014 i pravilnicima koje na temelju njih donosi Agencija. </w:t>
      </w:r>
    </w:p>
    <w:p w14:paraId="701D49E7" w14:textId="4A5CD0D6" w:rsidR="7CBF8293" w:rsidRPr="000479E9" w:rsidRDefault="7CBF829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Politike i postupci iz stavka 1. ovoga članka posebno moraju osigurati poštivanje onih odredbi koje uređuju osobne transakcije relevantnih osoba.</w:t>
      </w:r>
    </w:p>
    <w:p w14:paraId="2369D02A" w14:textId="7B9D5CDD" w:rsidR="7CBF8293" w:rsidRPr="000479E9" w:rsidRDefault="7CBF829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(3) Investicijsko društvo dužno je u svrhu provedbe i nadzora politika i postupaka iz stavka 1. i 2. ovoga članka ustrojiti trajnu i učinkovitu funkciju praćenja usklađenosti čije su ovlasti i odgovornosti propisane člankom 22. stavcima 2. i 3. Delegirane uredbe (EU) br. 2017/565 i pravilnikom Agencije iz stavka 7. ovoga članka. </w:t>
      </w:r>
    </w:p>
    <w:p w14:paraId="250F70B6" w14:textId="15CBD192" w:rsidR="7CBF8293" w:rsidRPr="000479E9" w:rsidRDefault="7CBF829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Kada investicijsko društvo ispunjava uvjete za izuzeće iz članka 22. stavka 4. Delegirane uredbe (EU) br. 2017/565, i isto odluči koristiti, o tome je dužno prethodno izvijestiti Agenciju. </w:t>
      </w:r>
    </w:p>
    <w:p w14:paraId="092E70F8" w14:textId="60479B54" w:rsidR="7CBF8293" w:rsidRPr="000479E9" w:rsidRDefault="7CBF829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Agencija može rješenjem zabraniti korištenje izuzeća iz stavka 4. ovoga članka, ako iz dostavljene obavijesti ne proizlazi da investicijsko društvo ispunjava uvjete za izuzeće, u roku od 30 dana od primitka obavijesti iz stavka 4. ovoga članka. </w:t>
      </w:r>
    </w:p>
    <w:p w14:paraId="2C3D1427" w14:textId="744B95E3" w:rsidR="7CBF8293" w:rsidRPr="000479E9" w:rsidRDefault="7CBF829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Investicijsko društvo dužno je Agenciji dostaviti izvješće o radu funkcije usklađenosti u roku i obliku propisanom pravilnikom iz stavka 7. ovoga članka. </w:t>
      </w:r>
    </w:p>
    <w:p w14:paraId="4603AD0A" w14:textId="575C6050" w:rsidR="7CBF8293" w:rsidRPr="000479E9" w:rsidRDefault="7CBF829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Agencija pravilnikom detaljnije uređuje oblik, sadržaj i rokove dostave izvještaja iz stavka 6. ovoga članka</w:t>
      </w:r>
      <w:r w:rsidR="1AB0CEC1" w:rsidRPr="000479E9">
        <w:rPr>
          <w:rFonts w:ascii="Times New Roman" w:eastAsia="Calibri" w:hAnsi="Times New Roman" w:cs="Times New Roman"/>
          <w:sz w:val="24"/>
          <w:szCs w:val="24"/>
        </w:rPr>
        <w:t>.</w:t>
      </w:r>
    </w:p>
    <w:p w14:paraId="1B20BF26" w14:textId="6FE2D8E6" w:rsidR="2B3481CE" w:rsidRPr="000479E9" w:rsidRDefault="2B3481CE" w:rsidP="2B3481CE">
      <w:pPr>
        <w:spacing w:after="0" w:line="240" w:lineRule="auto"/>
        <w:jc w:val="both"/>
        <w:rPr>
          <w:rFonts w:ascii="Times New Roman" w:eastAsia="Calibri" w:hAnsi="Times New Roman" w:cs="Times New Roman"/>
          <w:sz w:val="24"/>
          <w:szCs w:val="24"/>
        </w:rPr>
      </w:pPr>
    </w:p>
    <w:p w14:paraId="44C9C13D" w14:textId="0E11D7B6" w:rsidR="2B3481CE" w:rsidRPr="000479E9" w:rsidRDefault="2B3481CE" w:rsidP="2B3481CE">
      <w:pPr>
        <w:spacing w:after="0" w:line="240" w:lineRule="auto"/>
        <w:jc w:val="both"/>
        <w:rPr>
          <w:rFonts w:ascii="Times New Roman" w:eastAsia="Calibri" w:hAnsi="Times New Roman" w:cs="Times New Roman"/>
          <w:sz w:val="24"/>
          <w:szCs w:val="24"/>
        </w:rPr>
      </w:pPr>
    </w:p>
    <w:p w14:paraId="697FD1DE" w14:textId="6DA2D2F3" w:rsidR="1AB0CEC1" w:rsidRPr="000479E9" w:rsidRDefault="1AB0CEC1"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Obveze funkcije usklađenosti u postupku upravljanja proizvodima</w:t>
      </w:r>
    </w:p>
    <w:p w14:paraId="13EF5409" w14:textId="36FA0A23" w:rsidR="1AB0CEC1" w:rsidRPr="000479E9" w:rsidRDefault="1AB0CEC1"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63. </w:t>
      </w:r>
    </w:p>
    <w:p w14:paraId="2517B40F" w14:textId="18F52F5C" w:rsidR="1AB0CEC1" w:rsidRPr="000479E9" w:rsidRDefault="1AB0CEC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Proizvođač je dužan funkciju praćenja usklađenosti uključiti u postupak upravljanja proizvodima, na način da ista prati razvoj proizvoda i redovno provjerava postupke upravljanja proizvodima s ciljem prepoznavanja rizika od neispunjavanja obveza iz ovoga Odjeljka. </w:t>
      </w:r>
    </w:p>
    <w:p w14:paraId="12081E12" w14:textId="03542CBC" w:rsidR="1AB0CEC1" w:rsidRPr="000479E9" w:rsidRDefault="1AB0CEC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Izvještaji funkcije usklađenosti obvezno sadrže podatke o investicijskim proizvodima, uključujući podatke o strategiji distribucije. </w:t>
      </w:r>
    </w:p>
    <w:p w14:paraId="3B67CF7B" w14:textId="3CDF590D" w:rsidR="1AB0CEC1" w:rsidRPr="000479E9" w:rsidRDefault="1AB0CEC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Investicijska društva Agenciji dostavljaju izvještaj iz stavka 2. u rokovima propisanima pravilnikom iz članka 73. stavka 2. ovoga Zakona.</w:t>
      </w:r>
    </w:p>
    <w:p w14:paraId="1FF4CC43" w14:textId="208D0FD1" w:rsidR="2B3481CE" w:rsidRPr="000479E9" w:rsidRDefault="2B3481CE" w:rsidP="2B3481CE">
      <w:pPr>
        <w:spacing w:after="0" w:line="240" w:lineRule="auto"/>
        <w:jc w:val="both"/>
        <w:rPr>
          <w:rFonts w:ascii="Times New Roman" w:eastAsia="Calibri" w:hAnsi="Times New Roman" w:cs="Times New Roman"/>
          <w:sz w:val="24"/>
          <w:szCs w:val="24"/>
        </w:rPr>
      </w:pPr>
    </w:p>
    <w:p w14:paraId="26621FE8" w14:textId="3334EC36" w:rsidR="1AB0CEC1" w:rsidRPr="000479E9" w:rsidRDefault="1AB0CEC1"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Obveze funkcije usklađenosti u postupku upravljanja proizvodima</w:t>
      </w:r>
    </w:p>
    <w:p w14:paraId="18109728" w14:textId="3163BE4D" w:rsidR="1AB0CEC1" w:rsidRPr="000479E9" w:rsidRDefault="1AB0CEC1"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71. </w:t>
      </w:r>
    </w:p>
    <w:p w14:paraId="6165189C" w14:textId="477448ED" w:rsidR="1AB0CEC1" w:rsidRPr="000479E9" w:rsidRDefault="1AB0CEC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(1) Distributer je dužan funkciju praćenja usklađenosti uključiti u postupak upravljanja proizvodima, na način da ista prati razvoj i redovito provjerava postupke upravljanja proizvodima s ciljem prepoznavanja rizika od neispunjavanja obveza iz ovoga Odjeljka. </w:t>
      </w:r>
    </w:p>
    <w:p w14:paraId="3EEAE5A5" w14:textId="7AD32075" w:rsidR="1AB0CEC1" w:rsidRPr="000479E9" w:rsidRDefault="1AB0CEC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U izvještaj o usklađenosti moraju biti sustavno uključeni podaci o proizvodima koje distributer nudi ili preporučuje te o pruženim uslugama. </w:t>
      </w:r>
    </w:p>
    <w:p w14:paraId="384216DE" w14:textId="7F6FC97B" w:rsidR="1AB0CEC1" w:rsidRPr="000479E9" w:rsidRDefault="1AB0CEC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Investicijska društva Agenciji dostavljaju izvještaj iz stavka 2. ovoga članka u rokovima propisanima pravilnikom iz članka 73. stavka 2. ovoga Zakona</w:t>
      </w:r>
    </w:p>
    <w:p w14:paraId="60FE9224" w14:textId="77777777" w:rsidR="00EF7953" w:rsidRPr="000479E9" w:rsidRDefault="00EF7953" w:rsidP="00617A00">
      <w:pPr>
        <w:spacing w:after="0" w:line="240" w:lineRule="auto"/>
        <w:jc w:val="center"/>
        <w:rPr>
          <w:rFonts w:ascii="Times New Roman" w:hAnsi="Times New Roman" w:cs="Times New Roman"/>
          <w:sz w:val="24"/>
          <w:szCs w:val="24"/>
        </w:rPr>
      </w:pPr>
    </w:p>
    <w:p w14:paraId="22F37A19" w14:textId="77777777" w:rsidR="00205006" w:rsidRPr="000479E9" w:rsidRDefault="00205006" w:rsidP="00205006">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Ostale obveze distributera</w:t>
      </w:r>
    </w:p>
    <w:p w14:paraId="4934557B" w14:textId="47FE74CE" w:rsidR="00205006" w:rsidRPr="000479E9" w:rsidRDefault="00205006" w:rsidP="00205006">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Članak 72.</w:t>
      </w:r>
    </w:p>
    <w:p w14:paraId="07D3EE96" w14:textId="77777777" w:rsidR="00205006" w:rsidRPr="000479E9" w:rsidRDefault="00205006" w:rsidP="00205006">
      <w:pPr>
        <w:spacing w:after="0" w:line="240" w:lineRule="auto"/>
        <w:jc w:val="center"/>
        <w:rPr>
          <w:rFonts w:ascii="Times New Roman" w:hAnsi="Times New Roman" w:cs="Times New Roman"/>
          <w:sz w:val="24"/>
          <w:szCs w:val="24"/>
        </w:rPr>
      </w:pPr>
    </w:p>
    <w:p w14:paraId="7D8585FB" w14:textId="68B10D1C" w:rsidR="00205006" w:rsidRPr="000479E9" w:rsidRDefault="00205006" w:rsidP="000479E9">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Distributer je dužan osigurati da relevantno osoblje raspolaže potrebnim stručnim znanjem kako bi razumjelo obilježja i rizike proizvoda koji namjerava nuditi ili preporučiti te pruženih usluga, kao i potrebe, obilježja i ciljeve određenog ciljanog tržišta.</w:t>
      </w:r>
    </w:p>
    <w:p w14:paraId="0671E147" w14:textId="77777777" w:rsidR="00205006" w:rsidRPr="000479E9" w:rsidRDefault="00205006" w:rsidP="000479E9">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Distributer je dužan proizvođaču dostaviti podatke o prodaji i, prema potrebi, podatke o izvješćima iz članka 71. stavka 3. ovoga Zakona u svrhu ispunjavanja njegovih obveza iz ovoga Odjeljka.</w:t>
      </w:r>
    </w:p>
    <w:p w14:paraId="59DC1444" w14:textId="77777777" w:rsidR="00205006" w:rsidRPr="000479E9" w:rsidRDefault="00205006" w:rsidP="000479E9">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različita društva surađuju pri distribuciji proizvoda ili usluga, krajnju odgovornost za ispunjavanje obveza koje su propisane za distributera ima distributer koji je u izravnom odnosu s klijentom. Ostali distributeri u lancu dužni su:</w:t>
      </w:r>
    </w:p>
    <w:p w14:paraId="6B026CBC" w14:textId="77777777" w:rsidR="00205006" w:rsidRPr="000479E9" w:rsidRDefault="00205006" w:rsidP="000479E9">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osigurati da se relevantni podaci o proizvodu proslijede od proizvođača do krajnjeg distributera u lancu</w:t>
      </w:r>
    </w:p>
    <w:p w14:paraId="5712680C" w14:textId="77777777" w:rsidR="00205006" w:rsidRPr="000479E9" w:rsidRDefault="00205006" w:rsidP="000479E9">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omogućiti proizvođaču da, ako on to zatraži, dođe do podataka o prodaji proizvoda kako bi ispunio svoje obveze u području upravljanja proizvodom i</w:t>
      </w:r>
    </w:p>
    <w:p w14:paraId="782E8905" w14:textId="77777777" w:rsidR="00205006" w:rsidRPr="000479E9" w:rsidRDefault="00205006" w:rsidP="000479E9">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primjenjivati, ako je to primjenjivo, obveze za proizvođača u području upravljanja proizvodom u vezi s uslugama koje pružaju.</w:t>
      </w:r>
    </w:p>
    <w:p w14:paraId="69207370" w14:textId="0245DCA5" w:rsidR="00205006" w:rsidRPr="000479E9" w:rsidRDefault="00205006" w:rsidP="00617A00">
      <w:pPr>
        <w:spacing w:after="0" w:line="240" w:lineRule="auto"/>
        <w:jc w:val="center"/>
        <w:rPr>
          <w:rFonts w:ascii="Times New Roman" w:hAnsi="Times New Roman" w:cs="Times New Roman"/>
          <w:sz w:val="24"/>
          <w:szCs w:val="24"/>
        </w:rPr>
      </w:pPr>
    </w:p>
    <w:p w14:paraId="4D2E5FDC" w14:textId="77777777" w:rsidR="00205006" w:rsidRPr="000479E9" w:rsidRDefault="00205006" w:rsidP="00617A00">
      <w:pPr>
        <w:spacing w:after="0" w:line="240" w:lineRule="auto"/>
        <w:jc w:val="center"/>
        <w:rPr>
          <w:rFonts w:ascii="Times New Roman" w:hAnsi="Times New Roman" w:cs="Times New Roman"/>
          <w:sz w:val="24"/>
          <w:szCs w:val="24"/>
        </w:rPr>
      </w:pPr>
    </w:p>
    <w:p w14:paraId="2B331739" w14:textId="12FC038A" w:rsidR="00A91B71" w:rsidRPr="000479E9" w:rsidRDefault="00A91B71" w:rsidP="00617A00">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ODJELJAK 2.</w:t>
      </w:r>
    </w:p>
    <w:p w14:paraId="620EBCD9" w14:textId="7E210EDE" w:rsidR="00A91B71" w:rsidRPr="000479E9" w:rsidRDefault="00A91B71" w:rsidP="00617A00">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Podaci o uslugama, instrumentima, troškovima i naknadama</w:t>
      </w:r>
    </w:p>
    <w:p w14:paraId="6A6FB42F" w14:textId="55444678" w:rsidR="00A91B71" w:rsidRPr="000479E9" w:rsidRDefault="00A91B71" w:rsidP="00617A00">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Opći zahtjevi za prikaz podataka</w:t>
      </w:r>
    </w:p>
    <w:p w14:paraId="5A6069BB" w14:textId="7937D731" w:rsidR="00A91B71" w:rsidRPr="000479E9" w:rsidRDefault="00A91B71" w:rsidP="00617A00">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87.</w:t>
      </w:r>
    </w:p>
    <w:p w14:paraId="6E476D4E" w14:textId="77777777" w:rsidR="00A91B71" w:rsidRPr="000479E9" w:rsidRDefault="00A91B71" w:rsidP="00617A00">
      <w:pPr>
        <w:spacing w:after="0" w:line="240" w:lineRule="auto"/>
        <w:jc w:val="center"/>
        <w:rPr>
          <w:rFonts w:ascii="Times New Roman" w:hAnsi="Times New Roman" w:cs="Times New Roman"/>
          <w:sz w:val="24"/>
          <w:szCs w:val="24"/>
        </w:rPr>
      </w:pPr>
    </w:p>
    <w:p w14:paraId="3FC51209"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Svi podaci koje investicijsko društvo pruža klijentu ili potencijalnom klijentu, uključujući </w:t>
      </w:r>
    </w:p>
    <w:p w14:paraId="0651BAB7"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promidžbenu komunikaciju, moraju biti korektni, jasni i ne smiju dovoditi u zabludu, pri čemu </w:t>
      </w:r>
    </w:p>
    <w:p w14:paraId="0874B0FC" w14:textId="01C0A4E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promidžbena komunikacija mora biti jasno prepoznatljiva kao takva. </w:t>
      </w:r>
    </w:p>
    <w:p w14:paraId="7FB6775A"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Smatra se da su podaci korektni, jasni i ne dovode u zabludu ako su sastavljeni u skladu s </w:t>
      </w:r>
    </w:p>
    <w:p w14:paraId="160DC6A9" w14:textId="25788FD5"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uvjetima iz članka 44. Delegirane uredbe (EU) br. 2017/565. </w:t>
      </w:r>
    </w:p>
    <w:p w14:paraId="298B0AC0"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Investicijsko društvo dužno je klijentu ili potencijalnom klijentu sve informacije koje mu je dužan </w:t>
      </w:r>
    </w:p>
    <w:p w14:paraId="56283AEB"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 xml:space="preserve">dostaviti prema ovome Zakonu dostaviti u elektroničkom obliku. </w:t>
      </w:r>
    </w:p>
    <w:p w14:paraId="60693B09"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Iznimno od stavka 3. ovoga članka, ako je klijent ili potencijalni klijent mali ulagatelj ili </w:t>
      </w:r>
    </w:p>
    <w:p w14:paraId="400AB72A"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potencijalni mali ulagatelj koji je zatražio primitak informacija u papirnatom obliku, investicijsko </w:t>
      </w:r>
    </w:p>
    <w:p w14:paraId="76219980"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društvo dužno je takvom klijentu ili potencijalnom klijentu podatke dostaviti bez naknade u </w:t>
      </w:r>
    </w:p>
    <w:p w14:paraId="020ABC23"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papirnatom obliku. </w:t>
      </w:r>
    </w:p>
    <w:p w14:paraId="70E04F46"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 O mogućnosti iz stavka 4. ovoga članka investicijsko društvo dužno je prethodno obavijestiti </w:t>
      </w:r>
    </w:p>
    <w:p w14:paraId="343033D0" w14:textId="684E11FD"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malog ulagatelja odnosno potencijalnog malog ulagatelja.</w:t>
      </w:r>
    </w:p>
    <w:p w14:paraId="1E2DDDE9" w14:textId="77777777" w:rsidR="00A91B71" w:rsidRPr="000479E9" w:rsidRDefault="00A91B71" w:rsidP="0078609A">
      <w:pPr>
        <w:spacing w:after="0" w:line="240" w:lineRule="auto"/>
        <w:jc w:val="both"/>
        <w:rPr>
          <w:rFonts w:ascii="Times New Roman" w:hAnsi="Times New Roman" w:cs="Times New Roman"/>
          <w:sz w:val="24"/>
          <w:szCs w:val="24"/>
        </w:rPr>
      </w:pPr>
    </w:p>
    <w:p w14:paraId="77BF0501" w14:textId="77777777" w:rsidR="0078609A" w:rsidRPr="000479E9" w:rsidRDefault="0078609A" w:rsidP="0078609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Poticaji povezani s upravljanjem portfeljem i neovisnim investicijskim savjetovanjem</w:t>
      </w:r>
    </w:p>
    <w:p w14:paraId="762FF4F1" w14:textId="13857061" w:rsidR="0078609A" w:rsidRPr="000479E9" w:rsidRDefault="0078609A" w:rsidP="0078609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93.</w:t>
      </w:r>
    </w:p>
    <w:p w14:paraId="0134F75C" w14:textId="77777777" w:rsidR="00A91B71" w:rsidRPr="000479E9" w:rsidRDefault="00A91B71" w:rsidP="0078609A">
      <w:pPr>
        <w:spacing w:after="0" w:line="240" w:lineRule="auto"/>
        <w:jc w:val="center"/>
        <w:rPr>
          <w:rFonts w:ascii="Times New Roman" w:hAnsi="Times New Roman" w:cs="Times New Roman"/>
          <w:sz w:val="24"/>
          <w:szCs w:val="24"/>
        </w:rPr>
      </w:pPr>
    </w:p>
    <w:p w14:paraId="28D4ABE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Kada investicijsko društvo u skladu s člancima 89. i 90. ovoga Zakona pruži neovisno investicijsko savjetovanje te kada pruža uslugu iz članka 5. stavka 1. točke 4. ovoga Zakona, ne smije prihvaćati niti zadržavati dodatne poticaje u odnosu na te usluge.</w:t>
      </w:r>
    </w:p>
    <w:p w14:paraId="01D280A1"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investicijsko društvo u slučaju iz stavka 1. ovoga članka primi dodatni poticaj, dužan je prenijeti isti klijentu u cijelosti.</w:t>
      </w:r>
    </w:p>
    <w:p w14:paraId="039D423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Investicijsko društvo dužno je donijeti i primjenjivati politiku koja osigurava da se dodatni poticaji zaprimljeni u slučajevima iz stavka 1. ovoga članka prenesu klijentu te da se klijenta o tome na odgovarajući način obavijesti.</w:t>
      </w:r>
    </w:p>
    <w:p w14:paraId="4301BB0E"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Zabrana iz stavka 1. ovoga članka ne odnosi se na manje nenovčane koristi koje ispunjavaju uvjete iz pravilnika Agencije iz članka 91. stavka 6. ovoga Zakona, a mogu poboljšati kvalitetu usluge pružene klijentu te su po opsegu i prirodi takve da se ne može smatrati da ugrožavaju obvezu investicijskog društva da djeluje u najboljem interesu klijenta, pod uvjetom da se jasno priopće klijentu u skladu sa stavkom 5. ovoga članka i pravilnikom Agencije iz članka 91. stavka 6. ovoga Zakona.</w:t>
      </w:r>
    </w:p>
    <w:p w14:paraId="3471E3B7"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Investicijsko društvo dužno je o manjim nenovčanim koristima iz stavka 4. ovoga članka klijenta izvijestiti pravodobno, prije pružanja relevantnih investicijskih ili pomoćnih usluga.</w:t>
      </w:r>
    </w:p>
    <w:p w14:paraId="1039B3A8" w14:textId="77777777" w:rsidR="0078609A" w:rsidRPr="000479E9" w:rsidRDefault="0078609A" w:rsidP="0078609A">
      <w:pPr>
        <w:spacing w:after="0" w:line="240" w:lineRule="auto"/>
        <w:jc w:val="both"/>
        <w:rPr>
          <w:rFonts w:ascii="Times New Roman" w:hAnsi="Times New Roman" w:cs="Times New Roman"/>
          <w:sz w:val="24"/>
          <w:szCs w:val="24"/>
        </w:rPr>
      </w:pPr>
    </w:p>
    <w:p w14:paraId="10ADF526" w14:textId="77777777" w:rsidR="0078609A" w:rsidRPr="000479E9" w:rsidRDefault="0078609A" w:rsidP="0078609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Poticaji povezani s istraživanjem</w:t>
      </w:r>
    </w:p>
    <w:p w14:paraId="7CA2605C" w14:textId="2E78ABC0" w:rsidR="0078609A" w:rsidRPr="000479E9" w:rsidRDefault="0078609A" w:rsidP="0078609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94.</w:t>
      </w:r>
    </w:p>
    <w:p w14:paraId="6661C0D6" w14:textId="77777777" w:rsidR="00A91B71" w:rsidRPr="000479E9" w:rsidRDefault="00A91B71" w:rsidP="0078609A">
      <w:pPr>
        <w:spacing w:after="0" w:line="240" w:lineRule="auto"/>
        <w:jc w:val="center"/>
        <w:rPr>
          <w:rFonts w:ascii="Times New Roman" w:hAnsi="Times New Roman" w:cs="Times New Roman"/>
          <w:sz w:val="24"/>
          <w:szCs w:val="24"/>
        </w:rPr>
      </w:pPr>
    </w:p>
    <w:p w14:paraId="7C57940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U smislu ovoga članka, pojam istraživanje odnosi se na materijal za istraživanje ili usluge koje se odnose na jedan ili više financijskih instrumenata ili drugu imovinu, izdavatelje ili potencijalne izdavatelje financijskih instrumenata ili materijal za istraživanje ili usluge koje su usko povezane s posebnom industrijom ili tržištem tako da pružaju informacije o financijskim instrumentima, imovini ili izdavateljima unutar te industrije ili tržišta.</w:t>
      </w:r>
    </w:p>
    <w:p w14:paraId="46D7561E"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Istraživanje iz stavka 1. ovoga članka obuhvaća i materijal ili usluge u okviru kojih se izričito ili implicitno preporučuje ili predlaže investicijska strategija i daje obrazloženo mišljenje o sadašnjoj ili budućoj vrijednosti ili cijeni takvih instrumenata ili imovine, ili pak sadrže analizu i originalne uvide i zaključke na temelju novih ili postojećih informacija koji bi se mogli upotrijebiti za informiranje o investicijskoj strategiji i biti relevantni i u stanju dodati vrijednost odlukama koje investicijsko društvo donosi u ime klijenata kojima se to istraživanje naplaćuje.</w:t>
      </w:r>
    </w:p>
    <w:p w14:paraId="4E0F9AE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Kada treće osobe investicijskom društvu koje upravlja portfeljima ili pruža druge investicijske ili pomoćne usluge klijentima pruža istraživanje, to se istraživanje neće smatrati dodatnim poticajem u smislu ovoga Zakona, ako je pruženo u zamjenu za:</w:t>
      </w:r>
    </w:p>
    <w:p w14:paraId="47B79B17"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izravna plaćanja za koje se investicijsko društvo koristi vlastitim sredstvima ili</w:t>
      </w:r>
    </w:p>
    <w:p w14:paraId="69C59A25"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plaćanja preko zasebnog računa za istraživanja koji je pod kontrolom investicijskog društva, uz uvjet da su u vezi s vođenjem računa ispunjeni uvjeti iz pravilnika Agencije iz članka 91. stavka 6. ovoga Zakona.</w:t>
      </w:r>
    </w:p>
    <w:p w14:paraId="5CB760A5"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Ako se koristi računom za istraživanja iz stavka 1. točke 2. ovoga članka, investicijsko društvo dužno je klijentu pružiti sljedeće podatke detaljnije propisane pravilnikom Agencije iz članka 91. stavka 6. ovoga Zakona:</w:t>
      </w:r>
    </w:p>
    <w:p w14:paraId="020386A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prije nego što se klijentu pruži investicijska usluga, podatke o iznosu proračuna za istraživanje i procijenjenom iznosu naknade za istraživanje koja će se zaračunati svakom klijentu i</w:t>
      </w:r>
    </w:p>
    <w:p w14:paraId="5C51F0BD"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godišnje podatke o ukupnim troškovima koji su im nastali zbog istraživanja koje provodi treća osoba.</w:t>
      </w:r>
    </w:p>
    <w:p w14:paraId="4E8D595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U smislu ovoga članka, istraživanje obuhvaća investicijsko istraživanje u smislu članka 36. stavka 1. Delegirane uredbe (EU) br. 2017/565 i svaki materijal ili uslugu koja se odnosi na jedan ili više financijskih instrumenata, drugu imovinu, izdavatelja ili potencijalnog izdavatelja financijskih instrumenata, a koja sadrži implicitnu ili eksplicitnu preporuku ili sugestiju o investicijskoj strategiji i potkrijepljeno mišljenje o trenutnoj ili budućoj vrijednosti ili cijeni tih instrumenata ili imovine.</w:t>
      </w:r>
    </w:p>
    <w:p w14:paraId="1FA9C89C"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Kada treća osoba pruža istraživanja investicijskom društvu koje upravlja portfeljem ili pruža druge ili investicijske ili pomoćne usluge klijentima, smatra se da su u odnosu na te poticaje ispunjeni uvjeti iz stavaka 3. do 5. ovoga članka ako su kumulativno ispunjeni svi sljedeći uvjeti:</w:t>
      </w:r>
    </w:p>
    <w:p w14:paraId="4F81C643"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istraživanje se odnosi na izdavatelje koji nisu premašili tržišnu kapitalizaciju od 1 milijarde eura tijekom razdoblja od 36 mjeseci prije pružanja usluga istraživanja, kako je izraženo kotacijom na kraju godine ili vlastitim kapitalom za financijske godine kada nisu bila uvrštena</w:t>
      </w:r>
    </w:p>
    <w:p w14:paraId="409FDE05"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su prije pružanja usluga izvršavanja naloga ili istraživanja investicijsko društvo i pružatelj usluga istraživanja sklopili sporazum kojim se utvrđuje koji se dio kombiniranih naknada ili zajedničkog plaćanja za usluge izvršavanja naloga i istraživanje može pripisati istraživanju i</w:t>
      </w:r>
    </w:p>
    <w:p w14:paraId="50152BF3"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je investicijsko društvo obavijestilo klijenta o zajedničkim plaćanjima za usluge izvršavanja naloga i istraživanje koja su isplaćena trećim stranama koje pružaju usluge istraživanja.</w:t>
      </w:r>
    </w:p>
    <w:p w14:paraId="51EE5E32" w14:textId="191AE6FD" w:rsidR="0078609A" w:rsidRPr="000479E9" w:rsidRDefault="0078609A" w:rsidP="00F01D72">
      <w:pPr>
        <w:spacing w:after="0" w:line="240" w:lineRule="auto"/>
        <w:jc w:val="center"/>
        <w:rPr>
          <w:rFonts w:ascii="Times New Roman" w:hAnsi="Times New Roman" w:cs="Times New Roman"/>
          <w:sz w:val="24"/>
          <w:szCs w:val="24"/>
        </w:rPr>
      </w:pPr>
    </w:p>
    <w:p w14:paraId="56DDEF7E" w14:textId="252D9952" w:rsidR="0078609A" w:rsidRPr="000479E9" w:rsidRDefault="16C8AB6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Profesionalni ulagatelji na zahtjev </w:t>
      </w:r>
    </w:p>
    <w:p w14:paraId="14DB3972" w14:textId="5C9F411F" w:rsidR="0078609A" w:rsidRPr="000479E9" w:rsidRDefault="16C8AB6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Članak 103. </w:t>
      </w:r>
    </w:p>
    <w:p w14:paraId="79EFE4A3" w14:textId="1BABA019"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Klijent investicijskog društva koji nije izričito naveden u članku 101. ovoga Zakona, uključujući javnu ustanovu, jedinicu lokalne ili područne (regionalne) samouprave, pravnu i fizičku osobu, može od investicijskog društva zatražiti status profesionalnog ulagatelja pod uvjetima propisanima ovim člankom. </w:t>
      </w:r>
    </w:p>
    <w:p w14:paraId="7C2BB99C" w14:textId="1B5DD88E"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Investicijsko društvo dužno je, na temelju zahtjeva iz stavka 1. ovoga članka, procijeniti može li klijent donijeti investicijsku odluku i razumjeti rizike povezane s određenom transakcijom ili uslugom. </w:t>
      </w:r>
    </w:p>
    <w:p w14:paraId="772CCADE" w14:textId="455EE1B0"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Procjena iz stavka 2. ovoga članka mora obuhvatiti stručnost, iskustvo i znanje klijenta. Za znanje i iskustvo klijenta ne može se pretpostaviti da je istovjetno znanju i iskustvu klijenta iz članka 101. ovoga Zakona, već se mora posebno utvrđivati. </w:t>
      </w:r>
    </w:p>
    <w:p w14:paraId="6E531101" w14:textId="23C0E63B"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Prilikom podnošenja zahtjeva za stjecanje statusa profesionalnog ulagatelja, klijent mora investicijskom društvu dokazati da ispunjava najmanje dva od sljedećih uvjeta: </w:t>
      </w:r>
    </w:p>
    <w:p w14:paraId="5D7EF416" w14:textId="3AD2AE66"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izvršio je u prosjeku 10 transakcija značajnog volumena unutar svakog tromjesečja, unatrag godine dana, na za njega mjerodavnom tržištu </w:t>
      </w:r>
    </w:p>
    <w:p w14:paraId="52ED2767" w14:textId="5E3E0A15"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veličina portfelja financijskih instrumenata klijenta prelazi vrijednost od 500.000,00 eura i 3. radi ili je radio u financijskom sektoru najmanje godinu dana na stručnim poslovima koji zahtijevaju znanje o transakcijama ili uslugama za koje se status profesionalnog ulagatelja traži. </w:t>
      </w:r>
    </w:p>
    <w:p w14:paraId="5536E76D" w14:textId="338842F0"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Mjerodavno tržište iz stavka 4. točke 1. ovoga članka je tržište na kojem se trguje financijskim instrumentima za koje klijent želi dobiti status profesionalnog ulagatelja. </w:t>
      </w:r>
    </w:p>
    <w:p w14:paraId="7C9423F2" w14:textId="1E1A706E"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Portfelj financijskih instrumenata iz stavka 4. točke 2. ovoga članka podrazumijeva i novčana sredstava i financijske instrumente. </w:t>
      </w:r>
    </w:p>
    <w:p w14:paraId="6EA5328B" w14:textId="178EA80D" w:rsidR="0078609A" w:rsidRPr="000479E9" w:rsidRDefault="16C8AB6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Investicijsko društvo može prema klijentima iz stavka 1. ovoga članka postupati kao prema profesionalnim ulagateljima, ako su ispunjeni uvjeti i postupak odricanja od više razine zaštite iz ovoga članka i članka 104. ovoga Zakona.</w:t>
      </w:r>
    </w:p>
    <w:p w14:paraId="3237D668" w14:textId="0355EC0F" w:rsidR="0078609A" w:rsidRPr="000479E9" w:rsidRDefault="0078609A" w:rsidP="2B3481CE">
      <w:pPr>
        <w:spacing w:after="0" w:line="240" w:lineRule="auto"/>
        <w:jc w:val="both"/>
        <w:rPr>
          <w:rFonts w:ascii="Times New Roman" w:eastAsia="Calibri" w:hAnsi="Times New Roman" w:cs="Times New Roman"/>
          <w:sz w:val="24"/>
          <w:szCs w:val="24"/>
        </w:rPr>
      </w:pPr>
    </w:p>
    <w:p w14:paraId="5A913258" w14:textId="2819C0E2" w:rsidR="0078609A" w:rsidRPr="000479E9" w:rsidRDefault="0078609A" w:rsidP="2B3481CE">
      <w:pPr>
        <w:spacing w:after="0" w:line="240" w:lineRule="auto"/>
        <w:jc w:val="both"/>
        <w:rPr>
          <w:rFonts w:ascii="Times New Roman" w:eastAsia="Calibri" w:hAnsi="Times New Roman" w:cs="Times New Roman"/>
          <w:sz w:val="24"/>
          <w:szCs w:val="24"/>
        </w:rPr>
      </w:pPr>
    </w:p>
    <w:p w14:paraId="4C0C7C3A" w14:textId="7340B564" w:rsidR="0078609A" w:rsidRPr="000479E9" w:rsidRDefault="782C00FB"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Financijski izvještaji </w:t>
      </w:r>
    </w:p>
    <w:p w14:paraId="492606B5" w14:textId="1EC2774E" w:rsidR="0078609A" w:rsidRPr="000479E9" w:rsidRDefault="782C00FB"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159. </w:t>
      </w:r>
    </w:p>
    <w:p w14:paraId="3CB285EF" w14:textId="2F58B657" w:rsidR="0078609A" w:rsidRPr="000479E9" w:rsidRDefault="782C00FB"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Osim godišnjih financijskih izvještaja, investicijsko društvo obvezno je izrađivati financijske izvještaje i za izvještajna razdoblja tijekom poslovne godine.</w:t>
      </w:r>
    </w:p>
    <w:p w14:paraId="1D2E8B51" w14:textId="07EED684" w:rsidR="0078609A" w:rsidRPr="000479E9" w:rsidRDefault="782C00FB"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Poslovna godina u smislu stavka 1. ovoga članka jednaka je kalendarskoj godini, a izvještajna razdoblja tijekom godine jednaka su tromjesečnom, šestomjesečnom i devetomjesečnom razdoblju.</w:t>
      </w:r>
    </w:p>
    <w:p w14:paraId="5C3AB3E3" w14:textId="7D45AF02" w:rsidR="0078609A" w:rsidRPr="000479E9" w:rsidRDefault="782C00FB"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(3) Agencija pravilnikom pobliže uređuje sadržaj, oblik, način i rokove izrade i dostave godišnjih financijskih izvještaja investicijskog društva, kao i financijskih izvještaja tijekom poslovne godine.</w:t>
      </w:r>
    </w:p>
    <w:p w14:paraId="7557D536" w14:textId="7715FF61" w:rsidR="000A02C8" w:rsidRPr="000479E9" w:rsidRDefault="000A02C8" w:rsidP="2B3481CE">
      <w:pPr>
        <w:spacing w:after="0" w:line="240" w:lineRule="auto"/>
        <w:jc w:val="both"/>
        <w:rPr>
          <w:rFonts w:ascii="Times New Roman" w:eastAsia="Calibri" w:hAnsi="Times New Roman" w:cs="Times New Roman"/>
          <w:sz w:val="24"/>
          <w:szCs w:val="24"/>
        </w:rPr>
      </w:pPr>
    </w:p>
    <w:p w14:paraId="75D62F2D" w14:textId="77777777" w:rsidR="000A02C8" w:rsidRPr="000479E9" w:rsidRDefault="000A02C8" w:rsidP="00483C20">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Ograničenje obavljanja revizije</w:t>
      </w:r>
    </w:p>
    <w:p w14:paraId="34DCB707" w14:textId="5C1DA17A" w:rsidR="000A02C8" w:rsidRPr="000479E9" w:rsidRDefault="000A02C8" w:rsidP="00483C20">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162.</w:t>
      </w:r>
    </w:p>
    <w:p w14:paraId="77C89D95" w14:textId="77777777" w:rsidR="000A02C8" w:rsidRPr="000479E9" w:rsidRDefault="000A02C8" w:rsidP="00483C20">
      <w:pPr>
        <w:spacing w:after="0" w:line="240" w:lineRule="auto"/>
        <w:jc w:val="center"/>
        <w:rPr>
          <w:rFonts w:ascii="Times New Roman" w:eastAsia="Calibri" w:hAnsi="Times New Roman" w:cs="Times New Roman"/>
          <w:sz w:val="24"/>
          <w:szCs w:val="24"/>
        </w:rPr>
      </w:pPr>
    </w:p>
    <w:p w14:paraId="79C1A027" w14:textId="791BABB1" w:rsidR="000A02C8" w:rsidRPr="000479E9" w:rsidRDefault="000A02C8" w:rsidP="000A02C8">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(1) Isti revizor može obavljati reviziju godišnjih financijskih izvještaja određenog investicijskog društva najviše za sedam uzastopnih poslovnih godina. Isti revizor ne smije sljedeće četiri godine obavljati reviziju godišnjih financijskih izvještaja tog investicijskog društva.</w:t>
      </w:r>
    </w:p>
    <w:p w14:paraId="21F321A7" w14:textId="7843FA91" w:rsidR="000A02C8" w:rsidRPr="000479E9" w:rsidRDefault="000A02C8" w:rsidP="000A02C8">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Reviziju godišnjih financijskih izvještaja investicijskog društva i druge revizije za potrebe Agencije za jednu poslovnu godinu mora obavljati isti revizor.</w:t>
      </w:r>
    </w:p>
    <w:p w14:paraId="62F091D2" w14:textId="77777777" w:rsidR="000A02C8" w:rsidRPr="000479E9" w:rsidRDefault="000A02C8" w:rsidP="000A02C8">
      <w:pPr>
        <w:spacing w:after="0" w:line="240" w:lineRule="auto"/>
        <w:jc w:val="both"/>
        <w:rPr>
          <w:rFonts w:ascii="Times New Roman" w:eastAsia="Calibri" w:hAnsi="Times New Roman" w:cs="Times New Roman"/>
          <w:sz w:val="24"/>
          <w:szCs w:val="24"/>
        </w:rPr>
      </w:pPr>
    </w:p>
    <w:p w14:paraId="3B240937" w14:textId="23F8548E" w:rsidR="2B3481CE" w:rsidRPr="000479E9" w:rsidRDefault="2B3481CE" w:rsidP="2B3481CE">
      <w:pPr>
        <w:spacing w:after="0" w:line="240" w:lineRule="auto"/>
        <w:jc w:val="both"/>
        <w:rPr>
          <w:rFonts w:ascii="Times New Roman" w:eastAsia="Calibri" w:hAnsi="Times New Roman" w:cs="Times New Roman"/>
          <w:sz w:val="24"/>
          <w:szCs w:val="24"/>
        </w:rPr>
      </w:pPr>
    </w:p>
    <w:p w14:paraId="08EE88CF" w14:textId="58128507" w:rsidR="00011804" w:rsidRPr="000479E9" w:rsidRDefault="00011804" w:rsidP="0065340E">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ODJELJAK 1.</w:t>
      </w:r>
    </w:p>
    <w:p w14:paraId="42032399" w14:textId="598644CB" w:rsidR="00011804" w:rsidRPr="000479E9" w:rsidRDefault="00011804" w:rsidP="0065340E">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Upravljanje rizicima</w:t>
      </w:r>
    </w:p>
    <w:p w14:paraId="0D79797B" w14:textId="0F0A0521" w:rsidR="00011804" w:rsidRPr="000479E9" w:rsidRDefault="00011804" w:rsidP="0065340E">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167.</w:t>
      </w:r>
    </w:p>
    <w:p w14:paraId="3EB80F3D" w14:textId="315AB549"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Upravljanje rizicima u smislu ovoga dijela Zakona označava skup strategija i politika odnosno postupaka i metoda za utvrđivanje, mjerenje odnosno procjenjivanje, ovladavanje i praćenje rizika, uključujući i izvještavanje o rizicima kojima je investicijsko društvo izloženo ili bi moglo biti izloženo u svom poslovanju, uključujući i rizike povezane s makroekonomskim okruženjem u kojemu posluje s obzirom na stanje poslovnog ciklusa. </w:t>
      </w:r>
    </w:p>
    <w:p w14:paraId="7C679F9A" w14:textId="779561B1"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Investicijsko društvo dužno je, razmjerno složenosti, profilu rizičnosti, opsegu poslovanja i toleranciji rizika koje je utvrdila uprava investicijskog društva, uspostaviti, primjenjivati i redovito ažurirati strategije, politike, procese i sustave za utvrđivanje, mjerenje, upravljanje i praćenje u pogledu sljedećeg: </w:t>
      </w:r>
    </w:p>
    <w:p w14:paraId="2B157C8C" w14:textId="751073E5"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bitnih izvora i učinaka rizika za klijente i bilo kakvog znatnog utjecaja na regulatorni kapital, u mjeri kojoj je to primjenjivo s obzirom na odredbe o zaštiti imovine klijenata iz članaka 80. i 81. ovoga Zakona i, ako je primjenjivo, osiguranje od profesionalne odgovornosti </w:t>
      </w:r>
    </w:p>
    <w:p w14:paraId="7257D89A"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bitnih izvora i učinaka rizika za tržište i bilo kakvog znatnog utjecaja na regulatorni kapital </w:t>
      </w:r>
    </w:p>
    <w:p w14:paraId="2F1D92AB"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bitnih izvora i učinaka rizika za investicijsko društvo, posebno onih kojima se može smanjiti </w:t>
      </w:r>
    </w:p>
    <w:p w14:paraId="1C907461"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razina dostupnog regulatornog kapitala </w:t>
      </w:r>
    </w:p>
    <w:p w14:paraId="69D8D54D" w14:textId="7AE42AA4"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rizika likvidnosti tijekom odgovarajućeg razdoblja, uključujući unutardnevno, kako bi se osiguralo da investicijsko društvo održava odgovarajuće razine likvidnih sredstava, među ostalim u odnosu na rješavanje pitanja bitnih izvora rizika iz točaka 1. do 3. ovoga stavka. </w:t>
      </w:r>
    </w:p>
    <w:p w14:paraId="7BB6DF2A" w14:textId="7D9C09A6"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U smislu stavka 2. točke 3. ovoga članka, bitni izvori rizika za investicijsko društvo uključuju, ako je to relevantno, značajne promjene u knjigovodstvenoj vrijednosti imovine, uključujući sva potraživanja od vezanih zastupnika, propast klijenta ili druge ugovorne strane, pozicije u financijskim instrumentima, strane valute i robu te obveze prema mirovinskim sustavima s utvrđenim naknadama. </w:t>
      </w:r>
    </w:p>
    <w:p w14:paraId="3E98EBEA" w14:textId="78B4C644"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Investicijsko društvo dužno je razmotriti sve bitne učinke rizika iz stavka 3. ovoga članka na regulatorni kapital, ako takvi rizici nisu primjereno obuhvaćeno kapitalnim zahtjevima izračunanima na temelju članka 11. Uredbe (EU) br. 2019/2033. </w:t>
      </w:r>
    </w:p>
    <w:p w14:paraId="7601316A" w14:textId="4CCF0932"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Ako investicijsko društvo treba ići u likvidaciju ili ako namjerava prestati poslovati, Agencija će zahtijevati da uzimanjem u obzir opstojnosti i održivosti svojih po</w:t>
      </w:r>
      <w:r w:rsidRPr="000479E9">
        <w:rPr>
          <w:rFonts w:ascii="Times New Roman" w:hAnsi="Times New Roman" w:cs="Times New Roman"/>
          <w:sz w:val="24"/>
          <w:szCs w:val="24"/>
        </w:rPr>
        <w:lastRenderedPageBreak/>
        <w:t xml:space="preserve">slovnih modela i strategija investicijsko društvo na odgovarajući način razmotri zahtjeve i potrebna sredstva koji su realni, u pogledu roka i održavanja regulatornog kapitala i likvidnih sredstava, tijekom cijelog postupka izlaska s tržišta. </w:t>
      </w:r>
    </w:p>
    <w:p w14:paraId="188BABAE" w14:textId="6833E26B"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(6) Iznimno od odredbi članka 176. ovoga Zakona, stavak 2. točke 1., 3. i 4. ovoga članka primjenjuju se na investicijska društva koja ispunjavaju uvjete za malo i nepovezano investicijsko društvo iz članka 12. stavka 1. Uredbe (EU) br. 2019/2033. </w:t>
      </w:r>
    </w:p>
    <w:p w14:paraId="5BAAE097" w14:textId="1A9FAB41"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(7) Investicijsko društvo dužno je Agenciji dostavljati sve podatke o usklađenosti postupaka i metoda iz stavka 1. ovoga članka s odredbama Uredbe (EU) br. 2019/2033 i ovoga poglavlja. (8) Agencija pravilnikom detaljnije uređuje način i rokove dostave podataka iz stavka 7. ovoga članka, sadržaj politika i postupaka iz ovoga članka i zahtjeve u vezi s upravljanjem rizicima, a </w:t>
      </w:r>
    </w:p>
    <w:p w14:paraId="4576E52F"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osobito: </w:t>
      </w:r>
    </w:p>
    <w:p w14:paraId="7D431E3A"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za kapitalne zahtjeve rizika za društvo </w:t>
      </w:r>
    </w:p>
    <w:p w14:paraId="12EB9554"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za kapitalne zahtjeve rizika za klijente </w:t>
      </w:r>
    </w:p>
    <w:p w14:paraId="72CC6D89"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za kapitalne zahtjeve rizika za tržište </w:t>
      </w:r>
    </w:p>
    <w:p w14:paraId="27931F8D"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zahtjeve kojima se ograničava koncentracijski rizik </w:t>
      </w:r>
    </w:p>
    <w:p w14:paraId="522E2496" w14:textId="77777777" w:rsidR="00011804"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 likvidnosne zahtjeve i </w:t>
      </w:r>
    </w:p>
    <w:p w14:paraId="0DB16A26" w14:textId="4F3E6974" w:rsidR="0078609A" w:rsidRPr="000479E9" w:rsidRDefault="00011804" w:rsidP="00011804">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izvještajne zahtjeve u vezi s točkama 1. do 5. ovoga stavka.</w:t>
      </w:r>
    </w:p>
    <w:p w14:paraId="23631B25" w14:textId="0B6439C1" w:rsidR="00011804" w:rsidRPr="000479E9" w:rsidRDefault="00011804" w:rsidP="003F14ED">
      <w:pPr>
        <w:spacing w:after="0" w:line="240" w:lineRule="auto"/>
        <w:jc w:val="both"/>
        <w:rPr>
          <w:rFonts w:ascii="Times New Roman" w:hAnsi="Times New Roman" w:cs="Times New Roman"/>
          <w:sz w:val="24"/>
          <w:szCs w:val="24"/>
        </w:rPr>
      </w:pPr>
    </w:p>
    <w:p w14:paraId="1F085F02" w14:textId="77777777" w:rsidR="00011804" w:rsidRPr="000479E9" w:rsidRDefault="00011804" w:rsidP="003F14ED">
      <w:pPr>
        <w:spacing w:after="0" w:line="240" w:lineRule="auto"/>
        <w:jc w:val="both"/>
        <w:rPr>
          <w:rFonts w:ascii="Times New Roman" w:hAnsi="Times New Roman" w:cs="Times New Roman"/>
          <w:sz w:val="24"/>
          <w:szCs w:val="24"/>
        </w:rPr>
      </w:pPr>
    </w:p>
    <w:p w14:paraId="1E188CCF" w14:textId="77777777" w:rsidR="0078609A" w:rsidRPr="000479E9" w:rsidRDefault="0078609A" w:rsidP="0078609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Predmet i opseg nadzora nad investicijskim društvom sa sjedištem u Republici Hrvatskoj</w:t>
      </w:r>
    </w:p>
    <w:p w14:paraId="2EDEAFF3" w14:textId="788B77D3" w:rsidR="0078609A" w:rsidRPr="000479E9" w:rsidRDefault="0078609A" w:rsidP="0078609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192.</w:t>
      </w:r>
    </w:p>
    <w:p w14:paraId="1980DE81" w14:textId="77777777" w:rsidR="00A91B71" w:rsidRPr="000479E9" w:rsidRDefault="00A91B71" w:rsidP="0078609A">
      <w:pPr>
        <w:spacing w:after="0" w:line="240" w:lineRule="auto"/>
        <w:jc w:val="center"/>
        <w:rPr>
          <w:rFonts w:ascii="Times New Roman" w:hAnsi="Times New Roman" w:cs="Times New Roman"/>
          <w:sz w:val="24"/>
          <w:szCs w:val="24"/>
        </w:rPr>
      </w:pPr>
    </w:p>
    <w:p w14:paraId="3010D372"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Agencija je ovlaštena za nadzor nad cjelokupnim poslovanjem investicijskog društva sa sjedištem u Republici Hrvatskoj i nadzor na konsolidiranoj osnovi u skladu s odredbama članaka 220. i 221. ovoga Zakona, uključujući i bonitetni nadzor, kojima se dodjeljuju ovlasti nadležnim tijelima države članice domaćina.</w:t>
      </w:r>
    </w:p>
    <w:p w14:paraId="108C91E9"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Pri obavljanju nadzora nad investicijskim društvom Agencija posebno:</w:t>
      </w:r>
    </w:p>
    <w:p w14:paraId="7BC654C8"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provjerava organizacijske uvjete, strategije, politike i postupke koje je investicijsko društvo dužno uspostaviti i kontinuirano održavati u svrhu usklađenja poslovanja s odredbama ovoga Zakona i drugih relevantnih propisa</w:t>
      </w:r>
    </w:p>
    <w:p w14:paraId="02AF8541"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provjerava postupa li investicijsko društvo prilikom obavljanja investicijskih usluga i aktivnosti u najboljem interesu klijenata, korektno i u skladu s pravilima struke, kako je propisano poglavljem III. ove glave</w:t>
      </w:r>
    </w:p>
    <w:p w14:paraId="2297C73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uzimajući u obzir veličinu, profil rizičnosti i poslovni model investicijskog društva, u mjeri kojoj je to relevantno i potrebno, provjerava aranžmane, strategije, postupke i mehanizme koje provode investicijska društva radi usklađivanja s odredbama ovoga Zakona i Uredbom (EU) br. 2019/2033 i u svrhu osiguranja pravilnog upravljanja i pokrivanja rizika ocjenjuju, kada je to primjenjivo:</w:t>
      </w:r>
    </w:p>
    <w:p w14:paraId="33C1353D"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rizike iz članka 167. ovoga Zakona</w:t>
      </w:r>
    </w:p>
    <w:p w14:paraId="16242381"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geografsku lokaciju izloženosti investicijskog društva</w:t>
      </w:r>
    </w:p>
    <w:p w14:paraId="0372C423"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poslovni model investicijskog društva</w:t>
      </w:r>
    </w:p>
    <w:p w14:paraId="64DB360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 procjenu sistemskog rizika, uzimajući u obzir utvrđivanje i mjerenje sistemskog rizika u skladu s člankom 23. Uredbe (EU) br. 1093/2010 ili preporuke ESRB-a</w:t>
      </w:r>
    </w:p>
    <w:p w14:paraId="48B37C2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e) rizike za sigurnost mreže investicijskih društava i informacijskih sustava kako bi se zajamčila povjerljivost, integritet i dostupnost njihovih postupaka, podataka i imovine</w:t>
      </w:r>
    </w:p>
    <w:p w14:paraId="28AFFD47"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f) izloženost investicijskog društva kamatnom riziku koji proizlazi iz poslova koji se vode u knjizi pozicija kojima se ne trguje</w:t>
      </w:r>
    </w:p>
    <w:p w14:paraId="02945D58"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g) sustav upravljanja investicijskog društva i sposobnost članova upravljačkog tijela da izvršavaju svoje dužnosti.</w:t>
      </w:r>
    </w:p>
    <w:p w14:paraId="10CDB69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Na temelju provjera i ocjena iz stavka 2. ovoga članka Agencija utvrđuje posluje li investicijsko društvo u skladu sa zakonom i drugim relevantnim propisima odnosno ima li uspostavljen odgovarajući organizacijski ustroj, strategije, politike i postupke, stabilan sustav upravljanja, regulatorni kapital koji osigurava primjeren sustav upravljanja i pokriće rizika kojima je ono izloženo ili bi moglo biti izloženo u svojem poslovanju te postupa li prilikom obavljanja usluga i aktivnosti u najboljem interesu svojih klijenata.</w:t>
      </w:r>
    </w:p>
    <w:p w14:paraId="3EE171A1"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Kada Agencija prilikom provođenja nadzora utvrdi da investicijsko društvo može predstavljati sistemski rizik u smislu članka 23. Uredbe (EU) br. 1093/2010, o tome bez odgode izvještava EBA-u.</w:t>
      </w:r>
    </w:p>
    <w:p w14:paraId="69D10A9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Agencija će, u obavljanju svojih ovlasti nad investicijskim društvom propisanih ovom glavom, s dužnom pažnjom razmotriti mogući utjecaj svojih odluka na stabilnost financijskog sustava u svim drugim relevantnim državama članicama, a posebno u izvanrednim situacijama, na temelju podataka dostupnih u danom trenutku.</w:t>
      </w:r>
    </w:p>
    <w:p w14:paraId="13916D80"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Odredbe ovoga članka ne sprječavaju nadzor na konsolidiranoj osnovi sukladno odredbama ovoga Zakona i zakona kojim se uređuje poslovanje kreditnih institucija.</w:t>
      </w:r>
    </w:p>
    <w:p w14:paraId="4D228504"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Osim ovlasti iz članka 684. ovoga Zakona, Agencija u svrhu nadzora iz stavka 1. ovoga članka može od sljedećih fizičkih ili pravnih osoba zahtijevati dostavljanje svih informacija koje su potrebne za obavljanje nadzora nad investicijskim društvom, uključujući informacije koje se za potrebe nadzora i s njima povezane statističke potrebe dostavljaju u redovitim vremenskim razmacima i u određenim formatima:</w:t>
      </w:r>
    </w:p>
    <w:p w14:paraId="4055C92A"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investicijskog društva s poslovnim nastanom u Republici Hrvatskoj</w:t>
      </w:r>
    </w:p>
    <w:p w14:paraId="36131A83"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investicijskog holdinga s poslovnim nastanom u Republici Hrvatskoj</w:t>
      </w:r>
    </w:p>
    <w:p w14:paraId="15ECEDA8"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mješovitog financijskog holdinga s poslovnim nastanom u Republici Hrvatskoj</w:t>
      </w:r>
    </w:p>
    <w:p w14:paraId="3D66063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mješovitog holdinga s poslovnim nastanom u Republici Hrvatskoj</w:t>
      </w:r>
    </w:p>
    <w:p w14:paraId="0E0A6BE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osoba koje pripadaju subjektima iz točaka 1. do 4. ovoga stavka</w:t>
      </w:r>
    </w:p>
    <w:p w14:paraId="40DABF5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trećim osobama kojima su subjekti iz točaka 1. do 4. ovoga stavka izdvojili operativne funkcije ili aktivnosti.</w:t>
      </w:r>
    </w:p>
    <w:p w14:paraId="22EBED9D"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Osim ovlasti iz članka 684. ovoga Zakona, Agencija može u svrhu nadzora iz stavka 1. ovoga članka obaviti sve potrebne nadzorne radnje nad osobama iz stavka 7. ovoga članka, uključujući sljedeće:</w:t>
      </w:r>
    </w:p>
    <w:p w14:paraId="5007548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zahtijevati dostavu dokumentacije od osoba iz stavka 7. ovoga članka</w:t>
      </w:r>
    </w:p>
    <w:p w14:paraId="4443D874"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pregledati knjige i evidencije koje vode osobe iz stavka 7. ovoga članka te napraviti preslike ili uzeti izvatke iz tih knjiga i evidencija</w:t>
      </w:r>
    </w:p>
    <w:p w14:paraId="79D3A032"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dobiti pisana ili usmena objašnjenja od osoba iz stavka 7. ovoga članka ili njihovih predstavnika odnosno zaposlenika</w:t>
      </w:r>
    </w:p>
    <w:p w14:paraId="46B597FF"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obaviti razgovor s bilo kojom drugom relevantnom osobom za potrebe prikupljanja informacija koje se odnose na predmet nadzora.</w:t>
      </w:r>
    </w:p>
    <w:p w14:paraId="3F94F8F7"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(9) Osim ovlasti iz članka 684. ovoga Zakona, Agencija može u svrhu nadzora iz stavka 1. ovoga članka obaviti sve potrebne inspekcije u poslovnim prostorima pravnih osoba iz stavka 7. ovoga članka i svih drugih društava uključenih u nadzor usklađenosti s kriterijem kapitala grupe ako je Agencija nadzorno tijelo grupe, uz uvjet prethodnog obavješćivanja drugih dotičnih nadležnih tijela.</w:t>
      </w:r>
    </w:p>
    <w:p w14:paraId="511FE1B6"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U svrhu provjere iz stavka 2. točke 3. ovoga članka, Agencija će uzeti u obzir okolnost ima li investicijsko društvo osiguranje od profesionalne odgovornosti.</w:t>
      </w:r>
    </w:p>
    <w:p w14:paraId="4F22F5FB"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Agencija određuje učestalost i intenzitet provjera i ocjene iz stavka 2. ovoga članka, uzimajući u obzir veličinu, prirodu, opseg i složenost poslova investicijskog društva, njegov sistemski značaj te uzimajući u obzir načelo proporcionalnosti.</w:t>
      </w:r>
    </w:p>
    <w:p w14:paraId="0B43897C"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 Agencija će provjere i ocjenu iz stavka 2. točke 3. ovoga članka u odnosu na investicijsko društvo koje ispunjava kriterije iz članka 12. stavka 1. Uredbe (EU) br. 2019/2033 provesti samo ako u pojedinom slučaju utvrdi da je to potrebno s obzirom na veličinu, prirodu, opseg i kompleksnost aktivnosti tog investicijskog društva, pri čemu će posebno uzeti u obzir primjenu odredbi ovoga Zakona koje se odnose na zaštitu imovine klijenata.</w:t>
      </w:r>
    </w:p>
    <w:p w14:paraId="38FE11B8"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Investicijsko društvo dužno je Agenciji dostavljati sve informacije potrebne za ocjenu usklađenosti investicijskih društava s ovim Zakonom i Uredbom (EU) br. 2019/2033.</w:t>
      </w:r>
    </w:p>
    <w:p w14:paraId="05FA981D" w14:textId="77777777" w:rsidR="0078609A" w:rsidRPr="000479E9" w:rsidRDefault="0078609A" w:rsidP="0078609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Pri provedbi provjere i ocjene iz stavka 2. točke 3. podtočke g) ovoga članka investicijsko je društvo dužno Agenciji omogućiti pristup dnevnom redu, zapisniku i popratnoj dokumentaciji sa sastanaka uprave, nadzornog odbora i njegovih odbora, ako je primjenjivo, te rezultatima internih ili eksternih ocjena uspješnosti uprave.</w:t>
      </w:r>
    </w:p>
    <w:p w14:paraId="00E1BDD6" w14:textId="65E84702" w:rsidR="0078609A" w:rsidRPr="000479E9" w:rsidRDefault="0078609A" w:rsidP="003F14ED">
      <w:pPr>
        <w:spacing w:after="0" w:line="240" w:lineRule="auto"/>
        <w:jc w:val="both"/>
        <w:rPr>
          <w:rFonts w:ascii="Times New Roman" w:hAnsi="Times New Roman" w:cs="Times New Roman"/>
          <w:sz w:val="24"/>
          <w:szCs w:val="24"/>
        </w:rPr>
      </w:pPr>
    </w:p>
    <w:p w14:paraId="616A0332" w14:textId="52E178C0" w:rsidR="00C66B65" w:rsidRPr="000479E9" w:rsidRDefault="00C66B65" w:rsidP="00C66B65">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ODJELJAK 2.</w:t>
      </w:r>
    </w:p>
    <w:p w14:paraId="3B098243" w14:textId="2EE246E0" w:rsidR="00C66B65" w:rsidRPr="000479E9" w:rsidRDefault="00C66B65" w:rsidP="00C66B65">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Nadzorne mjere Agencije</w:t>
      </w:r>
    </w:p>
    <w:p w14:paraId="76D709CC" w14:textId="77777777" w:rsidR="00C66B65" w:rsidRPr="000479E9" w:rsidRDefault="00C66B65" w:rsidP="00C66B65">
      <w:pPr>
        <w:spacing w:after="0" w:line="240" w:lineRule="auto"/>
        <w:jc w:val="both"/>
        <w:rPr>
          <w:rFonts w:ascii="Times New Roman" w:hAnsi="Times New Roman" w:cs="Times New Roman"/>
          <w:b/>
          <w:iCs/>
          <w:sz w:val="24"/>
          <w:szCs w:val="24"/>
        </w:rPr>
      </w:pPr>
    </w:p>
    <w:p w14:paraId="329FBF90" w14:textId="7EEE7396" w:rsidR="00C66B65" w:rsidRPr="000479E9" w:rsidRDefault="00C66B65" w:rsidP="00C66B65">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201.</w:t>
      </w:r>
    </w:p>
    <w:p w14:paraId="1CD5491D" w14:textId="77777777" w:rsidR="00A91B71" w:rsidRPr="000479E9" w:rsidRDefault="00A91B71" w:rsidP="00C66B65">
      <w:pPr>
        <w:spacing w:after="0" w:line="240" w:lineRule="auto"/>
        <w:jc w:val="center"/>
        <w:rPr>
          <w:rFonts w:ascii="Times New Roman" w:hAnsi="Times New Roman" w:cs="Times New Roman"/>
          <w:sz w:val="24"/>
          <w:szCs w:val="24"/>
        </w:rPr>
      </w:pPr>
    </w:p>
    <w:p w14:paraId="3584B2E2"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Agencija subjektu nadzora, kada je to primjenjivo, u skladu s ovim Zakonom, rješenjem može izreći jednu ili više sljedećih nadzornih mjera, koje s obzirom na okolnosti i u skladu s člankom 695. ovoga Zakona moraju biti učinkovite i razmjerne:</w:t>
      </w:r>
    </w:p>
    <w:p w14:paraId="3ECF4B16"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opomenu, uključujući javno upozorenje u kojemu je navedena odgovorna fizička ili pravna osoba, investicijsko društvo, investicijski holding ili mješoviti financijski holding i priroda kršenja, kada je primjenjivo</w:t>
      </w:r>
    </w:p>
    <w:p w14:paraId="318073AB"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otklanjanje nezakonitosti i nepravilnosti</w:t>
      </w:r>
    </w:p>
    <w:p w14:paraId="27E23772"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privremenu zabranu obavljanja usluga i/ili aktivnosti odnosno pravnoj ili fizičkoj osobi zabraniti obavljanje profesionalne djelatnosti</w:t>
      </w:r>
    </w:p>
    <w:p w14:paraId="2C75DF77"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privremenu ili trajnu zabranu djelovanja ili ponašanja u suprotnosti s ovim Zakonom</w:t>
      </w:r>
    </w:p>
    <w:p w14:paraId="410AA3E9"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privremenu zabranu držanja i/ili raspolaganja financijskim instrumentima i/ili novčanim sredstvima klijenata</w:t>
      </w:r>
    </w:p>
    <w:p w14:paraId="503EE6A7"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6. zabranu oglašavanja i/ili prodaje financijskih instrumenata ili strukturiranih depozita, ako su ispunjeni uvjeti iz članaka 40. do 42. Uredbe (EU) br. 600/2014 ili ako subjekt nadzora nije razvio ili primijenio učinkovit postupak odobravanja proizvoda </w:t>
      </w:r>
      <w:r w:rsidRPr="000479E9">
        <w:rPr>
          <w:rFonts w:ascii="Times New Roman" w:hAnsi="Times New Roman" w:cs="Times New Roman"/>
          <w:sz w:val="24"/>
          <w:szCs w:val="24"/>
        </w:rPr>
        <w:lastRenderedPageBreak/>
        <w:t>ili se bitne utvrđene zakonitosti i nepravilnosti odnose na kršenje odredbi članaka 60. do 74. ovoga Zakona</w:t>
      </w:r>
    </w:p>
    <w:p w14:paraId="182379AD"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ukidanje odobrenja za rad za sve ili pojedine usluge ili aktivnosti u skladu s člankom 45. ovoga Zakona</w:t>
      </w:r>
    </w:p>
    <w:p w14:paraId="23FF8FA2"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privremenu zabranu obavljanja funkcija u investicijskom društvu, financijskom holdingu ili mješovitom financijskom holdingu za člana upravljačkog tijela investicijskog društva ili drugu fizičku osobu koja se smatra odgovornom</w:t>
      </w:r>
    </w:p>
    <w:p w14:paraId="1E35ECA8"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druge razmjerne mjere koje su potrebne da bi subjekt nadzora uskladio svoje poslovanje ili postupanje s odredbama ovoga Zakona i drugih relevantnih propisa, uključujući nalaganje određenih postupanja ili prestanak određenog postupanja koje nije u skladu s ovim Zakonom ili relevantnim propisom.</w:t>
      </w:r>
    </w:p>
    <w:p w14:paraId="15C4A25B"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Izrečene mjere propisane stavkom 1. ovoga članka Agencija može javno objaviti.</w:t>
      </w:r>
    </w:p>
    <w:p w14:paraId="33952ED0"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Osim mjera iz stavka 1. ovoga članka, Agencija investicijskom društvu može izreći i dodatne nadzorne mjere iz članka 205. ovoga Zakona te mjere rane intervencije iz članka 214. ovoga Zakona, pod uvjetima propisanim ovim Zakonom.</w:t>
      </w:r>
    </w:p>
    <w:p w14:paraId="7D31AC6A"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Nakon donošenja rješenja o izricanju nadzorne mjere Agencija može provesti ponovni nadzor u mjeri i opsegu potrebnom kako bi se utvrdilo je li subjekt nadzora postupio ili postupa u skladu s izrečenim nadzornim mjerama.</w:t>
      </w:r>
    </w:p>
    <w:p w14:paraId="75B049F4"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Privremene mjere iz stavka 1. ovoga Zakona Agencija može donijeti na rok koji ne može biti dulji od 18 mjeseci.</w:t>
      </w:r>
    </w:p>
    <w:p w14:paraId="071201C4"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Mjere iz stavka 1. ovoga članka Agencija je ovlaštena izreći i u slučaju da su utvrđena ozbiljna kršenja odredbi zakona kojim je uređeno sprječavanje pranja novca i financiranja terorizma.</w:t>
      </w:r>
    </w:p>
    <w:p w14:paraId="02757287" w14:textId="6041C481" w:rsidR="00C66B65" w:rsidRPr="000479E9" w:rsidRDefault="00C66B65" w:rsidP="00C66B65">
      <w:pPr>
        <w:spacing w:after="0" w:line="240" w:lineRule="auto"/>
        <w:jc w:val="both"/>
        <w:rPr>
          <w:rFonts w:ascii="Times New Roman" w:hAnsi="Times New Roman" w:cs="Times New Roman"/>
          <w:iCs/>
          <w:sz w:val="24"/>
          <w:szCs w:val="24"/>
        </w:rPr>
      </w:pPr>
    </w:p>
    <w:p w14:paraId="537F7356" w14:textId="553E75A0" w:rsidR="00FA1AF5" w:rsidRPr="000479E9" w:rsidRDefault="00FA1AF5" w:rsidP="0065340E">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Dodatne nadzorne mjere za investicijsko društvo</w:t>
      </w:r>
    </w:p>
    <w:p w14:paraId="5B7890F8" w14:textId="5ACC9145" w:rsidR="00FA1AF5" w:rsidRPr="000479E9" w:rsidRDefault="00FA1AF5" w:rsidP="0065340E">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Članak 205.</w:t>
      </w:r>
    </w:p>
    <w:p w14:paraId="74EDE565" w14:textId="77777777" w:rsidR="00FA1AF5" w:rsidRPr="000479E9" w:rsidRDefault="00FA1AF5" w:rsidP="0065340E">
      <w:pPr>
        <w:spacing w:after="0" w:line="240" w:lineRule="auto"/>
        <w:jc w:val="center"/>
        <w:rPr>
          <w:rFonts w:ascii="Times New Roman" w:hAnsi="Times New Roman" w:cs="Times New Roman"/>
          <w:iCs/>
          <w:sz w:val="24"/>
          <w:szCs w:val="24"/>
        </w:rPr>
      </w:pPr>
    </w:p>
    <w:p w14:paraId="3B5E550F"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 Agencija je ovlaštena investicijskom društvu naložiti da u ranoj fazi poduzme odgovarajuće </w:t>
      </w:r>
    </w:p>
    <w:p w14:paraId="2CF1E78F"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mjere iz stavka 2. ovoga članka ako: </w:t>
      </w:r>
    </w:p>
    <w:p w14:paraId="574D1AE3"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 investicijsko društvo ne ispunjava zahtjeve iz ovoga dijela ili iz Uredbe (EU) br. 2019/2033 </w:t>
      </w:r>
    </w:p>
    <w:p w14:paraId="4CE89C5A" w14:textId="34C2908C"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2. Agencija raspolaže dokazima da će investicijsko društvo u sljedećih 12 mjeseci vjerojatno prekršiti odredbe ovoga dijela Zakona ili odredbe Uredbe (EU) br. 2019/2033. </w:t>
      </w:r>
    </w:p>
    <w:p w14:paraId="78FEF2DB" w14:textId="22F9A980"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(2) U smislu članka 173. stavka 3. i članka 192. ovoga Zakona, stavka 1. ovoga članka te primjene Uredbe (EU) br. 2019/2033 Agencija može investicijskom društvu naložiti sljedeće dodatne nadzorne mjere: </w:t>
      </w:r>
    </w:p>
    <w:p w14:paraId="12CF1970" w14:textId="011FE5BF"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 u slučaju značajnih promjena u poslovanju investicijskog društva naložiti investicijskom društvu da raspolaže regulatornim kapitalom koji premašuje zahtjeve iz članka 11. Uredbe (EU) br. 2019/2033, pod uvjetima iz članka 206. ovoga Zakona, ili da prilagodi regulatorni kapital i likvidnu imovinu </w:t>
      </w:r>
    </w:p>
    <w:p w14:paraId="26D92314" w14:textId="13ADB398"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2. naložiti unapređivanje aranžmana, procesa, mehanizama i strategija investicijskog društva provedenih u skladu s člancima 50. i 170. ovoga Zakona </w:t>
      </w:r>
    </w:p>
    <w:p w14:paraId="421AEACD" w14:textId="1027817E"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lastRenderedPageBreak/>
        <w:t xml:space="preserve">3. naložiti investicijskom društvu da u roku od jedne godine predstavi plan za ponovnu uspostavu usklađenosti s nadzornim zahtjevima u skladu s ovim dijelom Zakona i Uredbom (EU) br. 2019/2033, odrediti rok za provedbu toga plana i naložiti poboljšanja tog plana u pogledu opsega i roka </w:t>
      </w:r>
    </w:p>
    <w:p w14:paraId="4B8E28FA" w14:textId="612D7B50"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4. naložiti investicijskom društvu da primijeni posebne politike rezerviranja ili tretmana imovine u smislu kapitalnih zahtjeva </w:t>
      </w:r>
    </w:p>
    <w:p w14:paraId="27C6EA7E"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5. naložiti sužavanje ili ograničavanje djelatnosti, poslovnih aktivnosti ili mreže investicijskog </w:t>
      </w:r>
    </w:p>
    <w:p w14:paraId="5776E08B" w14:textId="62773A33"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društva ili naložiti prestanak obavljanja djelatnosti koje predstavljaju pretjerani rizik za financijsku stabilnost investicijskog društva </w:t>
      </w:r>
    </w:p>
    <w:p w14:paraId="05FF697F" w14:textId="4A3B462E"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6. naložiti investicijskom društvu smanjenje rizika koji proizlaze iz djelatnosti, proizvoda i sustava investicijskih društava, uključujući izdvojene djelatnosti </w:t>
      </w:r>
    </w:p>
    <w:p w14:paraId="475F2583" w14:textId="29864E7D"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7. naložiti investicijskom društvu da ograniči varijabilne primitke na postotak netoprihoda ako ti primici nisu u skladu s održavanjem dobre kapitalne osnove </w:t>
      </w:r>
    </w:p>
    <w:p w14:paraId="282EDDF8"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8. naložiti investicijskom društvu da upotrijebi netodobit za jačanje regulatornoga kapitala </w:t>
      </w:r>
    </w:p>
    <w:p w14:paraId="51EF529D" w14:textId="3354C6BB"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9. ograničiti ili zabraniti raspodjelu ili plaćanje kamata dioničarima, članovima ili imateljima instrumenata dodatnog osnovnog kapitala ako to ograničenje ili zabrana ne predstavlja nastanak statusa neispunjavanja obveza investicijskog društva </w:t>
      </w:r>
    </w:p>
    <w:p w14:paraId="59490B11" w14:textId="0F821420"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10. naložiti dodatne izvještajne zahtjeve ili zahtjeve za češćim izvješćivanjem u odnosu na zahtjeve iz ovoga dijela Zakona i Uredbe (EU) br. 2019/2033, uključujući izvješćivanje o pozicijama kapitala i likvidnosti </w:t>
      </w:r>
    </w:p>
    <w:p w14:paraId="623A7679"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11. naložiti posebne likvidnosne zahtjeve u skladu s člankom 207. ovoga Zakona </w:t>
      </w:r>
    </w:p>
    <w:p w14:paraId="77DFDDFD"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12. naložiti dodatne objave </w:t>
      </w:r>
    </w:p>
    <w:p w14:paraId="6254318A"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13. naložiti investicijskom društvu smanjenje rizika za sigurnost mreže i informacijskih sustava </w:t>
      </w:r>
    </w:p>
    <w:p w14:paraId="52FD5412"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kako bi se zajamčila povjerljivost, integritet i dostupnost postupaka, podataka i imovine </w:t>
      </w:r>
    </w:p>
    <w:p w14:paraId="5B8F27AE"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investicijskog društva. </w:t>
      </w:r>
    </w:p>
    <w:p w14:paraId="6D29AA07" w14:textId="4CD4AAF3"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(3) Agencija može izreći mjeru iz stavka 2. točke 10. ovoga članka samo ako se informacije koje treba dostaviti ne udvostručuju i ako je ispunjen jedan od sljedećih uvjeta: </w:t>
      </w:r>
    </w:p>
    <w:p w14:paraId="726CC48D"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 primjenjuje se jedan od slučajeva iz stavka 1. ovoga članka </w:t>
      </w:r>
    </w:p>
    <w:p w14:paraId="51BD58B9"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2. Agencija smatra je da potrebno prikupiti dokaze da će investicijsko društvo u sljedećih 12 </w:t>
      </w:r>
    </w:p>
    <w:p w14:paraId="486A498A"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mjeseci vjerojatno prekršiti odredbe ovoga dijela Zakona ili odredbe Uredbe (EU) br. 2019/2033 </w:t>
      </w:r>
    </w:p>
    <w:p w14:paraId="1CFE2B85" w14:textId="27176AD6"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3. potrebno je izvještavati o dodatnim informacijama za potrebe postupka nadzorne provjere i </w:t>
      </w:r>
    </w:p>
    <w:p w14:paraId="5DD8418A"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ocjene iz članka 192. stavka 2. točke 3. ovoga Zakona. </w:t>
      </w:r>
    </w:p>
    <w:p w14:paraId="4C573C20"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(4) U smislu stavka 3. ovoga članka smatrat će se da se informacije udvostručuju ako: </w:t>
      </w:r>
    </w:p>
    <w:p w14:paraId="49AA6E2B"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 Agencija istim ili gotovo istim podacima već raspolaže </w:t>
      </w:r>
    </w:p>
    <w:p w14:paraId="091B4B1F" w14:textId="1672382B"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2. Agencija sama može generirati ili doći do tih informacija na drukčiji način koji ne podrazumijeva njihovo dostavljanje od strane investicijskog društva. </w:t>
      </w:r>
    </w:p>
    <w:p w14:paraId="771DA200" w14:textId="77777777" w:rsidR="00FA1AF5" w:rsidRPr="000479E9" w:rsidRDefault="00FA1AF5" w:rsidP="00FA1AF5">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lastRenderedPageBreak/>
        <w:t xml:space="preserve">(5) Agencija neće nalagati dostavu dodatnih informacija ako su joj te informacije dostupne u </w:t>
      </w:r>
    </w:p>
    <w:p w14:paraId="561C6E2A" w14:textId="270AB5CB" w:rsidR="00FA1AF5" w:rsidRPr="000479E9" w:rsidRDefault="00FA1AF5" w:rsidP="2B3481C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drukčijem formatu ili s drukčijom razinom pojedinosti u odnosu na dodatne informacije koje se trebaju dostaviti, osim ako je taj drukčiji format ili drukčija razina detalja sprječava da generira vrlo slične informacije.</w:t>
      </w:r>
    </w:p>
    <w:p w14:paraId="2E35D667" w14:textId="6514E6F3" w:rsidR="2B3481CE" w:rsidRPr="000479E9" w:rsidRDefault="2B3481CE" w:rsidP="2B3481CE">
      <w:pPr>
        <w:spacing w:after="0" w:line="240" w:lineRule="auto"/>
        <w:jc w:val="both"/>
        <w:rPr>
          <w:rFonts w:ascii="Times New Roman" w:hAnsi="Times New Roman" w:cs="Times New Roman"/>
          <w:sz w:val="24"/>
          <w:szCs w:val="24"/>
        </w:rPr>
      </w:pPr>
    </w:p>
    <w:p w14:paraId="06A18DD8" w14:textId="77777777" w:rsidR="0066580E" w:rsidRPr="000479E9" w:rsidRDefault="0066580E" w:rsidP="0066580E">
      <w:pPr>
        <w:spacing w:after="0" w:line="240" w:lineRule="auto"/>
        <w:jc w:val="center"/>
        <w:rPr>
          <w:rFonts w:ascii="Times New Roman" w:eastAsia="Calibri" w:hAnsi="Times New Roman" w:cs="Times New Roman"/>
          <w:bCs/>
          <w:iCs/>
          <w:sz w:val="24"/>
          <w:szCs w:val="24"/>
        </w:rPr>
      </w:pPr>
      <w:r w:rsidRPr="000479E9">
        <w:rPr>
          <w:rFonts w:ascii="Times New Roman" w:eastAsia="Calibri" w:hAnsi="Times New Roman" w:cs="Times New Roman"/>
          <w:bCs/>
          <w:iCs/>
          <w:sz w:val="24"/>
          <w:szCs w:val="24"/>
        </w:rPr>
        <w:t>Članstvo u Fondu</w:t>
      </w:r>
    </w:p>
    <w:p w14:paraId="7ECB4CF7" w14:textId="3C6B955B" w:rsidR="0066580E" w:rsidRPr="000479E9" w:rsidRDefault="0066580E" w:rsidP="0066580E">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Članak 272.</w:t>
      </w:r>
    </w:p>
    <w:p w14:paraId="064D9C67" w14:textId="77777777" w:rsidR="0066580E" w:rsidRPr="000479E9" w:rsidRDefault="0066580E" w:rsidP="000479E9">
      <w:pPr>
        <w:spacing w:after="0" w:line="240" w:lineRule="auto"/>
        <w:jc w:val="both"/>
        <w:rPr>
          <w:rFonts w:ascii="Times New Roman" w:eastAsia="Calibri" w:hAnsi="Times New Roman" w:cs="Times New Roman"/>
          <w:b/>
          <w:bCs/>
          <w:sz w:val="24"/>
          <w:szCs w:val="24"/>
        </w:rPr>
      </w:pPr>
    </w:p>
    <w:p w14:paraId="58549418"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Članovi Fonda dužni su redovito obračunavati i uplaćivati doprinos u Fond na temelju odredbi ovoga Zakona, pravilnika iz članka 273. stavka 5. ovoga Zakona i pravila Operatera Fonda.</w:t>
      </w:r>
    </w:p>
    <w:p w14:paraId="3FC23A01"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Iznimno, Članu Fonda prestaje obveza iz stavka 1. ovoga članka:</w:t>
      </w:r>
    </w:p>
    <w:p w14:paraId="193817AD"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od dana kada na temelju rješenja Agencije ili drugog nadležnog tijela prestane obavljati investicijske usluge iz članka 5. i/ili pomoćne usluge iz članka 5. stavka 2. točke 1. ovoga Zakona</w:t>
      </w:r>
    </w:p>
    <w:p w14:paraId="17F0FD20"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kada mu Agencija ili drugo nadležno tijelo privremeno ili trajno ukine odobrenje za rad.</w:t>
      </w:r>
    </w:p>
    <w:p w14:paraId="132B6DB9"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Nakon prestanka važenja odobrenja za rad, zaštita tražbina odnosit će se na tražbine proizašle iz investicijskih usluga iz članka 5. ovoga Zakona i pomoćne usluge iz članka 5. stavka 2. točke 1. ovoga Zakona pruženih i obavljenih do trenutka izvršnosti rješenja iz stavka 2. ovoga članka.</w:t>
      </w:r>
    </w:p>
    <w:p w14:paraId="3382A00C" w14:textId="15A5EDF3" w:rsidR="0066580E" w:rsidRPr="000479E9" w:rsidRDefault="0066580E" w:rsidP="00F01D72">
      <w:pPr>
        <w:spacing w:after="0" w:line="240" w:lineRule="auto"/>
        <w:jc w:val="center"/>
        <w:rPr>
          <w:rFonts w:ascii="Times New Roman" w:eastAsia="Calibri" w:hAnsi="Times New Roman" w:cs="Times New Roman"/>
          <w:sz w:val="24"/>
          <w:szCs w:val="24"/>
        </w:rPr>
      </w:pPr>
    </w:p>
    <w:p w14:paraId="19A6484A" w14:textId="77777777" w:rsidR="0066580E" w:rsidRPr="000479E9" w:rsidRDefault="0066580E" w:rsidP="00F01D72">
      <w:pPr>
        <w:spacing w:after="0" w:line="240" w:lineRule="auto"/>
        <w:jc w:val="center"/>
        <w:rPr>
          <w:rFonts w:ascii="Times New Roman" w:eastAsia="Calibri" w:hAnsi="Times New Roman" w:cs="Times New Roman"/>
          <w:sz w:val="24"/>
          <w:szCs w:val="24"/>
        </w:rPr>
      </w:pPr>
    </w:p>
    <w:p w14:paraId="6EE510C9" w14:textId="2B0680A9" w:rsidR="291CB1BF" w:rsidRPr="000479E9" w:rsidRDefault="291CB1B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Doprinos Člana Fonda</w:t>
      </w:r>
    </w:p>
    <w:p w14:paraId="164605F6" w14:textId="5A8864CA" w:rsidR="291CB1BF" w:rsidRPr="000479E9" w:rsidRDefault="291CB1B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273. </w:t>
      </w:r>
    </w:p>
    <w:p w14:paraId="2E5FE030" w14:textId="673EA22C" w:rsidR="291CB1BF" w:rsidRPr="000479E9" w:rsidRDefault="291CB1BF"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Doprinos Člana Fonda sastoji se od inicijalnog i redovitog doprinosa koji može biti u novcu, prihvatljivim financijskim instrumentima ili drugim instrumentima osiguranja plaćanja. Sredstva uplaćena na ime doprinosa nisu povratna. </w:t>
      </w:r>
    </w:p>
    <w:p w14:paraId="45C7C8C8" w14:textId="738C760E" w:rsidR="291CB1BF" w:rsidRPr="000479E9" w:rsidRDefault="291CB1BF"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Član Fonda sa sjedištem u Republici Hrvatskoj dužan je u roku od osam dana od dana zaprimanja rješenja o upisu osnivanja u sudski registar, uplatiti u Fond inicijalni doprinos u iznosu propisanom pravilnikom iz stavka 5. ovoga članka. </w:t>
      </w:r>
    </w:p>
    <w:p w14:paraId="6B4A5BFA" w14:textId="0BFC5B8A" w:rsidR="291CB1BF" w:rsidRPr="000479E9" w:rsidRDefault="291CB1BF"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U slučaju da postojeće društvo ulazi u Fond, dužno je na temelju rješenja Agencije u roku od osam dana od dana zaprimanja poziva, uplatiti iznos iz stavka 2. ovoga članka. </w:t>
      </w:r>
    </w:p>
    <w:p w14:paraId="7A690767" w14:textId="546AE3CB" w:rsidR="291CB1BF" w:rsidRPr="000479E9" w:rsidRDefault="291CB1BF"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Prilikom utvrđivanja načina obračuna i visine doprinosa iz stavka 1. ovoga članka, u obzir se uzima vrsta, opseg i složenost investicijskih usluga i aktivnosti i pomoćnih usluga iz članka 5. ovoga Zakona koje Član Fonda pruža i obavlja i rizici kojima je Član Fonda izložen. </w:t>
      </w:r>
    </w:p>
    <w:p w14:paraId="6E12BAAF" w14:textId="22D5492C" w:rsidR="291CB1BF" w:rsidRPr="000479E9" w:rsidRDefault="291CB1BF"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Agencija pravilnikom propisuje način utvrđivanja doprinosa te visinu, rokove i način izvršenja obveza vezano za doprinos iz stavka 1. ovoga članka.</w:t>
      </w:r>
    </w:p>
    <w:p w14:paraId="5A45393E" w14:textId="19C6248D" w:rsidR="2B3481CE" w:rsidRPr="000479E9" w:rsidRDefault="2B3481CE" w:rsidP="2B3481CE">
      <w:pPr>
        <w:spacing w:after="0" w:line="240" w:lineRule="auto"/>
        <w:jc w:val="both"/>
        <w:rPr>
          <w:rFonts w:ascii="Times New Roman" w:eastAsia="Calibri" w:hAnsi="Times New Roman" w:cs="Times New Roman"/>
          <w:sz w:val="24"/>
          <w:szCs w:val="24"/>
        </w:rPr>
      </w:pPr>
    </w:p>
    <w:p w14:paraId="110F414B" w14:textId="77777777" w:rsidR="0066580E" w:rsidRPr="000479E9" w:rsidRDefault="0066580E" w:rsidP="0066580E">
      <w:pPr>
        <w:spacing w:after="0" w:line="240" w:lineRule="auto"/>
        <w:jc w:val="center"/>
        <w:rPr>
          <w:rFonts w:ascii="Times New Roman" w:eastAsia="Calibri" w:hAnsi="Times New Roman" w:cs="Times New Roman"/>
          <w:bCs/>
          <w:iCs/>
          <w:sz w:val="24"/>
          <w:szCs w:val="24"/>
        </w:rPr>
      </w:pPr>
      <w:r w:rsidRPr="000479E9">
        <w:rPr>
          <w:rFonts w:ascii="Times New Roman" w:eastAsia="Calibri" w:hAnsi="Times New Roman" w:cs="Times New Roman"/>
          <w:bCs/>
          <w:iCs/>
          <w:sz w:val="24"/>
          <w:szCs w:val="24"/>
        </w:rPr>
        <w:t>Sredstva fonda</w:t>
      </w:r>
    </w:p>
    <w:p w14:paraId="114894EB" w14:textId="77777777" w:rsidR="0066580E" w:rsidRPr="000479E9" w:rsidRDefault="0066580E" w:rsidP="0066580E">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Članak 280.</w:t>
      </w:r>
    </w:p>
    <w:p w14:paraId="1AB42B09" w14:textId="77777777" w:rsidR="0066580E" w:rsidRPr="000479E9" w:rsidRDefault="0066580E" w:rsidP="000479E9">
      <w:pPr>
        <w:spacing w:after="0" w:line="240" w:lineRule="auto"/>
        <w:jc w:val="both"/>
        <w:rPr>
          <w:rFonts w:ascii="Times New Roman" w:eastAsia="Calibri" w:hAnsi="Times New Roman" w:cs="Times New Roman"/>
          <w:sz w:val="24"/>
          <w:szCs w:val="24"/>
        </w:rPr>
      </w:pPr>
    </w:p>
    <w:p w14:paraId="03F43E25" w14:textId="23A982BE"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(1) Doprinosi iz članka 273. ovoga Zakona i ostali prihodi u novcu iz stavka 2. ovoga članka koje ostvari Operater Fonda vode se na posebnom računu otvorenom kod Hrvatske narodne banke te zajedno s drugim instrumentima osiguranja plaćanja čine Fond.</w:t>
      </w:r>
    </w:p>
    <w:p w14:paraId="4C00BD33"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Sredstva Fonda sastoje se od:</w:t>
      </w:r>
    </w:p>
    <w:p w14:paraId="53672A5D"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doprinosa Članova Fonda uplaćenih u skladu s odredbama članka 273. ovoga Zakona</w:t>
      </w:r>
    </w:p>
    <w:p w14:paraId="37D10DA6"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sredstava naplaćenih u stečajnim postupcima nad Članom Fonda</w:t>
      </w:r>
    </w:p>
    <w:p w14:paraId="6A05674E"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prihoda od ulaganja slobodnih sredstava Fonda</w:t>
      </w:r>
    </w:p>
    <w:p w14:paraId="6C58F88B"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ostalih prihoda.</w:t>
      </w:r>
    </w:p>
    <w:p w14:paraId="2C43EB34"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Sredstva Fonda Operater Fonda koristi za isplatu zaštićenih tražbina klijenata za namjenu utvrđenu ovim Zakonom te se ne mogu koristiti u druge svrhe niti mogu biti predmetom ovrhe protiv Člana Fonda niti Operatera Fonda.</w:t>
      </w:r>
    </w:p>
    <w:p w14:paraId="44A2E35C"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Sredstva Fonda mogu se ulagati u:</w:t>
      </w:r>
    </w:p>
    <w:p w14:paraId="37F9267A"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vrijednosne papire čiji je izdavatelj Republika Hrvatska, država članica odnosno država članica OECD-a, i centralne banke tih država</w:t>
      </w:r>
    </w:p>
    <w:p w14:paraId="6C45D8EE"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obveznice i druge dužničke vrijednosne papire za koje jamči Republika Hrvatska, država članica odnosno država članica OECD-a</w:t>
      </w:r>
    </w:p>
    <w:p w14:paraId="4EA00EA8"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obveznice i druge dužničke vrijednosne papire čiji je izdavatelj jedinica lokalne i područne (regionalne) samouprave u Republici Hrvatskoj, državi članici odnosno državi članici OECD-a.</w:t>
      </w:r>
    </w:p>
    <w:p w14:paraId="6D5F27F5"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Ako se sredstva Fonda ulažu u druge financijske instrumente, za to je potrebna posebna odluka Agencije.</w:t>
      </w:r>
    </w:p>
    <w:p w14:paraId="768CD58A"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Operater Fonda dužan je sredstvima Fonda upravljati vodeći računa o disperziji rizika i tržišnim kretanjima, a s ciljem očuvanja vrijednosti i likvidnosti Fonda.</w:t>
      </w:r>
    </w:p>
    <w:p w14:paraId="13E912EF"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U slučaju stečaja ili likvidacije Operatera Fonda, Hrvatska narodna banka će po nalogu Agencije sredstva Fonda u smislu stavka 1. ovoga članka prenijeti na novi posebni račun otvoren kod Hrvatske narodne banke kojim će upravljati Agencija ili druga pravna osoba kojoj Agencija izda odobrenje za pružanje usluge Operatera Fonda. Hrvatska narodna banka će nakon prijenosa sredstava Fonda zatvoriti račun Operatera Fonda koji je u stečaju ili likvidaciji.</w:t>
      </w:r>
    </w:p>
    <w:p w14:paraId="6F8821C7" w14:textId="77777777" w:rsidR="0066580E" w:rsidRPr="000479E9" w:rsidRDefault="0066580E" w:rsidP="000479E9">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Agencija pravilnikom propisuje način utvrđivanja ciljane razine Fonda, način raspolaganja, evidentiranja i izvještavanja Agencije i javnosti o upravljanju sredstvima Fonda.</w:t>
      </w:r>
    </w:p>
    <w:p w14:paraId="08C0342D" w14:textId="77777777" w:rsidR="0066580E" w:rsidRPr="000479E9" w:rsidRDefault="0066580E" w:rsidP="00F01D72">
      <w:pPr>
        <w:spacing w:after="0" w:line="240" w:lineRule="auto"/>
        <w:jc w:val="center"/>
        <w:rPr>
          <w:rFonts w:ascii="Times New Roman" w:eastAsia="Calibri" w:hAnsi="Times New Roman" w:cs="Times New Roman"/>
          <w:sz w:val="24"/>
          <w:szCs w:val="24"/>
        </w:rPr>
      </w:pPr>
    </w:p>
    <w:p w14:paraId="4336A453" w14:textId="082FAAA5" w:rsidR="358A0E33" w:rsidRPr="000479E9" w:rsidRDefault="358A0E3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Djelatnosti burze</w:t>
      </w:r>
    </w:p>
    <w:p w14:paraId="67B60409" w14:textId="36A4470D" w:rsidR="358A0E33" w:rsidRPr="000479E9" w:rsidRDefault="358A0E3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Članak 285. </w:t>
      </w:r>
    </w:p>
    <w:p w14:paraId="01D7A855" w14:textId="66A8779C"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Glavna djelatnost burze, na temelju odobrenja Agencije za rad, mora biti upravljanje uređenim tržištem. </w:t>
      </w:r>
    </w:p>
    <w:p w14:paraId="12DB70D4" w14:textId="20A952DB"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Burza može: 1. upravljati OTP-om ili MTP-om na temelju posebnog odobrenja iz članka 348. ovoga Zakona 2. obavljati usluge dostave podataka iz glave IV. ovoga dijela Zakona na temelju posebnog odobrenja Agencije. </w:t>
      </w:r>
    </w:p>
    <w:p w14:paraId="6F0C9707" w14:textId="2B085C5E"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Burza je ovlaštena objavljivati podatke iz članka 569. stavka 2. točke 3. ovoga Zakona na svojim internetskim stranicama. </w:t>
      </w:r>
    </w:p>
    <w:p w14:paraId="3EB8E6B0" w14:textId="502EFDE8"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(4) Burza može osim djelatnosti iz stavaka 1. i 2. ovoga članka, obavljati i druge djelatnosti samo nakon proteka 30 radnih dana od dana kada je o tome obavijestila Agenciju. Burza ne može obavljati takve druge djelatnosti, kada Agencija donese rješenje iz stavka 10. ovoga članka. </w:t>
      </w:r>
    </w:p>
    <w:p w14:paraId="244FF417" w14:textId="1EC1D6D8"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Burza mora prilikom obavljanja svih djelatnosti iz stavka 4. ovoga članka koje nisu vezane uz upravljanje uređenim tržištem, voditi računa da određena djelatnost ne ugrožava kvalitetu i kontinuitet obavljanja glavne djelatnosti burze. </w:t>
      </w:r>
    </w:p>
    <w:p w14:paraId="267DD96F" w14:textId="0FF413E3"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Obavijest iz stavka 4. ovoga članka mora sadržavati obrazloženje o tome da djelatnosti koje burza namjerava obavljati neće biti protivne zahtjevima iz stavka 5. ovoga članka. </w:t>
      </w:r>
    </w:p>
    <w:p w14:paraId="6592DE6F" w14:textId="31E3F2FC"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Agencija može od burze pisanim putem prema potrebi, a najkasnije dvadeseti radni dan od obavijesti iz stavka 4. ovoga članka, zatražiti dodatne podatke potrebne za procjenu zahtjeva iz stavka 5. ovoga članka.</w:t>
      </w:r>
    </w:p>
    <w:p w14:paraId="7B27CAD1" w14:textId="4491014C"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(8) Rok iz stavka 4. ovoga članka se prekida danom kada Agencija burzi uputi zahtjev iz stavka 7. ovoga članka. Od dana kada burza Agenciji dostavi tražene dopune, počinje teći novi rok od 30 radnih dana, prije čijeg isteka burza ne može obavljati djelatnosti iz stavka 4. ovoga članka. </w:t>
      </w:r>
    </w:p>
    <w:p w14:paraId="3A4A24B5" w14:textId="7BD9D8B2"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(9) Daljnji zahtjevi Agencije za nadopunom ili pojašnjenjem podataka prekidaju tijek roka iz stavka 8. ovoga članka, koji počinje teći iznova od dana kad burza dostavi Agenciji tražene podatke. </w:t>
      </w:r>
    </w:p>
    <w:p w14:paraId="50E559C9" w14:textId="62846C59"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(10) Ako na temelju dostavljenih podataka Agencija nije utvrdila da su ispunjeni kriteriji propisani stavkom 5. ovoga članka, Agencija će navedeno konstatirati rješenjem. </w:t>
      </w:r>
    </w:p>
    <w:p w14:paraId="0DB1BE6E" w14:textId="022D75BB" w:rsidR="358A0E33" w:rsidRPr="000479E9" w:rsidRDefault="358A0E3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(11) Burzi nije dopušteno izvršavati naloge klijenata uz korištenje vlastitog kapitala ili trgovati za vlastiti račun uparivanjem naloga na bilo kojem uređenom tržištu kojim upravlja.</w:t>
      </w:r>
    </w:p>
    <w:p w14:paraId="08C710BA" w14:textId="26EBBF4E" w:rsidR="2B3481CE" w:rsidRPr="000479E9" w:rsidRDefault="2B3481CE" w:rsidP="2B3481CE">
      <w:pPr>
        <w:spacing w:after="0" w:line="240" w:lineRule="auto"/>
        <w:jc w:val="both"/>
        <w:rPr>
          <w:rFonts w:ascii="Times New Roman" w:eastAsia="Calibri" w:hAnsi="Times New Roman" w:cs="Times New Roman"/>
          <w:sz w:val="24"/>
          <w:szCs w:val="24"/>
        </w:rPr>
      </w:pPr>
    </w:p>
    <w:p w14:paraId="5806FA8B" w14:textId="274E0ED7" w:rsidR="238335E3" w:rsidRPr="000479E9" w:rsidRDefault="238335E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Prethodna odobrenja Agencije</w:t>
      </w:r>
    </w:p>
    <w:p w14:paraId="0DCD5941" w14:textId="3D8F8AE6" w:rsidR="238335E3" w:rsidRPr="000479E9" w:rsidRDefault="238335E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294. </w:t>
      </w:r>
    </w:p>
    <w:p w14:paraId="24A658B0" w14:textId="703E311C" w:rsidR="238335E3" w:rsidRPr="000479E9" w:rsidRDefault="238335E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Burza može provesti statusne promjene, osnovati podružnicu burze izvan Republike Hrvatske ili steći udio koji prelazi 25% glasačkih prava ili udjela u temeljnom kapitalu u drugoj pravnoj osobi, uz prethodno odobrenje Agencije. </w:t>
      </w:r>
    </w:p>
    <w:p w14:paraId="62A18B4B" w14:textId="71E8856C" w:rsidR="238335E3" w:rsidRPr="000479E9" w:rsidRDefault="238335E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Zahtjev za odobrenje iz stavka 1. ovoga članka mora sadržavati obrazloženje o tome da radnje koje burza namjerava poduzeti neće ugroziti kvalitetu i kontinuitet obavljanja glavne djelatnosti burze. </w:t>
      </w:r>
    </w:p>
    <w:p w14:paraId="292ECD9A" w14:textId="022A8D60" w:rsidR="238335E3" w:rsidRPr="000479E9" w:rsidRDefault="238335E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Agencija odluku o izdavanju ili odbijanju izdavanja prethodnog odobrenja iz stavka 1. ovoga članka donosi rješenjem. </w:t>
      </w:r>
    </w:p>
    <w:p w14:paraId="41AEF1CC" w14:textId="35B28885" w:rsidR="238335E3" w:rsidRPr="000479E9" w:rsidRDefault="238335E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Ako burza poduzme radnju iz stavka 1. ovoga članka bez prethodnog odobrenja Agencije, Agencija će joj rješenjem naložiti prestanak obavljanja predmetne radnje odnosno otpuštanje stečenih udjela u roku koji ne može biti kraći od tri mjeseca niti duži od devet mjeseci od donošenja rješenja Agencije.</w:t>
      </w:r>
    </w:p>
    <w:p w14:paraId="53E393FD" w14:textId="1FF68487" w:rsidR="2B3481CE" w:rsidRPr="000479E9" w:rsidRDefault="2B3481CE" w:rsidP="2B3481CE">
      <w:pPr>
        <w:spacing w:after="0" w:line="240" w:lineRule="auto"/>
        <w:jc w:val="both"/>
        <w:rPr>
          <w:rFonts w:ascii="Times New Roman" w:eastAsia="Calibri" w:hAnsi="Times New Roman" w:cs="Times New Roman"/>
          <w:sz w:val="24"/>
          <w:szCs w:val="24"/>
        </w:rPr>
      </w:pPr>
    </w:p>
    <w:p w14:paraId="6F27D3F1" w14:textId="77777777" w:rsidR="00785F18" w:rsidRPr="000479E9" w:rsidRDefault="00785F18" w:rsidP="00785F18">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Obveze obavještavanja</w:t>
      </w:r>
    </w:p>
    <w:p w14:paraId="65FABC22" w14:textId="77777777" w:rsidR="00785F18" w:rsidRPr="000479E9" w:rsidRDefault="00785F18" w:rsidP="00785F18">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Članak 295.</w:t>
      </w:r>
    </w:p>
    <w:p w14:paraId="253FC971" w14:textId="6CAD1EF0" w:rsidR="00785F18" w:rsidRPr="000479E9" w:rsidRDefault="00785F18" w:rsidP="00483C20">
      <w:pPr>
        <w:spacing w:after="0" w:line="240" w:lineRule="auto"/>
        <w:jc w:val="both"/>
        <w:rPr>
          <w:rFonts w:ascii="Times New Roman" w:hAnsi="Times New Roman" w:cs="Times New Roman"/>
          <w:iCs/>
          <w:sz w:val="24"/>
          <w:szCs w:val="24"/>
        </w:rPr>
      </w:pPr>
    </w:p>
    <w:p w14:paraId="1B1FBD55"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lastRenderedPageBreak/>
        <w:t>(1) Burza je dužna bez odgode, a najkasnije tri radna dana od promjene osoba iz članaka 288. i 289. ovoga Zakona, kao i o svim značajnim promjenama uvjeta pod kojim je odobrenje za rad izdano, o tome obavijestiti Agenciju.</w:t>
      </w:r>
    </w:p>
    <w:p w14:paraId="2BAF3215"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(2) Burza je dužna Agenciji dostaviti sve podatke na temelju kojih je moguće procijeniti da su ispunjeni svi zahtjevi propisani odredbama članaka 288. i 289. ovoga Zakona, kao i svaku značajniju promjenu o načinu izvršenja zahtjeva propisanih navedenim člancima Zakona.</w:t>
      </w:r>
    </w:p>
    <w:p w14:paraId="7B211F0D"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(3) Agencija može od revizora koji je obavio reviziju godišnjih financijskih izvještaja burze zatražiti dodatna obrazloženja u svezi s obavljenom revizijom i revizorskim izvještajem.</w:t>
      </w:r>
    </w:p>
    <w:p w14:paraId="40B1243E"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(4) Ako godišnji financijski izvještaji i godišnje izvješće burze nisu izrađeni sukladno propisima koji uređuju osnivanje i ustroj trgovačkih društava, računovodstvo poduzetnika i primjenu standarda financijskog izvještavanja te pravilima struke, Agencija može odbiti godišnje financijske izvještaje, a burza je dužna ponovo izraditi godišnje financijske izvještaje, osigurati obavljanje zakonske revizije tih izvještaja te revozirski izvještaj, uključujući i relevantne financijske izvještaje, dostaviti Agenciji u roku koji je svojim rješenjem odredila Agencija. Novu zakonsku reviziju ne smije obaviti revizor koji je izdao mišljenje o godišnjim financijskim izvještajima koji su odbijeni odnosno odbačeni.</w:t>
      </w:r>
    </w:p>
    <w:p w14:paraId="66C8355D"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(5) Isti revizor može obaviti najviše sedam uzastopnih revizija godišnjih financijskih izvještaja burze. Isti revizor ne smije sljedeće četiri godine obavljati reviziju godišnjih financijskih izvještaja burze.</w:t>
      </w:r>
    </w:p>
    <w:p w14:paraId="29B41EA2"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(6) U slučaju raskida ugovora o obavljanju revizije, burza i revizor dužni su Agenciji u roku od 15 dana pisano obrazložiti razloge za sporazumni raskid ugovora odnosno ako je ugovor raskinula jedna ugovorna strana, obrazložiti razloge raskida, a druga ugovorna strana očitovati se o razlozima za raskid ugovora koje navodi druga ugovorna strana.</w:t>
      </w:r>
    </w:p>
    <w:p w14:paraId="7E07EB43"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(7) Revizor koji obavlja reviziju godišnjih financijskih izvještaja burze ne smije pružati, izravno ili neizravno, burzi bilo koje zabranjene nerevizorske usluge iz članka 5. stavka 1. Uredbe (EU) br. 537/2014 tijekom:</w:t>
      </w:r>
    </w:p>
    <w:p w14:paraId="10D9754F"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 razdoblja između početka razdoblja koje je predmet revizije i izdavanja revizorskog izvještaja i</w:t>
      </w:r>
    </w:p>
    <w:p w14:paraId="017616DE"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2. poslovne godine koja prethodi razdoblju iz točke 1. ovoga stavka u vezi s uslugom osmišljavanja i provedbe postupaka unutarnje kontrole ili upravljanja rizikom povezanim s pripremom i/ili nadzorom financijskih informacija ili osmišljavanjem i provedbom tehnoloških sustava za financijske informacije.</w:t>
      </w:r>
    </w:p>
    <w:p w14:paraId="2A57FAD9"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(8) Burza je dužna Agenciji podnositi izvještaje koji sadrže podatke o transakcijama s financijskim instrumentima izvršenim na uređenom tržištu kojim burza upravlja, uključujući i ponude izložene u sustavu uređenog tržišta kojim upravlja burza, a bez obzira na obvezama burze sukladno odredbama Uredbe (EU) br. 600/2014.</w:t>
      </w:r>
    </w:p>
    <w:p w14:paraId="0C3F1327"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(9) Burza mora, na zahtjev, Agenciji staviti na raspolaganje podatke vezane uz knjigu naloga ili Agenciji omogućiti pristup knjizi naloga.</w:t>
      </w:r>
    </w:p>
    <w:p w14:paraId="6ACE869C"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(10) Burza koja upravlja MTP-om ili OTP-om dužna je obavijestiti Agenciju o državi članici u kojoj namjerava učiniti MTP ili OTP dostupnim.</w:t>
      </w:r>
    </w:p>
    <w:p w14:paraId="100F0327"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lastRenderedPageBreak/>
        <w:t>(11) Agencija će informaciju iz stavka 9. ovoga članka proslijediti u roku od trideset dana nadležnom tijelu predmetne države članice.</w:t>
      </w:r>
    </w:p>
    <w:p w14:paraId="2AF89D66"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(12) Na zahtjev nadležnog tijela predmetne države članice, Agencija će u razumnom vremenskom roku tom nadležnom tijelu države članice domaćina MTP-a i/ili OTP-a proslijediti podatke o korisnicima MTP-a i/ili OTP-a.</w:t>
      </w:r>
    </w:p>
    <w:p w14:paraId="1EBB2EAB"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(13) Burza je dužna bez odgode obavijestiti Agenciju o svakom incidentu koji ima značajan negativan učinak na sigurnost njezinih mrežnih i informacijskih sustava. Prilikom procjene značajnosti negativnog učinka incidenta uzet će se u obzir broj korisnika pogođenih prekidom obavljanja djelatnosti, trajanje prekida obavljanja djelatnosti, zemljopisna raširenost u smislu područja na koje je prekid utjecao te ostale okolnosti.</w:t>
      </w:r>
    </w:p>
    <w:p w14:paraId="0DFA1D15"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(14) Agencija pravilnikom detaljnije uređuje sadržaj i strukturu podataka o transakcijama iz stavka 8. ovoga članka.</w:t>
      </w:r>
    </w:p>
    <w:p w14:paraId="4F3A62A1"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(15) Agencija pravilnikom detaljnije uređuje oblik, sadržaj, rokove i način dostavljanja izvještaja iz stavka 5. ovoga članka.</w:t>
      </w:r>
    </w:p>
    <w:p w14:paraId="0DE69694"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(16) Burza je dužna izraditi godišnje financijske izvještaje i godišnje izvješće u skladu s odredbama zakona kojim se uređuje osnivanje i ustroj trgovačkih društava, računovodstvo poduzetnika i primjena standarda financijskog izvještavanja te ih dostaviti Agenciji zajedno s revizorskim izvještajem u roku od 15 dana od dana zaprimanja revizorskog izvještaja, a najkasnije u roku od četiri mjeseca od zadnjeg dana poslovne godine.</w:t>
      </w:r>
    </w:p>
    <w:p w14:paraId="622B684E" w14:textId="77777777" w:rsidR="00785F18" w:rsidRPr="000479E9" w:rsidRDefault="00785F18" w:rsidP="00483C20">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(17) Agencija pravilnikom uređuje sadržaj i strukturu godišnjih financijskih izvještaja burze iz stavka 16. ovoga članka, način njihova dostavljanja Agenciji, kontni plan, kao i opseg i sadržaj revizije odnosno revizijskih postupaka i revizorskog izvještaja o obavljenoj reviziji burze.</w:t>
      </w:r>
    </w:p>
    <w:p w14:paraId="60ECF114" w14:textId="561E9F45" w:rsidR="0032234E" w:rsidRPr="000479E9" w:rsidRDefault="0032234E" w:rsidP="00E9708C">
      <w:pPr>
        <w:spacing w:after="0" w:line="240" w:lineRule="auto"/>
        <w:jc w:val="center"/>
        <w:rPr>
          <w:rFonts w:ascii="Times New Roman" w:hAnsi="Times New Roman" w:cs="Times New Roman"/>
          <w:iCs/>
          <w:sz w:val="24"/>
          <w:szCs w:val="24"/>
        </w:rPr>
      </w:pPr>
    </w:p>
    <w:p w14:paraId="6FD0EE5C" w14:textId="77777777" w:rsidR="00785F18" w:rsidRPr="000479E9" w:rsidRDefault="00785F18" w:rsidP="00E9708C">
      <w:pPr>
        <w:spacing w:after="0" w:line="240" w:lineRule="auto"/>
        <w:jc w:val="center"/>
        <w:rPr>
          <w:rFonts w:ascii="Times New Roman" w:hAnsi="Times New Roman" w:cs="Times New Roman"/>
          <w:iCs/>
          <w:sz w:val="24"/>
          <w:szCs w:val="24"/>
        </w:rPr>
      </w:pPr>
    </w:p>
    <w:p w14:paraId="0CB49F1D" w14:textId="6F9D283D" w:rsidR="00A91B71" w:rsidRPr="000479E9" w:rsidRDefault="00A91B71" w:rsidP="00617A00">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Sustav za prekid trgovanja</w:t>
      </w:r>
    </w:p>
    <w:p w14:paraId="0848E3D8" w14:textId="512714CA" w:rsidR="00A91B71" w:rsidRPr="000479E9" w:rsidRDefault="00A91B71" w:rsidP="00617A00">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Članak 299.</w:t>
      </w:r>
    </w:p>
    <w:p w14:paraId="63556372" w14:textId="77777777" w:rsidR="00A91B71" w:rsidRPr="000479E9" w:rsidRDefault="00A91B71" w:rsidP="00A91B71">
      <w:pPr>
        <w:spacing w:after="0" w:line="240" w:lineRule="auto"/>
        <w:jc w:val="both"/>
        <w:rPr>
          <w:rFonts w:ascii="Times New Roman" w:hAnsi="Times New Roman" w:cs="Times New Roman"/>
          <w:iCs/>
          <w:sz w:val="24"/>
          <w:szCs w:val="24"/>
        </w:rPr>
      </w:pPr>
    </w:p>
    <w:p w14:paraId="5A884AD5" w14:textId="24280598"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(1) Burza mora uspostaviti i primjenjivati učinkovite sustave, postupke i mehanizme za odbacivanje naloga koji premašuju unaprijed određeni prag volumena i cijena ili su očito neispravni. </w:t>
      </w:r>
    </w:p>
    <w:p w14:paraId="3F85AAAE" w14:textId="5EB6EE9B"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(2) Burza mora biti u mogućnosti privremeno zaustaviti ili ograničiti trgovanje u hitnim situacijama ili ako postoji značajno kretanje cijena financijskog instrumenta na mjestu trgovanja kojim upravlja ili na povezanom tržištu u kratkom razdoblju te u iznimnim slučajevima burza mora biti u mogućnosti otkazati, izmijeniti ili ispraviti svaku transakciju. </w:t>
      </w:r>
    </w:p>
    <w:p w14:paraId="32BAFD76" w14:textId="7058E6D1"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(3) Burza mora osigurati da su parametri za zaustavljanje trgovanja adekvatno prilagođeni na način da u obzir uzima likvidnost različitih razreda i podrazreda imovine, prirodu tržišnog modela i vrste korisnika koji su dovoljni da se izbjegnu značajni poremećaji u urednosti trgovanja i iste </w:t>
      </w:r>
    </w:p>
    <w:p w14:paraId="72E332C7" w14:textId="77777777"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primjenjivati. </w:t>
      </w:r>
    </w:p>
    <w:p w14:paraId="05A58FCF" w14:textId="08A667A7"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(4) Burza mora obavijestiti Agenciju o svim parametrima i svim bitnim promjenama parametara iz stavka 3. ovoga članka, bez odgode i na dosljedan i usporediv način. </w:t>
      </w:r>
    </w:p>
    <w:p w14:paraId="3B8ABE1C" w14:textId="77777777"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lastRenderedPageBreak/>
        <w:t xml:space="preserve">(5) Agencija o obavijestima iz stavka 4. ovoga članka obavještava ESMA-u. </w:t>
      </w:r>
    </w:p>
    <w:p w14:paraId="1CEDCFDD" w14:textId="58552AF8"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(6) Ako burza, koja upravlja uređenim tržištem bitnim u smislu likvidnosti određenog financijskog instrumenta, zaustavi trgovanje tim financijskim instrumentom, a istim se trguje i na drugom mjestu trgovanja u nekoj od država članica, burza mora imati uspostavljene sustave i postupke radi </w:t>
      </w:r>
    </w:p>
    <w:p w14:paraId="7AAC0222" w14:textId="5EF329B8"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osiguravanja obavještavanja Agencije, kako bi nadležna tijela koordinirala odgovor na razini više tržišta i odlučila je li primjereno zaustaviti trgovanje i na drugim mjestima u kojima se trguje tim financijskim instrumentom dok se trgovanje ne nastavi na izvornom tržištu. </w:t>
      </w:r>
    </w:p>
    <w:p w14:paraId="34E3092F" w14:textId="125D7B25"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(7) Burza je dužna na svojoj internetskoj stranici javno objaviti informacije o okolnostima koje su dovele do zaustavljanja ili ograničavanja trgovanja i o načelima za utvrđivanje glavnih tehničkih parametara koji se za to koriste. </w:t>
      </w:r>
    </w:p>
    <w:p w14:paraId="68D71AC0" w14:textId="6736E5EB" w:rsidR="00A91B71" w:rsidRPr="000479E9" w:rsidRDefault="00A91B71" w:rsidP="00A91B71">
      <w:pPr>
        <w:spacing w:after="0" w:line="240" w:lineRule="auto"/>
        <w:jc w:val="both"/>
        <w:rPr>
          <w:rFonts w:ascii="Times New Roman" w:hAnsi="Times New Roman" w:cs="Times New Roman"/>
          <w:iCs/>
          <w:sz w:val="24"/>
          <w:szCs w:val="24"/>
        </w:rPr>
      </w:pPr>
      <w:r w:rsidRPr="000479E9">
        <w:rPr>
          <w:rFonts w:ascii="Times New Roman" w:hAnsi="Times New Roman" w:cs="Times New Roman"/>
          <w:iCs/>
          <w:sz w:val="24"/>
          <w:szCs w:val="24"/>
        </w:rPr>
        <w:t xml:space="preserve">8) Ako uređeno tržište ne zaustavi ili ograniči trgovanje kako je navedeno u stavku 2. ovoga članka, unatoč činjenici da je znatno kretanje cijena financijskog instrumenta ili povezanih financijskih instrumenata dovelo do neurednih uvjeta trgovanja na jednom ili na više tržišta, Agencija može poduzeti odgovarajuće mjere za ponovnu uspostavu normalnog funkcioniranja tržišta primjenom nadzornih ovlasti iz članka 340. i Glave III Poglavlja VI. te članka 385. ovoga Zakona. </w:t>
      </w:r>
    </w:p>
    <w:p w14:paraId="4D5CF055" w14:textId="08A5ADAC" w:rsidR="00A91B71" w:rsidRPr="000479E9" w:rsidRDefault="00A91B71" w:rsidP="2B3481CE">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Agencija pravilnikom detaljnije uređuje uvjete za uspostavljanje sustava za prekid trgovanja i objave privremenog zaustavljanja trgovanja iz ovoga članka Zakona.</w:t>
      </w:r>
    </w:p>
    <w:p w14:paraId="7E5C1C05" w14:textId="77C864CE" w:rsidR="2B3481CE" w:rsidRPr="000479E9" w:rsidRDefault="2B3481CE" w:rsidP="2B3481CE">
      <w:pPr>
        <w:spacing w:after="0" w:line="240" w:lineRule="auto"/>
        <w:jc w:val="both"/>
        <w:rPr>
          <w:rFonts w:ascii="Times New Roman" w:hAnsi="Times New Roman" w:cs="Times New Roman"/>
          <w:sz w:val="24"/>
          <w:szCs w:val="24"/>
        </w:rPr>
      </w:pPr>
    </w:p>
    <w:p w14:paraId="239BF576" w14:textId="3DAB2495" w:rsidR="381585E7" w:rsidRPr="000479E9" w:rsidRDefault="381585E7"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sz w:val="24"/>
          <w:szCs w:val="24"/>
        </w:rPr>
        <w:t>O</w:t>
      </w:r>
      <w:r w:rsidRPr="000479E9">
        <w:rPr>
          <w:rFonts w:ascii="Times New Roman" w:eastAsia="Calibri" w:hAnsi="Times New Roman" w:cs="Times New Roman"/>
          <w:bCs/>
          <w:sz w:val="24"/>
          <w:szCs w:val="24"/>
        </w:rPr>
        <w:t xml:space="preserve">DJELJAK 5. </w:t>
      </w:r>
    </w:p>
    <w:p w14:paraId="5B80D9BA" w14:textId="19A446C7" w:rsidR="2B3481CE" w:rsidRPr="000479E9" w:rsidRDefault="2B3481CE" w:rsidP="00F01D72">
      <w:pPr>
        <w:spacing w:after="0" w:line="240" w:lineRule="auto"/>
        <w:jc w:val="center"/>
        <w:rPr>
          <w:rFonts w:ascii="Times New Roman" w:eastAsia="Calibri" w:hAnsi="Times New Roman" w:cs="Times New Roman"/>
          <w:bCs/>
          <w:sz w:val="24"/>
          <w:szCs w:val="24"/>
        </w:rPr>
      </w:pPr>
    </w:p>
    <w:p w14:paraId="040F21A5" w14:textId="751F4470" w:rsidR="381585E7" w:rsidRPr="000479E9" w:rsidRDefault="381585E7"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 xml:space="preserve">Pravila i upute burze i uređenog tržišta </w:t>
      </w:r>
    </w:p>
    <w:p w14:paraId="7ACE50CF" w14:textId="00EE9EF7" w:rsidR="2B3481CE" w:rsidRPr="000479E9" w:rsidRDefault="2B3481CE" w:rsidP="2B3481CE">
      <w:pPr>
        <w:spacing w:after="0" w:line="240" w:lineRule="auto"/>
        <w:jc w:val="both"/>
        <w:rPr>
          <w:rFonts w:ascii="Times New Roman" w:eastAsia="Calibri" w:hAnsi="Times New Roman" w:cs="Times New Roman"/>
          <w:sz w:val="24"/>
          <w:szCs w:val="24"/>
        </w:rPr>
      </w:pPr>
    </w:p>
    <w:p w14:paraId="7E10A62D" w14:textId="4B67B574" w:rsidR="381585E7" w:rsidRPr="000479E9" w:rsidRDefault="381585E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305. </w:t>
      </w:r>
    </w:p>
    <w:p w14:paraId="07CC6B6D" w14:textId="0A4E2CB0"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Burza je dužna propisati i primjenjivati akte kojima se uređuju opći uvjeti poslovanja burze i uređenog tržišta kojima upravlja. (</w:t>
      </w:r>
    </w:p>
    <w:p w14:paraId="350DB4DE" w14:textId="65ADC24B"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Akti iz stavka 1. ovoga članka koji se odnose na uređeno tržište, su pravila i upute za primjenu pravila. </w:t>
      </w:r>
    </w:p>
    <w:p w14:paraId="422ECD12" w14:textId="2424D941"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Pravila iz stavka 2. ovoga članka moraju sadržavati posebice: </w:t>
      </w:r>
    </w:p>
    <w:p w14:paraId="4A35D1EF" w14:textId="7DF81A7A"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odredbe o članovima s obzirom na primanje u članstvo, suspenziju i isključenje iz članstva 2. odredbe o vrstama i načinu trgovanja, uključujući i odredbe o sustavima poravnanja i namire koje članovi mogu koristiti za namiru izvršenih transakcija </w:t>
      </w:r>
    </w:p>
    <w:p w14:paraId="1A4BCF37" w14:textId="56CB7D2B"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odredbe u svezi s objavljivanjem podataka o trgovanju </w:t>
      </w:r>
    </w:p>
    <w:p w14:paraId="75D035E6" w14:textId="5902F442"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odredbe o financijskim instrumentima kojima se može trgovati na uređenom tržištu, uključujući odredbe o uvrštenju financijskih instrumenata, kao i o privremenoj obustavi i isključenju iz trgovanja i </w:t>
      </w:r>
    </w:p>
    <w:p w14:paraId="5B67C67C" w14:textId="6FF73D65"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odredbe o kolokacijskim uslugama. </w:t>
      </w:r>
    </w:p>
    <w:p w14:paraId="4E389643" w14:textId="2C1CD604"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Pravila iz stavka 3. ovoga članka, kao i sve njihove promjene odobrava Agencija. </w:t>
      </w:r>
    </w:p>
    <w:p w14:paraId="48ADAE6C" w14:textId="5FCF0936"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Burza prije podnošenja zahtjeva za odobrenjem pravila iz stavka 3. ovoga članka mora o sadržaju istih provesti javno savjetovanje sa zainteresiranom javnošću putem svojih internetskih stranica. </w:t>
      </w:r>
    </w:p>
    <w:p w14:paraId="12FD5BD9" w14:textId="3BAB9329" w:rsidR="381585E7" w:rsidRPr="000479E9" w:rsidRDefault="381585E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Akte iz stavka 2. ovoga članka burza je dužna objaviti na svojim internetskim stranicama najmanje sedam dana prije početka primjene istih.</w:t>
      </w:r>
    </w:p>
    <w:p w14:paraId="28BE6361" w14:textId="77777777" w:rsidR="00A91B71" w:rsidRPr="000479E9" w:rsidRDefault="00A91B71" w:rsidP="00C66B65">
      <w:pPr>
        <w:spacing w:after="0" w:line="240" w:lineRule="auto"/>
        <w:jc w:val="both"/>
        <w:rPr>
          <w:rFonts w:ascii="Times New Roman" w:hAnsi="Times New Roman" w:cs="Times New Roman"/>
          <w:iCs/>
          <w:sz w:val="24"/>
          <w:szCs w:val="24"/>
        </w:rPr>
      </w:pPr>
    </w:p>
    <w:p w14:paraId="1536A8A4" w14:textId="1B1EAA3C" w:rsidR="00C66B65" w:rsidRPr="000479E9" w:rsidRDefault="00C66B65" w:rsidP="00C66B65">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Naknade za usluge uređenog tržišta</w:t>
      </w:r>
    </w:p>
    <w:p w14:paraId="6CF06408" w14:textId="251F1997" w:rsidR="00C66B65" w:rsidRPr="000479E9" w:rsidRDefault="00C66B65" w:rsidP="00C66B65">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306.</w:t>
      </w:r>
    </w:p>
    <w:p w14:paraId="3525820F" w14:textId="77777777" w:rsidR="00A91B71" w:rsidRPr="000479E9" w:rsidRDefault="00A91B71" w:rsidP="00C66B65">
      <w:pPr>
        <w:spacing w:after="0" w:line="240" w:lineRule="auto"/>
        <w:jc w:val="center"/>
        <w:rPr>
          <w:rFonts w:ascii="Times New Roman" w:hAnsi="Times New Roman" w:cs="Times New Roman"/>
          <w:sz w:val="24"/>
          <w:szCs w:val="24"/>
        </w:rPr>
      </w:pPr>
    </w:p>
    <w:p w14:paraId="5D3A798C"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Burza je dužna donijeti cjenik u kojem mora naknade za usluge uređenog tržišta, uključujući i popuste, odrediti na transparentan, korektan i nediskriminirajući način, vodeći se razumnim komercijalnim uvjetima.</w:t>
      </w:r>
    </w:p>
    <w:p w14:paraId="2755C667"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Naknade za usluge uređenog tržišta ne smiju stvarati poticaj za postavljanje, izmjenu ili povlačenje naloga ili izvršenje transakcija na način kojim se doprinosi neurednim uvjetima trgovanja ili zlouporabi tržišta.</w:t>
      </w:r>
    </w:p>
    <w:p w14:paraId="20A92F64"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Burza može prilagoditi naknade ovisno o vrsti financijskog instrumenta.</w:t>
      </w:r>
    </w:p>
    <w:p w14:paraId="158BDE3B"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Burza može prilagoditi naknade za povučene naloge u skladu s vremenskim trajanjem u kojem je nalog zadržan.</w:t>
      </w:r>
    </w:p>
    <w:p w14:paraId="31D93B2D"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Burza može odrediti više naknade za izlaganje naloga koji se potom povlače, sudionike koji daju veći omjer povučenih naloga od izvršenih te za one koji posluju s tehnikom visokofrekventnog algoritamskog trgovanja iz članka 3. točke 115. ovoga Zakona.</w:t>
      </w:r>
    </w:p>
    <w:p w14:paraId="75BFFA99"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Burza objavljuje cjenik na internetskim stranicama burze i o njegovu donošenju ili promjeni burza obavještava Agenciju i korisnike svojih usluga najmanje sedam dana prije početka njegove primjene.</w:t>
      </w:r>
    </w:p>
    <w:p w14:paraId="60FDA3D6" w14:textId="77777777"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(7) Prijedlog cjenika burze, kao i njegovih izmjena i dopuna, burza će dostaviti Agenciji najkasnije 30 dana prije njegova usvajanja te ga u istom roku učiniti dostupnim svim korisnicima svojih usluga, a pri njegovu donošenju burza će, ako je moguće, prihvatiti primjedbe i prijedloge korisnika svojih usluga, uz obrazloženje prihvaćenih i odbijenih primjedaba i prijedloga. </w:t>
      </w:r>
    </w:p>
    <w:p w14:paraId="05FDFAD4" w14:textId="38B2F572" w:rsidR="00C66B65" w:rsidRPr="000479E9" w:rsidRDefault="00C66B65" w:rsidP="00C66B65">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Delegirana uredba Komisije (EU) 2017/573 оd 6. lipnja 2016. o dopuni Direktive 2014/65/EU Europskog parlamenta i Vijeća o tržištu financijskih instrumenata u pogledu regulatornih tehničkih standarda o zahtjevima kojima se osiguravaju korektne i nediskriminirajuće kolokacijske usluge i strukture naknada (Tekst značajan za EGP) (SL L 87, 31. 3. 2017.) propisuje uvjete koji osiguravaju da su kolokacijske usluge iz članka 305. stavka 3. točke 5. ovoga Zakona i strukture naknada korektne i nediskriminirajuće i da strukture naknada ne stvaraju poticaj za neuredne uvjete trgovanja ili zlouporabu tržišta.</w:t>
      </w:r>
    </w:p>
    <w:p w14:paraId="447EE803" w14:textId="77777777" w:rsidR="00994F8A" w:rsidRPr="000479E9" w:rsidRDefault="00994F8A" w:rsidP="00C66B65">
      <w:pPr>
        <w:spacing w:after="0" w:line="240" w:lineRule="auto"/>
        <w:jc w:val="both"/>
        <w:rPr>
          <w:rFonts w:ascii="Times New Roman" w:hAnsi="Times New Roman" w:cs="Times New Roman"/>
          <w:sz w:val="24"/>
          <w:szCs w:val="24"/>
        </w:rPr>
      </w:pPr>
    </w:p>
    <w:p w14:paraId="7CD67533" w14:textId="46992B07" w:rsidR="006B4BB8" w:rsidRPr="000479E9" w:rsidRDefault="006B4BB8" w:rsidP="00B962CA">
      <w:pPr>
        <w:spacing w:after="0" w:line="240" w:lineRule="auto"/>
        <w:jc w:val="center"/>
        <w:rPr>
          <w:rFonts w:ascii="Times New Roman" w:hAnsi="Times New Roman" w:cs="Times New Roman"/>
          <w:bCs/>
          <w:iCs/>
          <w:sz w:val="24"/>
          <w:szCs w:val="24"/>
        </w:rPr>
      </w:pPr>
      <w:bookmarkStart w:id="8" w:name="_Toc77945360"/>
      <w:r w:rsidRPr="000479E9">
        <w:rPr>
          <w:rFonts w:ascii="Times New Roman" w:hAnsi="Times New Roman" w:cs="Times New Roman"/>
          <w:bCs/>
          <w:iCs/>
          <w:sz w:val="24"/>
          <w:szCs w:val="24"/>
        </w:rPr>
        <w:t>POGLAVLJE IV.</w:t>
      </w:r>
    </w:p>
    <w:p w14:paraId="4A5B1180" w14:textId="7D1495CA" w:rsidR="006B4BB8" w:rsidRPr="000479E9" w:rsidRDefault="006B4BB8" w:rsidP="00B962CA">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FINANCIJSKI INSTRUMENTI KOJIMA SE TRGUJE NA UREĐENOM TRŽIŠTU</w:t>
      </w:r>
      <w:bookmarkEnd w:id="8"/>
    </w:p>
    <w:p w14:paraId="22BB2B9A" w14:textId="77777777"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ODJELJAK 1.</w:t>
      </w:r>
    </w:p>
    <w:p w14:paraId="01846D18" w14:textId="77777777" w:rsidR="006B4BB8" w:rsidRPr="000479E9" w:rsidRDefault="006B4BB8" w:rsidP="00B962CA">
      <w:pPr>
        <w:spacing w:after="0" w:line="240" w:lineRule="auto"/>
        <w:jc w:val="center"/>
        <w:rPr>
          <w:rFonts w:ascii="Times New Roman" w:hAnsi="Times New Roman" w:cs="Times New Roman"/>
          <w:b/>
          <w:sz w:val="24"/>
          <w:szCs w:val="24"/>
        </w:rPr>
      </w:pPr>
    </w:p>
    <w:p w14:paraId="5059E365" w14:textId="7295F800"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320.</w:t>
      </w:r>
    </w:p>
    <w:p w14:paraId="7E5810EE" w14:textId="77777777" w:rsidR="00A91B71" w:rsidRPr="000479E9" w:rsidRDefault="00A91B71" w:rsidP="00B962CA">
      <w:pPr>
        <w:spacing w:after="0" w:line="240" w:lineRule="auto"/>
        <w:jc w:val="center"/>
        <w:rPr>
          <w:rFonts w:ascii="Times New Roman" w:hAnsi="Times New Roman" w:cs="Times New Roman"/>
          <w:sz w:val="24"/>
          <w:szCs w:val="24"/>
        </w:rPr>
      </w:pPr>
    </w:p>
    <w:p w14:paraId="237583F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Burza upravlja uređenim tržištem koje se sastoji od redovitog tržišta i službenog tržišta. Burza može svojim pravilima propisati i druge segmente uređenog tržišta za koje će propisati strože uvjete u svezi s uvrštenjem i zaštitom ulagatelja, od onih propisanih člankom 325. ovoga Zakona.</w:t>
      </w:r>
    </w:p>
    <w:p w14:paraId="6E53893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Na redovito tržište mogu se uvrstiti vrijednosni papiri, ako su ispunjeni uvjeti iz članka 321. ovoga Zakona te ostali financijski instrumenti, ako su ispunjeni uvjeti iz članka 321. ovoga Zakona, koji se odnose na financijske instrumente.</w:t>
      </w:r>
    </w:p>
    <w:p w14:paraId="15C40CE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Na službeno tržište mogu se uvrstiti vrijednosni papiri, ako su ispunjeni uvjeti iz članka 325. ovoga Zakona.</w:t>
      </w:r>
    </w:p>
    <w:p w14:paraId="1D30A30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Izdavatelji financijskih instrumenata uvrštenih na uređeno tržište moraju osigurati postojanje identifikacijskog broja odnosno identifikacijske oznake sukladno odredbama članka 3. Delegirane Uredbe Komisije (EU) 2017/585 оd 14. srpnja 2016. o dopuni Uredbe (EU) br. 600/2014 Europskog parlamenta i Vijeća u pogledu regulatornih tehničkih standarda za standarde i formate podataka za referentne podatke o financijskom instrumentu i tehničke mjere u odnosu na aranžmane koje trebaju uvesti Europsko nadzorno tijelo za vrijednosne papire i tržišta kapitala i nadležna tijela (Tekst značajan za EGP) (SL L 87, 31. 3. 2017.) (u daljnjem tekstu: Delegirana uredba (EU) br. 2017/585).</w:t>
      </w:r>
    </w:p>
    <w:p w14:paraId="6DEA656E" w14:textId="77777777" w:rsidR="006B4BB8" w:rsidRPr="000479E9" w:rsidRDefault="006B4BB8" w:rsidP="006B4BB8">
      <w:pPr>
        <w:spacing w:after="0" w:line="240" w:lineRule="auto"/>
        <w:jc w:val="both"/>
        <w:rPr>
          <w:rFonts w:ascii="Times New Roman" w:hAnsi="Times New Roman" w:cs="Times New Roman"/>
          <w:sz w:val="24"/>
          <w:szCs w:val="24"/>
        </w:rPr>
      </w:pPr>
    </w:p>
    <w:p w14:paraId="544227C4" w14:textId="77777777" w:rsidR="006B4BB8" w:rsidRPr="000479E9" w:rsidRDefault="006B4BB8" w:rsidP="00B962C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Uvjeti za uvrštenje na redovito tržište</w:t>
      </w:r>
    </w:p>
    <w:p w14:paraId="08FC7F52" w14:textId="1778EA6A"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321.</w:t>
      </w:r>
    </w:p>
    <w:p w14:paraId="14C5A9AB" w14:textId="77777777" w:rsidR="00A91B71" w:rsidRPr="000479E9" w:rsidRDefault="00A91B71" w:rsidP="00B962CA">
      <w:pPr>
        <w:spacing w:after="0" w:line="240" w:lineRule="auto"/>
        <w:jc w:val="center"/>
        <w:rPr>
          <w:rFonts w:ascii="Times New Roman" w:hAnsi="Times New Roman" w:cs="Times New Roman"/>
          <w:sz w:val="24"/>
          <w:szCs w:val="24"/>
        </w:rPr>
      </w:pPr>
    </w:p>
    <w:p w14:paraId="59AD1C9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Na redovito tržište mogu se uvrstiti samo financijski instrumenti u skladu s jasnim i transparentnim pravilima sukladno odredbi članka 305. stavka 3. točke 4. ovoga Zakona.</w:t>
      </w:r>
    </w:p>
    <w:p w14:paraId="612EC8B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Pravilima iz stavka 1. ovoga članka se mora osigurati da se svim financijskim instrumentima uvrštenim za trgovanje na uređenom tržištu može trgovati korektno, uredno i djelotvorno, a u slučaju prenosivih vrijednosnih papira da su oni slobodno prenosivi.</w:t>
      </w:r>
    </w:p>
    <w:p w14:paraId="5AD6D19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U slučaju izvedenica, pravilima iz stavka 1. ovoga članka osobito se mora osigurati da su izvedeni financijski instrumenti oblikovani na način koji omogućuje uredno formiranje njihove cijene, kao i postojanje djelotvornih uvjeta namire.</w:t>
      </w:r>
    </w:p>
    <w:p w14:paraId="7E34A2F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Vrijednosni papiri koji se uvrštavaju na redovito tržište moraju zadovoljavati sljedeće uvjete:</w:t>
      </w:r>
    </w:p>
    <w:p w14:paraId="445DC92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vrijednosni papiri za koje se podnosi zahtjev za uvrštenje moraju biti izdani u skladu s propisima koji se na njih odnose i slobodno prenosivi</w:t>
      </w:r>
    </w:p>
    <w:p w14:paraId="5CF9F5B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pravni položaj izdavatelja vrijednosnog papira je u skladu s propisima Republike Hrvatske ili države sjedišta izdavatelja</w:t>
      </w:r>
    </w:p>
    <w:p w14:paraId="7C53670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Vrijednosni papiri izdavatelja sa sjedištem u Republici Hrvatskoj mogu biti uvršteni na redovito tržište samo ako su u nematerijaliziranom obliku.</w:t>
      </w:r>
    </w:p>
    <w:p w14:paraId="26A5898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Burza mora uspostaviti i primjenjivati djelotvorne mjere za provjeru ispunjavaju li izdavatelji prenosivih vrijednosnih papira koji su uvršteni za trgovanje na redovitom tržištu obveze prema pravu Europske unije u vezi s početnim, stalnim ili </w:t>
      </w:r>
      <w:r w:rsidRPr="000479E9">
        <w:rPr>
          <w:rFonts w:ascii="Times New Roman" w:hAnsi="Times New Roman" w:cs="Times New Roman"/>
          <w:iCs/>
          <w:sz w:val="24"/>
          <w:szCs w:val="24"/>
        </w:rPr>
        <w:t>ad hoc </w:t>
      </w:r>
      <w:r w:rsidRPr="000479E9">
        <w:rPr>
          <w:rFonts w:ascii="Times New Roman" w:hAnsi="Times New Roman" w:cs="Times New Roman"/>
          <w:sz w:val="24"/>
          <w:szCs w:val="24"/>
        </w:rPr>
        <w:t>obvezama objavljivanja.</w:t>
      </w:r>
    </w:p>
    <w:p w14:paraId="379A139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Burza mora omogućiti članovima uređenog tržišta pristup podacima iz stavka 6. ovoga članka koji su javno objavljeni sukladno pravu Europske unije.</w:t>
      </w:r>
    </w:p>
    <w:p w14:paraId="2CEDE13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(8) Burza je dužna primjenjivati odredbe Delegirane uredbe Komisije (EU) 2017/568 оd 24. svibnja 2016. o dopuni Direktive 2014/65/EU Europskog parlamenta i Vijeća u pogledu regulatornih tehničkih standarda za uvrštenje financijskih instrumenata za </w:t>
      </w:r>
      <w:r w:rsidRPr="000479E9">
        <w:rPr>
          <w:rFonts w:ascii="Times New Roman" w:hAnsi="Times New Roman" w:cs="Times New Roman"/>
          <w:sz w:val="24"/>
          <w:szCs w:val="24"/>
        </w:rPr>
        <w:lastRenderedPageBreak/>
        <w:t>trgovanje na uređenim tržištima (Tekst značajan za EGP) (SL L 87, 31. 3. 2017.) prilikom provjere ispunjava li financijski instrument izdan na način sukladan uvjetima utvrđenima u stavku 1. i stavku 4. točki 1. ovoga članka uvjete za uvrštenje odnosno za trgovanje na različitim segmentima tržišta kojima upravlja.</w:t>
      </w:r>
    </w:p>
    <w:p w14:paraId="3CE4F921" w14:textId="77777777" w:rsidR="006B4BB8" w:rsidRPr="000479E9" w:rsidRDefault="006B4BB8" w:rsidP="006B4BB8">
      <w:pPr>
        <w:spacing w:after="0" w:line="240" w:lineRule="auto"/>
        <w:jc w:val="both"/>
        <w:rPr>
          <w:rFonts w:ascii="Times New Roman" w:hAnsi="Times New Roman" w:cs="Times New Roman"/>
          <w:sz w:val="24"/>
          <w:szCs w:val="24"/>
        </w:rPr>
      </w:pPr>
    </w:p>
    <w:p w14:paraId="37364925" w14:textId="3840FCC1"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322.</w:t>
      </w:r>
    </w:p>
    <w:p w14:paraId="302D48D0" w14:textId="77777777" w:rsidR="00A91B71" w:rsidRPr="000479E9" w:rsidRDefault="00A91B71" w:rsidP="00B962CA">
      <w:pPr>
        <w:spacing w:after="0" w:line="240" w:lineRule="auto"/>
        <w:jc w:val="center"/>
        <w:rPr>
          <w:rFonts w:ascii="Times New Roman" w:hAnsi="Times New Roman" w:cs="Times New Roman"/>
          <w:sz w:val="24"/>
          <w:szCs w:val="24"/>
        </w:rPr>
      </w:pPr>
    </w:p>
    <w:p w14:paraId="38A0E85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trgovanje financijskim instrumentima na redovitom tržištu potrebno je odobrenje burze.</w:t>
      </w:r>
    </w:p>
    <w:p w14:paraId="0FFDE13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Zahtjev za uvrštenje u redovito tržište može podnijeti izdavatelj ili osoba koju izdavatelj ovlasti.</w:t>
      </w:r>
    </w:p>
    <w:p w14:paraId="19B4E64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Burza će izdati odobrenje za uvrštenje ako su ispunjeni uvjeti iz članka 321. ovoga Zakona.</w:t>
      </w:r>
    </w:p>
    <w:p w14:paraId="4BF1E9B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Burza će odbiti zahtjev za uvrštenje financijskog instrumenta na redovito tržište ako:</w:t>
      </w:r>
    </w:p>
    <w:p w14:paraId="1AA0ABE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nisu ispunjeni uvjeti iz stavaka 2. ili 3. ovoga članka ili</w:t>
      </w:r>
    </w:p>
    <w:p w14:paraId="20EEEE1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prema podacima kojima raspolaže proizlazi da bi uvrštenje bilo štetno po interese ulagatelja.</w:t>
      </w:r>
    </w:p>
    <w:p w14:paraId="0930E544" w14:textId="77777777" w:rsidR="006B4BB8" w:rsidRPr="000479E9" w:rsidRDefault="006B4BB8" w:rsidP="006B4BB8">
      <w:pPr>
        <w:spacing w:after="0" w:line="240" w:lineRule="auto"/>
        <w:jc w:val="both"/>
        <w:rPr>
          <w:rFonts w:ascii="Times New Roman" w:hAnsi="Times New Roman" w:cs="Times New Roman"/>
          <w:sz w:val="24"/>
          <w:szCs w:val="24"/>
        </w:rPr>
      </w:pPr>
    </w:p>
    <w:p w14:paraId="33D80D50" w14:textId="77777777" w:rsidR="006B4BB8" w:rsidRPr="000479E9" w:rsidRDefault="006B4BB8" w:rsidP="00B962C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Odlučivanje o uvrštenju na redovito tržište</w:t>
      </w:r>
    </w:p>
    <w:p w14:paraId="028384F7" w14:textId="6FCFD8FF"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323.</w:t>
      </w:r>
    </w:p>
    <w:p w14:paraId="13C4918C" w14:textId="77777777" w:rsidR="00A91B71" w:rsidRPr="000479E9" w:rsidRDefault="00A91B71" w:rsidP="00B962CA">
      <w:pPr>
        <w:spacing w:after="0" w:line="240" w:lineRule="auto"/>
        <w:jc w:val="center"/>
        <w:rPr>
          <w:rFonts w:ascii="Times New Roman" w:hAnsi="Times New Roman" w:cs="Times New Roman"/>
          <w:sz w:val="24"/>
          <w:szCs w:val="24"/>
        </w:rPr>
      </w:pPr>
    </w:p>
    <w:p w14:paraId="0A90B57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Burza je dužna svojim pravilima propisati kada će se zahtjev za uvrštenje na uređeno tržište smatrati urednim.</w:t>
      </w:r>
    </w:p>
    <w:p w14:paraId="6C8EB03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Burza je dužna obavijestiti Agenciju o svakom zaprimljenom zahtjevu za uvrštenje financijskih instrumenata, kao i o svojoj odluci u svezi s uvrštenjem ili odbijanjem zahtjeva za uvrštenje.</w:t>
      </w:r>
    </w:p>
    <w:p w14:paraId="390ADC8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Burza je dužna na svojim internetskim stranicama objaviti sve podatke o uvrštenju financijskih instrumenata na redovito tržište kojim upravlja.</w:t>
      </w:r>
    </w:p>
    <w:p w14:paraId="70BA03C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Burza je dužna uspostaviti i primjenjivati mjere redovite provjere usklađenosti uvrštenih financijskih instrumenata sa zahtjevima iz članka 321. ovoga Zakona.</w:t>
      </w:r>
    </w:p>
    <w:p w14:paraId="2B2FA4A3" w14:textId="77777777" w:rsidR="006B4BB8" w:rsidRPr="000479E9" w:rsidRDefault="006B4BB8" w:rsidP="006B4BB8">
      <w:pPr>
        <w:spacing w:after="0" w:line="240" w:lineRule="auto"/>
        <w:jc w:val="both"/>
        <w:rPr>
          <w:rFonts w:ascii="Times New Roman" w:hAnsi="Times New Roman" w:cs="Times New Roman"/>
          <w:sz w:val="24"/>
          <w:szCs w:val="24"/>
        </w:rPr>
      </w:pPr>
    </w:p>
    <w:p w14:paraId="5DCBD5A8" w14:textId="77777777" w:rsidR="006B4BB8" w:rsidRPr="000479E9" w:rsidRDefault="006B4BB8" w:rsidP="00B962C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Uvrštenje vrijednosnih papira bez suglasnosti izdavatelja</w:t>
      </w:r>
    </w:p>
    <w:p w14:paraId="6FD08311" w14:textId="1478C8A9"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324.</w:t>
      </w:r>
    </w:p>
    <w:p w14:paraId="78B6CA71" w14:textId="77777777" w:rsidR="00A91B71" w:rsidRPr="000479E9" w:rsidRDefault="00A91B71" w:rsidP="00B962CA">
      <w:pPr>
        <w:spacing w:after="0" w:line="240" w:lineRule="auto"/>
        <w:jc w:val="center"/>
        <w:rPr>
          <w:rFonts w:ascii="Times New Roman" w:hAnsi="Times New Roman" w:cs="Times New Roman"/>
          <w:sz w:val="24"/>
          <w:szCs w:val="24"/>
        </w:rPr>
      </w:pPr>
    </w:p>
    <w:p w14:paraId="2D4118B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Iznimno od odredbi članka 322. stavka 2. ovoga Zakona, prenosivi vrijednosni papiri mogu biti uvršteni u trgovanje na uređenom tržištu bez obzira na suglasnost izdavatelja ako su već uvršteni na jednom od sljedećih uređenih tržišta:</w:t>
      </w:r>
    </w:p>
    <w:p w14:paraId="355EE45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na uređenom tržištu države članice ili</w:t>
      </w:r>
    </w:p>
    <w:p w14:paraId="146B146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na burzi treće zemlje, ako su zakonske odredbe treće zemlje:</w:t>
      </w:r>
    </w:p>
    <w:p w14:paraId="6AFBA19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u svezi sa zahtjevom za uvrštenje vrijednosnih papira, usporedive onima propisanim ovim Zakonom i propisima donesenim na temelju ovoga Zakona</w:t>
      </w:r>
    </w:p>
    <w:p w14:paraId="527311B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u svezi s izradom prospekta izdanja ili prospekta uvrštenja vrijednosnih papira, usporedive onima propisanim ovim Zakonom i propisima donesenim na temelju ovoga Zakona</w:t>
      </w:r>
    </w:p>
    <w:p w14:paraId="237AAC9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c) ako na toj burzi postoje pretpostavke obveze transparentnosti koje su usporedive s onima na uređenom tržištu za uvrštene vrijednosne papire i</w:t>
      </w:r>
    </w:p>
    <w:p w14:paraId="343CB96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 ako je zajamčena razmjena informacija u svrhu nadzora trgovanja s nadležnim tijelima u toj državi.</w:t>
      </w:r>
    </w:p>
    <w:p w14:paraId="18A2AC3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Kada se vrijednosni papiri uvrste na uređeno tržište, u skladu sa stavkom 1. ovoga članka, burza je dužna najkasnije u roku od tri dana od uvrštenja obavijestiti izdavatelja da se njegovim vrijednosnim papirima trguje na uređenom tržištu kojim burza upravlja.</w:t>
      </w:r>
    </w:p>
    <w:p w14:paraId="33B5B27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Kada se vrijednosni papiri uvrste na uređeno tržište, u skladu sa stavkom 1. ovoga članka, burza je dužna bez odgode izvijestiti Agenciju i javnost o uvrštenju.</w:t>
      </w:r>
    </w:p>
    <w:p w14:paraId="5C8C5C1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Kada su, u skladu sa stavkom 1. ovoga članka vrijednosni papiri uvršteni na uređeno tržište bez suglasnosti izdavatelja, isti nije obvezan objavljivati propisane informacije prema uređenom tržištu na kojem su njegovi vrijednosni papiri uvršteni bez njegove suglasnosti.</w:t>
      </w:r>
    </w:p>
    <w:p w14:paraId="0FB4D40B" w14:textId="77777777" w:rsidR="006B4BB8" w:rsidRPr="000479E9" w:rsidRDefault="006B4BB8" w:rsidP="006B4BB8">
      <w:pPr>
        <w:spacing w:after="0" w:line="240" w:lineRule="auto"/>
        <w:jc w:val="both"/>
        <w:rPr>
          <w:rFonts w:ascii="Times New Roman" w:hAnsi="Times New Roman" w:cs="Times New Roman"/>
          <w:sz w:val="24"/>
          <w:szCs w:val="24"/>
        </w:rPr>
      </w:pPr>
    </w:p>
    <w:p w14:paraId="273751A3" w14:textId="77777777" w:rsidR="006B4BB8" w:rsidRPr="000479E9" w:rsidRDefault="006B4BB8" w:rsidP="00B962C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Uvjeti za uvrštenje na službeno tržište</w:t>
      </w:r>
    </w:p>
    <w:p w14:paraId="10439111" w14:textId="7403DC2E"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325.</w:t>
      </w:r>
    </w:p>
    <w:p w14:paraId="5322C9DF" w14:textId="77777777" w:rsidR="00A91B71" w:rsidRPr="000479E9" w:rsidRDefault="00A91B71" w:rsidP="00B962CA">
      <w:pPr>
        <w:spacing w:after="0" w:line="240" w:lineRule="auto"/>
        <w:jc w:val="center"/>
        <w:rPr>
          <w:rFonts w:ascii="Times New Roman" w:hAnsi="Times New Roman" w:cs="Times New Roman"/>
          <w:sz w:val="24"/>
          <w:szCs w:val="24"/>
        </w:rPr>
      </w:pPr>
    </w:p>
    <w:p w14:paraId="0B20EB2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Vrijednosni papiri za koje se traži uvrštenje na službeno tržište moraju, osim uvjeta propisanih odredbama članka 321. ovoga Zakona, udovoljavati sljedećim dodatnim uvjetima:</w:t>
      </w:r>
    </w:p>
    <w:p w14:paraId="08EA16E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dionice i izdavatelji tih dionica, odredbama iz članaka 328. do 331. ovoga Zakona</w:t>
      </w:r>
    </w:p>
    <w:p w14:paraId="177E612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dužnički vrijednosni papiri i izdavatelji tih papira, odredbama iz članaka 332. do 337. ovoga Zakona</w:t>
      </w:r>
    </w:p>
    <w:p w14:paraId="66630EC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potvrde o deponiranim dionicama mogu biti uvrštene samo ako:</w:t>
      </w:r>
    </w:p>
    <w:p w14:paraId="013BE0A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a) izdavatelj dionica, na osnovi kojih su izdane potvrde o deponiranim dionicama, zadovoljava uvjete propisane člankom 328. ovoga Zakona</w:t>
      </w:r>
    </w:p>
    <w:p w14:paraId="7126757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b) potvrde zadovoljavaju uvjete propisane člancima 329. i 330. ovoga Zakona</w:t>
      </w:r>
    </w:p>
    <w:p w14:paraId="6B75D17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c) izdavatelj potvrda o deponiranim dionicama jamči primjerenu zaštitu ulagatelja.</w:t>
      </w:r>
    </w:p>
    <w:p w14:paraId="21F1A942" w14:textId="77777777" w:rsidR="006B4BB8" w:rsidRPr="000479E9" w:rsidRDefault="006B4BB8" w:rsidP="006B4BB8">
      <w:pPr>
        <w:spacing w:after="0" w:line="240" w:lineRule="auto"/>
        <w:jc w:val="both"/>
        <w:rPr>
          <w:rFonts w:ascii="Times New Roman" w:hAnsi="Times New Roman" w:cs="Times New Roman"/>
          <w:sz w:val="24"/>
          <w:szCs w:val="24"/>
        </w:rPr>
      </w:pPr>
    </w:p>
    <w:p w14:paraId="4EF71986" w14:textId="1A132427"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326.</w:t>
      </w:r>
    </w:p>
    <w:p w14:paraId="6B5EA87C" w14:textId="77777777" w:rsidR="00A91B71" w:rsidRPr="000479E9" w:rsidRDefault="00A91B71" w:rsidP="00B962CA">
      <w:pPr>
        <w:spacing w:after="0" w:line="240" w:lineRule="auto"/>
        <w:jc w:val="center"/>
        <w:rPr>
          <w:rFonts w:ascii="Times New Roman" w:hAnsi="Times New Roman" w:cs="Times New Roman"/>
          <w:sz w:val="24"/>
          <w:szCs w:val="24"/>
        </w:rPr>
      </w:pPr>
    </w:p>
    <w:p w14:paraId="789B0DA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trgovanje vrijednosnim papirima na službenom tržištu potrebno je odobrenje burze.</w:t>
      </w:r>
    </w:p>
    <w:p w14:paraId="6F66E58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Zahtjev za uvrštenje na službeno tržište može podnijeti izdavatelj ili osoba koju izdavatelj ovlasti.</w:t>
      </w:r>
    </w:p>
    <w:p w14:paraId="5980589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Burza će izdati odobrenje za uvrštenje na službeno tržište ako vrijednosni papiri udovoljavaju uvjetima propisanim odredbama članka 325. ovoga Zakona.</w:t>
      </w:r>
    </w:p>
    <w:p w14:paraId="2BD4608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Burza će odbiti zahtjev za uvrštenje vrijednosnog papira na službeno tržište ako predmetni vrijednosni papir i/ili izdavatelj istoga ne ispunjava uvjete ili prema podacima kojima burza raspolaže proizlazi da bi uvrštenje bilo štetno po interese ulagatelja.</w:t>
      </w:r>
    </w:p>
    <w:p w14:paraId="0D878DD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Burza može, isključivo u interesu zaštite ulagatelja, uvrštenje nekog vrijednosnog papira na službeno tržište uvjetovati bilo kojim primjerenim posebnim uvjetom.</w:t>
      </w:r>
    </w:p>
    <w:p w14:paraId="2459E59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(6) O uvjetu iz stavka 5. ovoga članka, burza će izričito obavijestiti podnositelja zahtjeva.</w:t>
      </w:r>
    </w:p>
    <w:p w14:paraId="27C9ECA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Kada se zahtjev za uvrštenje na službeno tržište odnosi na vrijednosne papire koji su već uvršteni na uređeno tržište neke druge države članice, burza može odbiti zahtjev ako izdavatelj vrijednosnih papira ne ispunjava svoje obveze koje proizlaze iz uvrštenja na predmetno uređeno tržište.</w:t>
      </w:r>
    </w:p>
    <w:p w14:paraId="0888CD3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Odredba stavka 7. ovoga članka na odgovarajući se način primjenjuje na zahtjev koji se odnosi na uvrštenje na redovito tržište.</w:t>
      </w:r>
    </w:p>
    <w:p w14:paraId="033564D7" w14:textId="77777777" w:rsidR="006B4BB8" w:rsidRPr="000479E9" w:rsidRDefault="006B4BB8" w:rsidP="006B4BB8">
      <w:pPr>
        <w:spacing w:after="0" w:line="240" w:lineRule="auto"/>
        <w:jc w:val="both"/>
        <w:rPr>
          <w:rFonts w:ascii="Times New Roman" w:hAnsi="Times New Roman" w:cs="Times New Roman"/>
          <w:sz w:val="24"/>
          <w:szCs w:val="24"/>
        </w:rPr>
      </w:pPr>
    </w:p>
    <w:p w14:paraId="326A45E0" w14:textId="77777777" w:rsidR="006B4BB8" w:rsidRPr="000479E9" w:rsidRDefault="006B4BB8" w:rsidP="00B962CA">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Odlučivanje o uvrštenju na službeno tržište</w:t>
      </w:r>
    </w:p>
    <w:p w14:paraId="32077DF1" w14:textId="1C7D6458" w:rsidR="006B4BB8" w:rsidRPr="000479E9" w:rsidRDefault="006B4BB8" w:rsidP="00B962CA">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327.</w:t>
      </w:r>
    </w:p>
    <w:p w14:paraId="117F3700" w14:textId="77777777" w:rsidR="00A91B71" w:rsidRPr="000479E9" w:rsidRDefault="00A91B71" w:rsidP="00B962CA">
      <w:pPr>
        <w:spacing w:after="0" w:line="240" w:lineRule="auto"/>
        <w:jc w:val="center"/>
        <w:rPr>
          <w:rFonts w:ascii="Times New Roman" w:hAnsi="Times New Roman" w:cs="Times New Roman"/>
          <w:sz w:val="24"/>
          <w:szCs w:val="24"/>
        </w:rPr>
      </w:pPr>
    </w:p>
    <w:p w14:paraId="64774FA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Burza je dužna svojim pravilima propisati kada će se zahtjev iz članka 326. stavka 2. ovoga Zakona smatrati urednim.</w:t>
      </w:r>
    </w:p>
    <w:p w14:paraId="5038AAD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Burza je dužna obavijestiti Agenciju o svakom zaprimljenom zahtjevu za uvrštenje vrijednosnih papira, kao i o svojoj odluci u svezi s uvrštenjem ili odbijanjem zahtjeva za uvrštenje.</w:t>
      </w:r>
    </w:p>
    <w:p w14:paraId="28FED1C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Burza je dužna na svojim internetskim stranicama objaviti sve podatke o uvrštenju vrijednosnih papira na službeno tržište kojim upravlja.</w:t>
      </w:r>
    </w:p>
    <w:p w14:paraId="52C2605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Burza je dužna podnositelja zahtjeva iz članka 326. stavka 2. ovoga Zakona obavijestiti o odluci u roku od 30 dana od zaprimanja zahtjeva, a u izvanrednim slučajevima u roku od 60 dana.</w:t>
      </w:r>
    </w:p>
    <w:p w14:paraId="05F6A10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Ako odluka burze ne bude donesena u roku iz stavka 4. ovoga članka, smatra se da je zahtjev odbijen. Takvo odbijanje otvara mogućnost pravnog lijeka nadležnom trgovačkom sudu.</w:t>
      </w:r>
    </w:p>
    <w:p w14:paraId="618D5972" w14:textId="77777777" w:rsidR="006B4BB8" w:rsidRPr="000479E9" w:rsidRDefault="006B4BB8" w:rsidP="006B4BB8">
      <w:pPr>
        <w:spacing w:after="0" w:line="240" w:lineRule="auto"/>
        <w:jc w:val="both"/>
        <w:rPr>
          <w:rFonts w:ascii="Times New Roman" w:hAnsi="Times New Roman" w:cs="Times New Roman"/>
          <w:sz w:val="24"/>
          <w:szCs w:val="24"/>
        </w:rPr>
      </w:pPr>
    </w:p>
    <w:p w14:paraId="06AD4F92" w14:textId="03ECB132"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ODJELJAK 2.</w:t>
      </w:r>
    </w:p>
    <w:p w14:paraId="41D24FC2" w14:textId="77777777" w:rsidR="006B4BB8" w:rsidRPr="000479E9" w:rsidRDefault="006B4BB8" w:rsidP="006B4BB8">
      <w:pPr>
        <w:spacing w:after="0" w:line="240" w:lineRule="auto"/>
        <w:jc w:val="center"/>
        <w:rPr>
          <w:rFonts w:ascii="Times New Roman" w:hAnsi="Times New Roman" w:cs="Times New Roman"/>
          <w:sz w:val="24"/>
          <w:szCs w:val="24"/>
        </w:rPr>
      </w:pPr>
    </w:p>
    <w:p w14:paraId="3C4A9666" w14:textId="77777777"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Posebne odredbe za uvrštenje dionica</w:t>
      </w:r>
    </w:p>
    <w:p w14:paraId="1478A77E" w14:textId="77777777" w:rsidR="006B4BB8" w:rsidRPr="000479E9" w:rsidRDefault="006B4BB8" w:rsidP="006B4BB8">
      <w:pPr>
        <w:spacing w:after="0" w:line="240" w:lineRule="auto"/>
        <w:jc w:val="center"/>
        <w:rPr>
          <w:rFonts w:ascii="Times New Roman" w:hAnsi="Times New Roman" w:cs="Times New Roman"/>
          <w:b/>
          <w:sz w:val="24"/>
          <w:szCs w:val="24"/>
        </w:rPr>
      </w:pPr>
    </w:p>
    <w:p w14:paraId="73BE377B"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Uvjeti koje moraju ispunjavati izdavatelji za čije je dionice podnesen zahtjev za uvrštenje na službeno tržište</w:t>
      </w:r>
    </w:p>
    <w:p w14:paraId="6363580D" w14:textId="4E84E699"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328.</w:t>
      </w:r>
    </w:p>
    <w:p w14:paraId="5B8F636E" w14:textId="77777777" w:rsidR="00A91B71" w:rsidRPr="000479E9" w:rsidRDefault="00A91B71" w:rsidP="006B4BB8">
      <w:pPr>
        <w:spacing w:after="0" w:line="240" w:lineRule="auto"/>
        <w:jc w:val="center"/>
        <w:rPr>
          <w:rFonts w:ascii="Times New Roman" w:hAnsi="Times New Roman" w:cs="Times New Roman"/>
          <w:sz w:val="24"/>
          <w:szCs w:val="24"/>
        </w:rPr>
      </w:pPr>
    </w:p>
    <w:p w14:paraId="7535D9F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Pravni položaj izdavatelja mora biti u skladu s propisima države sjedišta, a osobito u pogledu osnivanja i poslovanja.</w:t>
      </w:r>
    </w:p>
    <w:p w14:paraId="2DF8B50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Očekivana tržišna kapitalizacija dionica za čije je uvrštenje podnesen zahtjev mora iznositi najmanje 1.000.000,00 eura.</w:t>
      </w:r>
    </w:p>
    <w:p w14:paraId="39447EA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se očekivana tržišna kapitalizacija iz stavka 2. ovoga članka ne može procijeniti, kapital i rezerve društva, uključujući dobit ili gubitak financijske godine koja prethodi podnošenju zahtjeva, moraju iznositi najmanje 1.000.000,00 eura.</w:t>
      </w:r>
    </w:p>
    <w:p w14:paraId="13BC2C6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Burza može odobriti uvrštenje na službeno tržište i bez ispunjavanja uvjeta iz stavaka 2. i 3. ovoga članka, ako smatra da će postojati odgovarajuće tržište za navedene dionice.</w:t>
      </w:r>
    </w:p>
    <w:p w14:paraId="350053C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(5) Uvjeti propisani stavcima 1. i 2. ovoga članka neće se primjenjivati pri uvrštenju na službeno tržište novoga bloka dionica istog roda, kao i one koje su već uvrštene.</w:t>
      </w:r>
    </w:p>
    <w:p w14:paraId="689B6D8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Izdavatelj mora imati objavljene ili podnesene godišnje financijske izvještaje u skladu sa zakonodavstvom države sjedišta izdavatelja za tri poslovne godine koje prethode podnošenju zahtjeva za uvrštenje na službeno tržište.</w:t>
      </w:r>
    </w:p>
    <w:p w14:paraId="2DC6E67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Iznimno, burza je ovlaštena odobriti uvrštenje dionica izdavatelja koji ne ispunjavaju uvjete iz stavka 6. ovoga članka, ako burza smatra da ulagatelji imaju podatke potrebne za procjenu izdavatelja i dionica za koje se traži uvrštenje na službeno tržište te ako je to ili u interesu izdavatelja ili u interesu ulagatelja.</w:t>
      </w:r>
    </w:p>
    <w:p w14:paraId="4284ED3A" w14:textId="77777777" w:rsidR="006B4BB8" w:rsidRPr="000479E9" w:rsidRDefault="006B4BB8" w:rsidP="006B4BB8">
      <w:pPr>
        <w:spacing w:after="0" w:line="240" w:lineRule="auto"/>
        <w:jc w:val="both"/>
        <w:rPr>
          <w:rFonts w:ascii="Times New Roman" w:hAnsi="Times New Roman" w:cs="Times New Roman"/>
          <w:sz w:val="24"/>
          <w:szCs w:val="24"/>
        </w:rPr>
      </w:pPr>
    </w:p>
    <w:p w14:paraId="008D9D2C"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Uvjeti koje moraju ispunjavati dionice za koje je podnesen zahtjev za uvrštenje na službeno tržište</w:t>
      </w:r>
    </w:p>
    <w:p w14:paraId="53D33EF4" w14:textId="2BCC8F05"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329.</w:t>
      </w:r>
    </w:p>
    <w:p w14:paraId="61978755" w14:textId="77777777" w:rsidR="00A91B71" w:rsidRPr="000479E9" w:rsidRDefault="00A91B71" w:rsidP="006B4BB8">
      <w:pPr>
        <w:spacing w:after="0" w:line="240" w:lineRule="auto"/>
        <w:jc w:val="center"/>
        <w:rPr>
          <w:rFonts w:ascii="Times New Roman" w:hAnsi="Times New Roman" w:cs="Times New Roman"/>
          <w:sz w:val="24"/>
          <w:szCs w:val="24"/>
        </w:rPr>
      </w:pPr>
    </w:p>
    <w:p w14:paraId="6A2309A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Ako uvrštenju na službeno tržište prethodi javna ponuda, prvo uvrštenje na službeno tržište, može se izvršiti tek protekom razdoblja upisa i uplate u javnoj ponudi.</w:t>
      </w:r>
    </w:p>
    <w:p w14:paraId="5D36505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Prije uvrštenja dionica na službeno tržište dostatan broj dionica mora biti distribuiran javnosti.</w:t>
      </w:r>
    </w:p>
    <w:p w14:paraId="07B5F3E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se dionice distribuiraju javnosti putem uređenog tržišta, uvrštenje na službeno tržište može se odobriti i bez ispunjavanja uvjeta iz stavka 2. ovoga članka, samo ako burza smatra da će dostatan broj dionica biti distribuiran putem uređenog tržišta u kratkom vremenskom razdoblju.</w:t>
      </w:r>
    </w:p>
    <w:p w14:paraId="6A5B936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Kada se zahtjev za uvrštenje na službeno tržište podnosi za novi blok dionica istoga roda, procjena burze iz stavka 3. ovoga članka u svezi s dostatnim brojem dionica distribuiranog javnosti, može se odnositi na sve izdane dionice, a ne samo na navedeni novi blok.</w:t>
      </w:r>
    </w:p>
    <w:p w14:paraId="5632BB1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Burza može odobriti zahtjev za uvrštenje na službeno tržište dionica onih izdavatelja čije su dionice već uvrštene na službeno tržište u trećoj zemlji, ako je dostatan broj dionica distribuiran javnosti u trećoj zemlji ili državi u kojoj su navedene dionice uvrštene na službeno tržište.</w:t>
      </w:r>
    </w:p>
    <w:p w14:paraId="734172E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U smislu ove glave Zakona smatra se da je dostatan broj dionica distribuiran javnosti ako:</w:t>
      </w:r>
    </w:p>
    <w:p w14:paraId="30E1A4D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se najmanje 25 % roda dionica za koje je podnesen zahtjev za uvrštenje nalazi u rukama javnosti ili</w:t>
      </w:r>
    </w:p>
    <w:p w14:paraId="5B7DAA7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obzirom na velik broj dionica istoga roda i postotak distribucije javnosti, tržište može uredno funkcionirati i ako je manji postotak dionica u rukama javnosti.</w:t>
      </w:r>
    </w:p>
    <w:p w14:paraId="7F007ED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Burza svojim pravilima propisuje koje se dionice ne smatraju dionicama distribuiranima javnosti.</w:t>
      </w:r>
    </w:p>
    <w:p w14:paraId="510E535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Zahtjev za uvrštenje na službeno tržište mora se odnositi na sve već izdane dionice istoga roda.</w:t>
      </w:r>
    </w:p>
    <w:p w14:paraId="2D9F559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Iznimno od stavka 8. ovoga članka, zahtjev za uvrštenje ne mora se odnositi na dionice koje:</w:t>
      </w:r>
    </w:p>
    <w:p w14:paraId="54A2814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pripadaju paketima koji služe za održavanje kontrole nad društvom ili</w:t>
      </w:r>
    </w:p>
    <w:p w14:paraId="7946665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na temelju ugovora nisu prenosive u određenom vremenskom razdoblju, pod uvjetom da je javnost obaviještena o okolnostima iz točaka 1. i 2. ovoga stavka te da interesi vlasnika dionica za koje je podnesen zahtjev za uvrštenje neće biti oštećeni.</w:t>
      </w:r>
    </w:p>
    <w:p w14:paraId="1CD0365A" w14:textId="77777777" w:rsidR="006B4BB8" w:rsidRPr="000479E9" w:rsidRDefault="006B4BB8" w:rsidP="006B4BB8">
      <w:pPr>
        <w:spacing w:after="0" w:line="240" w:lineRule="auto"/>
        <w:jc w:val="both"/>
        <w:rPr>
          <w:rFonts w:ascii="Times New Roman" w:hAnsi="Times New Roman" w:cs="Times New Roman"/>
          <w:sz w:val="24"/>
          <w:szCs w:val="24"/>
        </w:rPr>
      </w:pPr>
    </w:p>
    <w:p w14:paraId="7AC1D729"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Uvrštenje na službeno tržište dionica u materijaliziranom obliku izdavatelja sa sjedištem u drugoj državi članice</w:t>
      </w:r>
    </w:p>
    <w:p w14:paraId="79683022" w14:textId="65980CA6"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330.</w:t>
      </w:r>
    </w:p>
    <w:p w14:paraId="152A34DE" w14:textId="77777777" w:rsidR="00A91B71" w:rsidRPr="000479E9" w:rsidRDefault="00A91B71" w:rsidP="006B4BB8">
      <w:pPr>
        <w:spacing w:after="0" w:line="240" w:lineRule="auto"/>
        <w:jc w:val="center"/>
        <w:rPr>
          <w:rFonts w:ascii="Times New Roman" w:hAnsi="Times New Roman" w:cs="Times New Roman"/>
          <w:sz w:val="24"/>
          <w:szCs w:val="24"/>
        </w:rPr>
      </w:pPr>
    </w:p>
    <w:p w14:paraId="2D0B8C7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uvrštenje na službeno tržište dionica u materijaliziranom obliku izdavatelja sa sjedištem u drugoj državi članici potrebno je da njihov materijalizirani oblik bude u skladu sa standardima propisanima u toj drugoj državi članici.</w:t>
      </w:r>
    </w:p>
    <w:p w14:paraId="2F17FA9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materijalizirani oblik nije u skladu s propisima Republike Hrvatske, burza objavljuje tu činjenicu javnosti.</w:t>
      </w:r>
    </w:p>
    <w:p w14:paraId="45F5FC8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Za uvrštenje na službeno tržište dionica u materijaliziranom obliku izdavatelja sa sjedištem u trećoj zemlji, materijalizirani oblik dionica mora osigurati dostatnu zaštitu ulagatelja.</w:t>
      </w:r>
    </w:p>
    <w:p w14:paraId="08E68AD0" w14:textId="77777777" w:rsidR="006B4BB8" w:rsidRPr="000479E9" w:rsidRDefault="006B4BB8" w:rsidP="006B4BB8">
      <w:pPr>
        <w:spacing w:after="0" w:line="240" w:lineRule="auto"/>
        <w:jc w:val="both"/>
        <w:rPr>
          <w:rFonts w:ascii="Times New Roman" w:hAnsi="Times New Roman" w:cs="Times New Roman"/>
          <w:sz w:val="24"/>
          <w:szCs w:val="24"/>
        </w:rPr>
      </w:pPr>
    </w:p>
    <w:p w14:paraId="0F67FC05"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Posebne odredbe u svezi s izdavateljem iz treće zemlje</w:t>
      </w:r>
    </w:p>
    <w:p w14:paraId="233C16F9" w14:textId="195464D5"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331.</w:t>
      </w:r>
    </w:p>
    <w:p w14:paraId="55ACFE3E" w14:textId="77777777" w:rsidR="00A91B71" w:rsidRPr="000479E9" w:rsidRDefault="00A91B71" w:rsidP="006B4BB8">
      <w:pPr>
        <w:spacing w:after="0" w:line="240" w:lineRule="auto"/>
        <w:jc w:val="center"/>
        <w:rPr>
          <w:rFonts w:ascii="Times New Roman" w:hAnsi="Times New Roman" w:cs="Times New Roman"/>
          <w:sz w:val="24"/>
          <w:szCs w:val="24"/>
        </w:rPr>
      </w:pPr>
    </w:p>
    <w:p w14:paraId="534A090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Dionice izdavatelja sa sjedištem u trećoj zemlji, a koje nisu uvrštene niti u državi sjedišta niti u državi u kojoj se drži većina dionica, mogu se uvrstiti na službeno tržište samo ako burza smatra da razlozi ne uvrštenja u državi sjedišta ili u državi u kojoj se drži većina dionica nisu vezani uz zaštitu ulagatelja.</w:t>
      </w:r>
    </w:p>
    <w:p w14:paraId="5A4A1335" w14:textId="77777777" w:rsidR="006B4BB8" w:rsidRPr="000479E9" w:rsidRDefault="006B4BB8" w:rsidP="006B4BB8">
      <w:pPr>
        <w:spacing w:after="0" w:line="240" w:lineRule="auto"/>
        <w:jc w:val="both"/>
        <w:rPr>
          <w:rFonts w:ascii="Times New Roman" w:hAnsi="Times New Roman" w:cs="Times New Roman"/>
          <w:sz w:val="24"/>
          <w:szCs w:val="24"/>
        </w:rPr>
      </w:pPr>
    </w:p>
    <w:p w14:paraId="66CFD023"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Posebne odredbe za uvrštenje dužničkih vrijednosnih papira</w:t>
      </w:r>
    </w:p>
    <w:p w14:paraId="4D70C088" w14:textId="77777777"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332.</w:t>
      </w:r>
    </w:p>
    <w:p w14:paraId="7996F7D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Dužnički vrijednosni papiri za koje je podnesen zahtjev za uvrštenje na službeno tržište moraju oblikom i sadržajem biti u skladu s propisima koji se na njih odnose i slobodno prenosivi.</w:t>
      </w:r>
    </w:p>
    <w:p w14:paraId="2FB0176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Iznimno od stavka 1. ovoga članka burza može slobodno prenosivima smatrati i dužničke vrijednosne papire koji nisu u potpunosti uplaćeni ako postoje mehanizmi koji osiguravaju da prenosivost takvih dužničkih vrijednosnih papira nije ograničena i ako je omogućeno transparentno i uredno trgovanje navođenjem odgovarajućih podataka javnosti.</w:t>
      </w:r>
    </w:p>
    <w:p w14:paraId="117DB75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uvrštenju na službeno tržište prethodi javna ponuda, prvo uvrštenje na službeno tržište može se izvršiti tek protekom razdoblja upisa i uplate u javnoj ponudi.</w:t>
      </w:r>
    </w:p>
    <w:p w14:paraId="1EEF229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Odredbe stavka 3. ovoga članka neće se primjenjivati u slučaju ponavljajućih izdanja dužničkih vrijednosnih papira kod kojih nije utvrđen datum završetka razdoblja upisa tih vrijednosnih papira.</w:t>
      </w:r>
    </w:p>
    <w:p w14:paraId="570E546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Zahtjev za uvrštenje na službeno tržište mora se odnositi na sve jednako rangirane dužničke vrijednosne papire.</w:t>
      </w:r>
    </w:p>
    <w:p w14:paraId="5BC95FBE" w14:textId="77777777" w:rsidR="006B4BB8" w:rsidRPr="000479E9" w:rsidRDefault="006B4BB8" w:rsidP="006B4BB8">
      <w:pPr>
        <w:spacing w:after="0" w:line="240" w:lineRule="auto"/>
        <w:jc w:val="both"/>
        <w:rPr>
          <w:rFonts w:ascii="Times New Roman" w:hAnsi="Times New Roman" w:cs="Times New Roman"/>
          <w:sz w:val="24"/>
          <w:szCs w:val="24"/>
        </w:rPr>
      </w:pPr>
    </w:p>
    <w:p w14:paraId="576AD1D1"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Uvrštenje na službeno tržište dužničkih vrijednosnih papira u materijaliziranom obliku izdavatelja iz druge države članice</w:t>
      </w:r>
    </w:p>
    <w:p w14:paraId="380017F1" w14:textId="28447E99"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lastRenderedPageBreak/>
        <w:t>Članak 333.</w:t>
      </w:r>
    </w:p>
    <w:p w14:paraId="66B970B9" w14:textId="77777777" w:rsidR="00A91B71" w:rsidRPr="000479E9" w:rsidRDefault="00A91B71" w:rsidP="006B4BB8">
      <w:pPr>
        <w:spacing w:after="0" w:line="240" w:lineRule="auto"/>
        <w:jc w:val="center"/>
        <w:rPr>
          <w:rFonts w:ascii="Times New Roman" w:hAnsi="Times New Roman" w:cs="Times New Roman"/>
          <w:sz w:val="24"/>
          <w:szCs w:val="24"/>
        </w:rPr>
      </w:pPr>
    </w:p>
    <w:p w14:paraId="76A34A4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uvrštenje na službeno tržište dužničkih vrijednosnih papira u materijaliziranom obliku izdavatelja iz druge države članice, potrebno je da njihov materijalizirani oblik bude u skladu sa standardima propisanima u toj drugoj državi članici.</w:t>
      </w:r>
    </w:p>
    <w:p w14:paraId="716625F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materijalizirani oblik nije u skladu s propisima Republike Hrvatske, burza objavljuje tu činjenicu javnosti.</w:t>
      </w:r>
    </w:p>
    <w:p w14:paraId="76CB655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Materijalizirani oblik dužničkih vrijednosnih papira izdanih u jednoj državi članici mora odgovarati standardima koji su na snazi u toj državi članici.</w:t>
      </w:r>
    </w:p>
    <w:p w14:paraId="73FBE17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Materijalizirani oblik dužničkih vrijednosnih papira izdavatelja iz treće zemlje, mora osigurati dostatnu zaštitu ulagatelja.</w:t>
      </w:r>
    </w:p>
    <w:p w14:paraId="2105A637" w14:textId="77777777" w:rsidR="006B4BB8" w:rsidRPr="000479E9" w:rsidRDefault="006B4BB8" w:rsidP="006B4BB8">
      <w:pPr>
        <w:spacing w:after="0" w:line="240" w:lineRule="auto"/>
        <w:jc w:val="both"/>
        <w:rPr>
          <w:rFonts w:ascii="Times New Roman" w:hAnsi="Times New Roman" w:cs="Times New Roman"/>
          <w:sz w:val="24"/>
          <w:szCs w:val="24"/>
        </w:rPr>
      </w:pPr>
    </w:p>
    <w:p w14:paraId="70C65BED"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Ostali uvjeti</w:t>
      </w:r>
    </w:p>
    <w:p w14:paraId="04C18C09" w14:textId="4F133AEB"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334.</w:t>
      </w:r>
    </w:p>
    <w:p w14:paraId="2FC822B0" w14:textId="77777777" w:rsidR="00A91B71" w:rsidRPr="000479E9" w:rsidRDefault="00A91B71" w:rsidP="006B4BB8">
      <w:pPr>
        <w:spacing w:after="0" w:line="240" w:lineRule="auto"/>
        <w:jc w:val="center"/>
        <w:rPr>
          <w:rFonts w:ascii="Times New Roman" w:hAnsi="Times New Roman" w:cs="Times New Roman"/>
          <w:sz w:val="24"/>
          <w:szCs w:val="24"/>
        </w:rPr>
      </w:pPr>
    </w:p>
    <w:p w14:paraId="1025EF5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Nominalni iznos izdanja za dužničke vrijednosne papire za koji je podnesen zahtjev za uvrštenje na službeno tržište ne može biti manji od 200.000,00 eura.</w:t>
      </w:r>
    </w:p>
    <w:p w14:paraId="1A5BADA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Odredba iz stavka 1. ovoga članka ne primjenjuje se u slučaju ponavljajućih izdanja dužničkih vrijednosnih papira za koje nominalni iznos izdanja nije unaprijed utvrđen.</w:t>
      </w:r>
    </w:p>
    <w:p w14:paraId="4A22B437" w14:textId="77777777" w:rsidR="006B4BB8" w:rsidRPr="000479E9" w:rsidRDefault="006B4BB8" w:rsidP="006B4BB8">
      <w:pPr>
        <w:spacing w:after="0" w:line="240" w:lineRule="auto"/>
        <w:jc w:val="both"/>
        <w:rPr>
          <w:rFonts w:ascii="Times New Roman" w:hAnsi="Times New Roman" w:cs="Times New Roman"/>
          <w:sz w:val="24"/>
          <w:szCs w:val="24"/>
        </w:rPr>
      </w:pPr>
    </w:p>
    <w:p w14:paraId="3068912D"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Zamjenjivi dužnički vrijednosni papiri i dužnički vrijednosni papiri s varantima</w:t>
      </w:r>
    </w:p>
    <w:p w14:paraId="3696341B" w14:textId="745649AE"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335.</w:t>
      </w:r>
    </w:p>
    <w:p w14:paraId="2D55926C" w14:textId="77777777" w:rsidR="00A91B71" w:rsidRPr="000479E9" w:rsidRDefault="00A91B71" w:rsidP="006B4BB8">
      <w:pPr>
        <w:spacing w:after="0" w:line="240" w:lineRule="auto"/>
        <w:jc w:val="center"/>
        <w:rPr>
          <w:rFonts w:ascii="Times New Roman" w:hAnsi="Times New Roman" w:cs="Times New Roman"/>
          <w:sz w:val="24"/>
          <w:szCs w:val="24"/>
        </w:rPr>
      </w:pPr>
    </w:p>
    <w:p w14:paraId="3B59B19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Zamjenjivi dužnički vrijednosni papiri i dužnički vrijednosni papiri s varantima mogu se uvrstiti na službeno tržište samo ako:</w:t>
      </w:r>
    </w:p>
    <w:p w14:paraId="7AFF007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se odnose na dionice koje su već uvrštene na isto uređeno tržište</w:t>
      </w:r>
    </w:p>
    <w:p w14:paraId="23C2A74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se odnose na dionice koje su već uvrštene na neko drugo uređeno tržište ili</w:t>
      </w:r>
    </w:p>
    <w:p w14:paraId="7D994AC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se uvrštavaju istodobno s dionicama na koje se odnose.</w:t>
      </w:r>
    </w:p>
    <w:p w14:paraId="7CD5ABC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Burza može odobriti uvrštenje na službeno tržište dužničkih vrijednosnih papira iz stavka 1. ovoga članka, samo ako smatra da su njihovim imateljima na raspolaganju svi podaci koji su im potrebni za procjenu vrijednosti dionica na koje se navedeni dužnički vrijednosni papiri odnose.</w:t>
      </w:r>
    </w:p>
    <w:p w14:paraId="2C2BA6DE" w14:textId="77777777" w:rsidR="006B4BB8" w:rsidRPr="000479E9" w:rsidRDefault="006B4BB8" w:rsidP="006B4BB8">
      <w:pPr>
        <w:spacing w:after="0" w:line="240" w:lineRule="auto"/>
        <w:jc w:val="both"/>
        <w:rPr>
          <w:rFonts w:ascii="Times New Roman" w:hAnsi="Times New Roman" w:cs="Times New Roman"/>
          <w:sz w:val="24"/>
          <w:szCs w:val="24"/>
        </w:rPr>
      </w:pPr>
    </w:p>
    <w:p w14:paraId="21AD67B2"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Posebne odredbe za uvrštenje dužničkih vrijednosnih papira koje izdaje država, regionalne ili lokalne vlasti ili međunarodna javna tijela</w:t>
      </w:r>
    </w:p>
    <w:p w14:paraId="146FD15D" w14:textId="2C1FFEB0"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336.</w:t>
      </w:r>
    </w:p>
    <w:p w14:paraId="627A6F97" w14:textId="77777777" w:rsidR="00A91B71" w:rsidRPr="000479E9" w:rsidRDefault="00A91B71" w:rsidP="006B4BB8">
      <w:pPr>
        <w:spacing w:after="0" w:line="240" w:lineRule="auto"/>
        <w:jc w:val="center"/>
        <w:rPr>
          <w:rFonts w:ascii="Times New Roman" w:hAnsi="Times New Roman" w:cs="Times New Roman"/>
          <w:sz w:val="24"/>
          <w:szCs w:val="24"/>
        </w:rPr>
      </w:pPr>
    </w:p>
    <w:p w14:paraId="20BF8B0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Kada uvrštenju na službeno tržište prethodi javna ponuda, prvo uvrštenje na službeno tržište može se izvršiti tek protekom razdoblja upisa i uplate u javnoj ponudi.</w:t>
      </w:r>
    </w:p>
    <w:p w14:paraId="6F44F51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Odredbe stavka 1. ovoga članka ne odnose se na upise kod kojih nije utvrđen datum završetka razdoblja upisa tih vrijednosnih papira.</w:t>
      </w:r>
    </w:p>
    <w:p w14:paraId="437A542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Zahtjev za uvrštenje na službeno tržište mora se odnositi na sve vrijednosne papire istoga ranga.</w:t>
      </w:r>
    </w:p>
    <w:p w14:paraId="46FA76CA" w14:textId="77777777" w:rsidR="006B4BB8" w:rsidRPr="000479E9" w:rsidRDefault="006B4BB8" w:rsidP="006B4BB8">
      <w:pPr>
        <w:spacing w:after="0" w:line="240" w:lineRule="auto"/>
        <w:jc w:val="both"/>
        <w:rPr>
          <w:rFonts w:ascii="Times New Roman" w:hAnsi="Times New Roman" w:cs="Times New Roman"/>
          <w:sz w:val="24"/>
          <w:szCs w:val="24"/>
        </w:rPr>
      </w:pPr>
    </w:p>
    <w:p w14:paraId="11AC0671"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lastRenderedPageBreak/>
        <w:t>Uvrštenje na službeno tržište dužničkih vrijednosnih papira, koje je izdala država članica ili njezina regionalna ili lokalna tijela u materijaliziranom obliku</w:t>
      </w:r>
    </w:p>
    <w:p w14:paraId="0F7FD57A" w14:textId="7213062E"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337.</w:t>
      </w:r>
    </w:p>
    <w:p w14:paraId="5EE1019A" w14:textId="77777777" w:rsidR="00A91B71" w:rsidRPr="000479E9" w:rsidRDefault="00A91B71" w:rsidP="006B4BB8">
      <w:pPr>
        <w:spacing w:after="0" w:line="240" w:lineRule="auto"/>
        <w:jc w:val="center"/>
        <w:rPr>
          <w:rFonts w:ascii="Times New Roman" w:hAnsi="Times New Roman" w:cs="Times New Roman"/>
          <w:sz w:val="24"/>
          <w:szCs w:val="24"/>
        </w:rPr>
      </w:pPr>
    </w:p>
    <w:p w14:paraId="362D542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uvrštenje na službeno tržište dužničkih vrijednosnih papira, koje je izdala država članica ili njezina regionalna ili lokalna tijela u materijaliziranom obliku, potrebno je da njihov materijalizirani oblik bude u skladu sa standardima propisanim u toj državi članici.</w:t>
      </w:r>
    </w:p>
    <w:p w14:paraId="04033EA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materijalizirani oblik vrijednosnih papira nije u skladu s propisima Republike Hrvatske, burza objavljuje tu činjenicu javnosti.</w:t>
      </w:r>
    </w:p>
    <w:p w14:paraId="0B87739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Materijalizirani oblik dužničkih vrijednosnih papira koje je izdala treća zemlja ili njezina regionalna ili lokalna tijela ili javna međunarodna tijela mora osigurati dostatnu zaštitu ulagatelja.</w:t>
      </w:r>
    </w:p>
    <w:p w14:paraId="666B6444" w14:textId="77777777" w:rsidR="006B4BB8" w:rsidRPr="000479E9" w:rsidRDefault="006B4BB8" w:rsidP="006B4BB8">
      <w:pPr>
        <w:spacing w:after="0" w:line="240" w:lineRule="auto"/>
        <w:jc w:val="both"/>
        <w:rPr>
          <w:rFonts w:ascii="Times New Roman" w:hAnsi="Times New Roman" w:cs="Times New Roman"/>
          <w:sz w:val="24"/>
          <w:szCs w:val="24"/>
        </w:rPr>
      </w:pPr>
    </w:p>
    <w:p w14:paraId="40F265CF"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Obveze izdavatelja čiji su vrijednosni papiri uvršteni na službeno tržište te izdavatelja čiji su vrijednosni papiri uvršteni na posebne segmente uređenog tržišta</w:t>
      </w:r>
    </w:p>
    <w:p w14:paraId="2E389FA0" w14:textId="27BD5F0C"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338.</w:t>
      </w:r>
    </w:p>
    <w:p w14:paraId="26F418A4" w14:textId="77777777" w:rsidR="00A91B71" w:rsidRPr="000479E9" w:rsidRDefault="00A91B71" w:rsidP="006B4BB8">
      <w:pPr>
        <w:spacing w:after="0" w:line="240" w:lineRule="auto"/>
        <w:jc w:val="center"/>
        <w:rPr>
          <w:rFonts w:ascii="Times New Roman" w:hAnsi="Times New Roman" w:cs="Times New Roman"/>
          <w:sz w:val="24"/>
          <w:szCs w:val="24"/>
        </w:rPr>
      </w:pPr>
    </w:p>
    <w:p w14:paraId="4D50866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Prilikom nove javne ponude dionica koje su istoga roda kao i dionice već uvrštene na službeno tržište izdavatelj je dužan, osim za dionice za koje postoji iznimka od obveze uvrštenja iz članka 329. stavka 9. ovoga Zakona, podnijeti zahtjev za njihovo uvrštenje na službeno tržište, najkasnije u roku od jedne godine od njihova izdavanja ili kada postanu slobodno prenosive.</w:t>
      </w:r>
    </w:p>
    <w:p w14:paraId="25410FF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Burza može unutar svojih pravila i za druge segmente uređenog tržišta, a koji sadrže strože uvjete u svezi s uvrštenjem i zaštitom ulagatelja, a na koji bi se izdavatelji mogli dobrovoljno uvrstiti, propisati obvezu istovjetnu onoj iz stavka 1. ovoga članka, a koja bi se odnosila na takav drugi segment uređenog tržišta.</w:t>
      </w:r>
    </w:p>
    <w:p w14:paraId="4C0F05F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Burza je unutar svojih pravila dužna propisati sankcije, uključujući i novčane sankcije, za one izdavatelje koji ne postupe sukladno stavku 1. ovoga članka.</w:t>
      </w:r>
    </w:p>
    <w:p w14:paraId="7764E99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Odredbe stavka 3. ovoga članka primjenjuje se na odgovarajući način kada burza u svojim pravilima primijeni mogućnost iz stavka 2. ovoga članka.</w:t>
      </w:r>
    </w:p>
    <w:p w14:paraId="28D4B97D" w14:textId="537D3A1F" w:rsidR="2B3481CE" w:rsidRPr="000479E9" w:rsidRDefault="2B3481CE" w:rsidP="2B3481CE">
      <w:pPr>
        <w:spacing w:after="0" w:line="240" w:lineRule="auto"/>
        <w:jc w:val="both"/>
        <w:rPr>
          <w:rFonts w:ascii="Times New Roman" w:hAnsi="Times New Roman" w:cs="Times New Roman"/>
          <w:sz w:val="24"/>
          <w:szCs w:val="24"/>
        </w:rPr>
      </w:pPr>
    </w:p>
    <w:p w14:paraId="271BAFA0" w14:textId="27E19A0D" w:rsidR="0DA1D1B0" w:rsidRPr="000479E9" w:rsidRDefault="0DA1D1B0"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Obveze izdavatelja čiji su vrijednosni papiri uvršteni na uređeno tržište</w:t>
      </w:r>
    </w:p>
    <w:p w14:paraId="289F7D47" w14:textId="3D308E50" w:rsidR="0DA1D1B0" w:rsidRPr="000479E9" w:rsidRDefault="0DA1D1B0"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339. </w:t>
      </w:r>
    </w:p>
    <w:p w14:paraId="00D81D6C" w14:textId="2850B491" w:rsidR="2B3481CE" w:rsidRPr="000479E9" w:rsidRDefault="2B3481CE" w:rsidP="2B3481CE">
      <w:pPr>
        <w:spacing w:after="0" w:line="240" w:lineRule="auto"/>
        <w:jc w:val="center"/>
        <w:rPr>
          <w:rFonts w:ascii="Times New Roman" w:eastAsia="Calibri" w:hAnsi="Times New Roman" w:cs="Times New Roman"/>
          <w:sz w:val="24"/>
          <w:szCs w:val="24"/>
        </w:rPr>
      </w:pPr>
    </w:p>
    <w:p w14:paraId="464DD0D3" w14:textId="4435D542" w:rsidR="0DA1D1B0" w:rsidRPr="000479E9" w:rsidRDefault="0DA1D1B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Izdavatelj čiji su vrijednosni papiri uvršteni na uređeno tržište, dužan je burzi dostaviti sve podatke koje burza smatra primjerenima za zaštitu ulagatelja i osiguranje nesmetanog funkcioniranja tržišta. </w:t>
      </w:r>
    </w:p>
    <w:p w14:paraId="641D1798" w14:textId="4C3B5B83" w:rsidR="0DA1D1B0" w:rsidRPr="000479E9" w:rsidRDefault="0DA1D1B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Ako zaštita ulagatelja ili nesmetano funkcioniranje tržišta to zahtijevaju, burza može od izdavatelja zahtijevati objavu podataka iz stavka 1. ovoga članka, pri čemu će odrediti oblik i rokove za objavu istih. </w:t>
      </w:r>
    </w:p>
    <w:p w14:paraId="4B86915F" w14:textId="6F90A2D9" w:rsidR="0DA1D1B0" w:rsidRPr="000479E9" w:rsidRDefault="0DA1D1B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Ako izdavatelj ne objavi podatke u skladu sa stavkom 2. ovoga članka, burza će objaviti navedene podatke, nakon što o istima primi očitovanje izdavatelja. </w:t>
      </w:r>
    </w:p>
    <w:p w14:paraId="1CE745AF" w14:textId="1A0EFEAB" w:rsidR="0DA1D1B0" w:rsidRPr="000479E9" w:rsidRDefault="0DA1D1B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(4) Burza će objaviti podatak da izdavatelj ne ispunjava svoje obveze koje proizlaze iz uvrštenja na uređeno tržište u skladu s odredbama ovoga Zakona, uključujući i obveze koje se odnose na izdavatelje iz članka 338. ovoga Zakona. </w:t>
      </w:r>
    </w:p>
    <w:p w14:paraId="033DF139" w14:textId="038960BB" w:rsidR="0DA1D1B0" w:rsidRPr="000479E9" w:rsidRDefault="0DA1D1B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Izdavatelj će obavijestiti burzu prilikom nove javne ponude dionica koje su istoga roda kao i dionice već uvrštene na uređeno tržište, uključujući i za one kod kojih nije bio dužan podnijeti zahtjev za uvrštenje sukladno članku 338. stavcima 1. do 3. ovoga Zakona. </w:t>
      </w:r>
    </w:p>
    <w:p w14:paraId="0996F2C9" w14:textId="5DEE099E" w:rsidR="0DA1D1B0" w:rsidRPr="000479E9" w:rsidRDefault="0DA1D1B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Burza će pravilima propisati podatke koje joj je izdavatelj dužan dostaviti u slučaju iz stavka 5. ovoga članka, a koji će najmanje uključivati podatke iz kojih će ulagateljima i potencijalnim ulagateljima biti moguće jednostavno i točno utvrditi ukupni iznos temeljnog kapitala izdavatelja, vlasničku strukturu izdavatelja odnosno identitet imatelja vrijednosnih papira, ukupan broj dionica izdavatelja izdanih s glasačkim pravima te, ako je primjenjivo, ukupan broj dionica izdavatelja koje su izdane bez glasačkih prava. </w:t>
      </w:r>
    </w:p>
    <w:p w14:paraId="7275F478" w14:textId="5A3A1EF9" w:rsidR="0DA1D1B0" w:rsidRPr="000479E9" w:rsidRDefault="0DA1D1B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Burza će javno objaviti podatke iz stavka 6. ovoga članka koji su potrebni da bi ulagatelji i potencijalni ulagatelji raspolagali punom informacijom o ukupnom iznosu temeljnog kapitala izdavatelja, vlasničkoj strukturi izdavatelja odnosno identitetu imatelja vrijednosnih papira te ukupnom broju izdanih dionica izdavatelja.</w:t>
      </w:r>
    </w:p>
    <w:p w14:paraId="14C908E3" w14:textId="0068BACC" w:rsidR="2B3481CE" w:rsidRPr="000479E9" w:rsidRDefault="2B3481CE" w:rsidP="2B3481CE">
      <w:pPr>
        <w:spacing w:after="0" w:line="240" w:lineRule="auto"/>
        <w:jc w:val="both"/>
        <w:rPr>
          <w:rFonts w:ascii="Times New Roman" w:eastAsia="Calibri" w:hAnsi="Times New Roman" w:cs="Times New Roman"/>
          <w:sz w:val="24"/>
          <w:szCs w:val="24"/>
        </w:rPr>
      </w:pPr>
    </w:p>
    <w:p w14:paraId="48588987" w14:textId="32BB44E2" w:rsidR="4D22F2FA" w:rsidRPr="000479E9" w:rsidRDefault="4D22F2FA"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Privremena obustava i isključenje financijskih instrumenata iz trgovanja </w:t>
      </w:r>
    </w:p>
    <w:p w14:paraId="4ADD6BE1" w14:textId="0C753381" w:rsidR="4D22F2FA" w:rsidRPr="000479E9" w:rsidRDefault="4D22F2FA"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340. </w:t>
      </w:r>
    </w:p>
    <w:p w14:paraId="5A78B9CA" w14:textId="1C2E3933" w:rsidR="2B3481CE" w:rsidRPr="000479E9" w:rsidRDefault="2B3481CE" w:rsidP="2B3481CE">
      <w:pPr>
        <w:spacing w:after="0" w:line="240" w:lineRule="auto"/>
        <w:jc w:val="center"/>
        <w:rPr>
          <w:rFonts w:ascii="Times New Roman" w:eastAsia="Calibri" w:hAnsi="Times New Roman" w:cs="Times New Roman"/>
          <w:sz w:val="24"/>
          <w:szCs w:val="24"/>
        </w:rPr>
      </w:pPr>
    </w:p>
    <w:p w14:paraId="0EB6368C" w14:textId="2497954B"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Burza je dužna bez odgode privremeno obustaviti trgovanje ili isključiti iz trgovanja financijski instrument na temelju rješenja Agencije iz članka 343. stavka 12. ovoga Zakona. (2) Burza je dužna donijeti odluku o privremenoj obustavi trgovanja ili isključenju iz trgovanja financijskog instrumenta i svake povezane izvedenice, kada to zahtijeva zaštita ulagatelja ili taj financijski instrument više ne udovoljava pravilima burze, kao i u slučaju postojanja potrebe da se podrže ciljevi obustave ili isključenja temeljnog financijskog instrumenta kojega je burza već privremeno obustavila ili isključila. </w:t>
      </w:r>
    </w:p>
    <w:p w14:paraId="09EE0137" w14:textId="0C069982"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Burza je dužna odluku iz stavka 2. ovoga članka bez odgode javno objaviti i o njoj obavijestiti Agenciju. </w:t>
      </w:r>
    </w:p>
    <w:p w14:paraId="655B1282" w14:textId="39A39ACA"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Burza neće privremeno obustaviti trgovanje ili isključiti iz trgovanja financijski instrument, u skladu sa stavkom 2. ovoga članka, ako postoji vjerojatnost da bi takva obustava ili isključenje mogli uzrokovati znatnu štetu interesima ulagatelja ili urednom funkcioniranju tržišta, a o čemu je dužna bez odgode izvijestiti Agenciju. </w:t>
      </w:r>
    </w:p>
    <w:p w14:paraId="5A5A3702" w14:textId="32A1DCF8"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Agencija rješenjem zahtijeva da uređena tržišta, MTP-ovi, OTP-ovi i sistematski internalizatori na kojima se trguje financijskim instrumentom ili povezanom izvedenicom slijede privremenu obustavu ili isključenje kada je privremena obustava ili isključenje posljedica zlouporabe tržišta, ponude za preuzimanje ili neobjave povlaštenih informacija o izdavatelju financijskog instrumenta zbog kršenja članaka 7. i 17. Uredbe (EU) br. 596/2014, osim u slučaju postojanja okolnosti iz stavka 4. ovoga članka. </w:t>
      </w:r>
    </w:p>
    <w:p w14:paraId="749C47F8" w14:textId="3B31A726"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Agencija o svakoj obustavi i isključenju iz trgovanja iz svoje nadležnosti obavještava ESMA-u i druga nadležna tijela, uključujući i objašnjenje ako je odlučeno da </w:t>
      </w:r>
      <w:r w:rsidRPr="000479E9">
        <w:rPr>
          <w:rFonts w:ascii="Times New Roman" w:eastAsia="Calibri" w:hAnsi="Times New Roman" w:cs="Times New Roman"/>
          <w:sz w:val="24"/>
          <w:szCs w:val="24"/>
        </w:rPr>
        <w:lastRenderedPageBreak/>
        <w:t xml:space="preserve">se ne postupi sukladno odredbama stavka 5. odnosno odredbama stavka 7. ovoga članka. Agencija osigurava da svaka odluka o obustavi i isključenju iz trgovanja iz njene nadležnosti bude javno objavljena. </w:t>
      </w:r>
    </w:p>
    <w:p w14:paraId="06435EAA" w14:textId="5251783F"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(7) Agencija će po primitku obavijesti od nadležnog tijela druge države članice o privremenoj obustavi ili isključenju iz trgovanja postupiti sukladno odredbama stavaka 1. i 5. ovoga članka. </w:t>
      </w:r>
    </w:p>
    <w:p w14:paraId="41E24797" w14:textId="6C8DE0F7"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(8) Odredbe stavaka 3., 5., 6. i 7. ovoga članka primjenjuju se i kada je ukinuta odluka burze o privremenoj obustavi trgovanja iz stavka 2. ovoga članka. </w:t>
      </w:r>
    </w:p>
    <w:p w14:paraId="5AE182C9" w14:textId="19A800FB"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(9) U kojim situacijama će se privremeno obustaviti trgovanje ili isključiti iz trgovanja i povezanu izvedenicu detaljnije je uređeno odredbama Delegirane uredbe Komisije (EU) 2017/569 оd 24. svibnja 2016. o dopuni Direktive 2014/65/EU Europskog parlamenta i Vijeća u pogledu regulatornih tehničkih standarda za suspenziju i isključenje financijskih instrumenata iz trgovanja (Tekst značajan za EGP) (SL L 87, 31. 3. 2017.). </w:t>
      </w:r>
    </w:p>
    <w:p w14:paraId="4EBE72CA" w14:textId="0BB175E3" w:rsidR="4D22F2FA" w:rsidRPr="000479E9" w:rsidRDefault="4D22F2F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(10) Ako je do isključenja financijskog instrumenta iz trgovanja došlo zbog nepoštivanja obveza izdavatelja tog financijskog instrumenta koje su određene odredbama ovoga Zakona ili pravilima burze, za štetu koju takvim isključenjem pretrpi ulagatelj solidarno odgovaraju izdavatelj i članovi upravljačkih tijela izdavatelja tog financijskog instrumenta</w:t>
      </w:r>
      <w:r w:rsidR="7D5FCA71" w:rsidRPr="000479E9">
        <w:rPr>
          <w:rFonts w:ascii="Times New Roman" w:eastAsia="Calibri" w:hAnsi="Times New Roman" w:cs="Times New Roman"/>
          <w:sz w:val="24"/>
          <w:szCs w:val="24"/>
        </w:rPr>
        <w:t>.</w:t>
      </w:r>
    </w:p>
    <w:p w14:paraId="70211081" w14:textId="577CD3CE" w:rsidR="2B3481CE" w:rsidRPr="000479E9" w:rsidRDefault="2B3481CE" w:rsidP="2B3481CE">
      <w:pPr>
        <w:spacing w:after="0" w:line="240" w:lineRule="auto"/>
        <w:jc w:val="both"/>
        <w:rPr>
          <w:rFonts w:ascii="Times New Roman" w:eastAsia="Calibri" w:hAnsi="Times New Roman" w:cs="Times New Roman"/>
          <w:sz w:val="24"/>
          <w:szCs w:val="24"/>
        </w:rPr>
      </w:pPr>
    </w:p>
    <w:p w14:paraId="2A295DE1" w14:textId="1B8266F1" w:rsidR="7D5FCA71" w:rsidRPr="000479E9" w:rsidRDefault="7D5FCA71"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Odluka o povlačenju vrijednosnih papira s uvrštenja na uređenom tržištu </w:t>
      </w:r>
    </w:p>
    <w:p w14:paraId="6E32C625" w14:textId="44C9CE49" w:rsidR="7D5FCA71" w:rsidRPr="000479E9" w:rsidRDefault="7D5FCA71"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341. </w:t>
      </w:r>
    </w:p>
    <w:p w14:paraId="3C3F94F4" w14:textId="30C9DC0E" w:rsidR="2B3481CE" w:rsidRPr="000479E9" w:rsidRDefault="2B3481CE" w:rsidP="2B3481CE">
      <w:pPr>
        <w:spacing w:after="0" w:line="240" w:lineRule="auto"/>
        <w:jc w:val="center"/>
        <w:rPr>
          <w:rFonts w:ascii="Times New Roman" w:eastAsia="Calibri" w:hAnsi="Times New Roman" w:cs="Times New Roman"/>
          <w:sz w:val="24"/>
          <w:szCs w:val="24"/>
        </w:rPr>
      </w:pPr>
    </w:p>
    <w:p w14:paraId="0F4FD53A" w14:textId="205B850D"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Glavna skupština društva sa sjedištem u Republici Hrvatskoj, čiji su vrijednosni papiri uvršteni na uređeno tržište u Republici Hrvatskoj ili drugoj državi članici, može donijeti odluku o povlačenju dionica ili drugih vlasničkih vrijednosnih papira s uvrštenja na uređenom tržištu. </w:t>
      </w:r>
    </w:p>
    <w:p w14:paraId="1B1F3C6C" w14:textId="5CFD5782"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Odluka iz stavka 1. ovoga članka donosi se glasovima koji predstavljaju najmanje tri četvrtine temeljnog kapitala, zastupljenog na glavnoj skupštini pri donošenju odluke. Statutom se može odrediti i veća većina za donošenje ovakve odluke.</w:t>
      </w:r>
    </w:p>
    <w:p w14:paraId="0F483B7C" w14:textId="77D29E9C"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(3) Objava prijedloga odluke o povlačenju s uvrštenja na uređenom tržištu, kao predmeta dnevnog reda glavne skupštine, valjana je samo ako uključuje i neopozivu izjavu društva kojom se društvo obvezuje od svih dioničara koji glasuju protiv takve odluke, otkupiti njihove dionice uz pravičnu naknadu, najkasnije u roku od tri mjeseca od dana upisa odluke u sudski registar. </w:t>
      </w:r>
    </w:p>
    <w:p w14:paraId="737B59B8" w14:textId="6EA49D3A"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Odluka o povlačenju s uvrštenja na uređenom tržištu sadrži podatke o tvrtki, sjedištu, vrijednosnom papiru, načinu utvrđenja pravične naknade te druge podatke nužne za provedbu te odluke. </w:t>
      </w:r>
    </w:p>
    <w:p w14:paraId="00F0D634" w14:textId="61733032"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Svaki dioničar društva koji je glasovao protiv odluke o povlačenju s uvrštenja na uređenom tržištu može zahtijevati od društva da društvo otkupi njegove dionice, uz pravičnu naknadu. Ovo pravo ima i dioničar koji nije sudjelovao u radu odnosne glavne skupštine zbog toga što je glavna skupština sazvana nepravilno ili nepravodobno. Zahtjev za otkup dionica dioničar je dužan podnijeti društvu najkasnije u roku od dva mjeseca od dana upisa odluke o povlačenju s uvrštenja na uređenom tržištu u </w:t>
      </w:r>
      <w:r w:rsidRPr="000479E9">
        <w:rPr>
          <w:rFonts w:ascii="Times New Roman" w:eastAsia="Calibri" w:hAnsi="Times New Roman" w:cs="Times New Roman"/>
          <w:sz w:val="24"/>
          <w:szCs w:val="24"/>
        </w:rPr>
        <w:lastRenderedPageBreak/>
        <w:t xml:space="preserve">sudski registar. Društvo nije dužno postupiti po zahtjevima dioničara koji podnesu zahtjeve za otkup prema društvu nakon isteka tog roka. </w:t>
      </w:r>
    </w:p>
    <w:p w14:paraId="03FA2E1D" w14:textId="2104E581"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Odluku o povlačenju vrijednosnih papira s uvrštenja na uređenom tržištu nije moguće pobijati zbog toga što novčana naknada za dionice nije pravična. </w:t>
      </w:r>
    </w:p>
    <w:p w14:paraId="48C60F3A" w14:textId="6EE40C5A"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(7) Odluka o povlačenju s uvrštenja na uređenom tržištu upisuje se u sudski registar i stupa na snagu: 1. ako je odluka donesena većinom većom od devet desetina danih glasova, danom upisa odluke u sudski registar, osim ako je odlukom određeno da počinje djelovati tek istekom određenog roka od upisa odluke u sudski registar 2. u svim ostalim slučajevima, istekom šest mjeseci od dana upisa odluke u sudski registar. </w:t>
      </w:r>
    </w:p>
    <w:p w14:paraId="5017672A" w14:textId="77560BF7"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(8) Društvo mora, po upisu odluke o povlačenju s uvrštenja na uređenom tržištu u sudski registar, bez odgode izvijestiti tržišnog operatera uređenog tržišta dostavljanjem odluke o povlačenju s uvrštenja. Tržišni operater dužan je donijeti odluku o povlačenju vrijednosnih papira s uvrštenja na uređenom tržištu sljedeći radni dan nakon što zaprimi odluku o povlačenju s uvrštenja na uređenom tržištu. </w:t>
      </w:r>
    </w:p>
    <w:p w14:paraId="54C99F17" w14:textId="7C12E5B2"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(9) Pravičnom naknadom iz stavka 5. ovoga članka, smatra se prosječna cijena dionica ostvarena na uređenom tržištu, izračunana kao ponderirani prosjek svih cijena ostvarenih na uređenom tržištu u zadnja tri mjeseca prije dana objave poziva na glavnu skupštinu u glasilu društva. Ako se dionicama trgovalo u manje od 1/3 trgovinskih dana unutar zadnja tri mjeseca prije dana objave poziva na glavnu skupštinu u glasilu društva, pravična naknada iz stavka 5. ovoga članka utvrđuje se elaboratom o procjeni fer vrijednosti dionice, revidiranim od strane neovisnog ovlaštenog revizora. </w:t>
      </w:r>
    </w:p>
    <w:p w14:paraId="0AF09B03" w14:textId="2C769213"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(10) U elaboratu o procjeni fer vrijednosti dionice iz stavka 9. ovoga članka potrebno je navesti: 1. primjenom kojih metoda je određena fer vrijednost dionice, pri čemu primijenjene metode moraju biti temeljene na međunarodno priznatim standardima za procjenu vrijednosti i uobičajeno se koristiti između sudionika tržišta u određivanju vrijednosti dionica 2. detaljno obrazloženje usvojenih metoda procjene i svih važnih pretpostavki koje su korištene u primjeni istih 3. iz kojih je razloga primjena tih metoda primjerena 4. ako je primijenjeno više metoda, do koje bi se fer vrijednosti dionice došlo primjenom pojedine metode, te koji je značaj dan pojedinim metodama za utvrđivanje predložene fer vrijednosti dionice 5. posebne teškoće koje su se javile pri procjeni fer vrijednosti dionice. </w:t>
      </w:r>
    </w:p>
    <w:p w14:paraId="700BBA42" w14:textId="10D52E8E"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(11) Fer vrijednost dionice procjenjuje se na dan objave poziva na glavnu skupštinu u glasilu društva.</w:t>
      </w:r>
    </w:p>
    <w:p w14:paraId="2347CFBC" w14:textId="74EA8CC2" w:rsidR="7D5FCA71" w:rsidRPr="000479E9" w:rsidRDefault="7D5FCA71"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(12) Iznos pravične naknade i, ako je primjenjivo, elaborat o procjeni fer vrijednosti dionice koji je revidirao neovisni ovlašteni revizor društvo mora u cijelosti učiniti dostupnim svim dioničarima i objaviti javnosti najkasnije pet dana prije dana održavanja glavne skupštine na kojoj se odlučuje o povlačenju dionica s uvrštenja na uređenom tržištu</w:t>
      </w:r>
      <w:r w:rsidR="19FB7DE5" w:rsidRPr="000479E9">
        <w:rPr>
          <w:rFonts w:ascii="Times New Roman" w:eastAsia="Calibri" w:hAnsi="Times New Roman" w:cs="Times New Roman"/>
          <w:sz w:val="24"/>
          <w:szCs w:val="24"/>
        </w:rPr>
        <w:t>.</w:t>
      </w:r>
    </w:p>
    <w:p w14:paraId="78694233" w14:textId="284368B8" w:rsidR="2B3481CE" w:rsidRPr="000479E9" w:rsidRDefault="2B3481CE" w:rsidP="2B3481CE">
      <w:pPr>
        <w:spacing w:after="0" w:line="240" w:lineRule="auto"/>
        <w:jc w:val="both"/>
        <w:rPr>
          <w:rFonts w:ascii="Times New Roman" w:eastAsia="Calibri" w:hAnsi="Times New Roman" w:cs="Times New Roman"/>
          <w:sz w:val="24"/>
          <w:szCs w:val="24"/>
        </w:rPr>
      </w:pPr>
    </w:p>
    <w:p w14:paraId="40FCD7E4" w14:textId="789B4C31" w:rsidR="49E247F0" w:rsidRPr="000479E9" w:rsidRDefault="49E247F0"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344.a </w:t>
      </w:r>
    </w:p>
    <w:p w14:paraId="2D4CED4F" w14:textId="7139590A" w:rsidR="2B3481CE" w:rsidRPr="000479E9" w:rsidRDefault="2B3481CE" w:rsidP="2B3481CE">
      <w:pPr>
        <w:spacing w:after="0" w:line="240" w:lineRule="auto"/>
        <w:jc w:val="center"/>
        <w:rPr>
          <w:rFonts w:ascii="Times New Roman" w:eastAsia="Calibri" w:hAnsi="Times New Roman" w:cs="Times New Roman"/>
          <w:sz w:val="24"/>
          <w:szCs w:val="24"/>
        </w:rPr>
      </w:pPr>
    </w:p>
    <w:p w14:paraId="280C7492" w14:textId="1FCCB8E2" w:rsidR="49E247F0" w:rsidRPr="000479E9" w:rsidRDefault="49E247F0"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Operater MTP-a ili OTP-a dužan je pridržavati se odredbe članka 295. stavka 13. ovoga Zakona i Pravilnika iz stavka 14.</w:t>
      </w:r>
    </w:p>
    <w:p w14:paraId="57F322EF" w14:textId="0343CBFA" w:rsidR="2B3481CE" w:rsidRPr="000479E9" w:rsidRDefault="2B3481CE" w:rsidP="00F01D72">
      <w:pPr>
        <w:spacing w:after="0" w:line="240" w:lineRule="auto"/>
        <w:jc w:val="center"/>
        <w:rPr>
          <w:rFonts w:ascii="Times New Roman" w:eastAsia="Calibri" w:hAnsi="Times New Roman" w:cs="Times New Roman"/>
          <w:b/>
          <w:bCs/>
          <w:sz w:val="24"/>
          <w:szCs w:val="24"/>
        </w:rPr>
      </w:pPr>
    </w:p>
    <w:p w14:paraId="389B08DB"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Registracija MTP-a kao rastućeg tržišta malih i srednjih poduzeća</w:t>
      </w:r>
    </w:p>
    <w:p w14:paraId="2EAF81F1" w14:textId="0D1F5F7F"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352.</w:t>
      </w:r>
    </w:p>
    <w:p w14:paraId="079F45E2" w14:textId="77777777" w:rsidR="00A91B71" w:rsidRPr="000479E9" w:rsidRDefault="00A91B71" w:rsidP="006B4BB8">
      <w:pPr>
        <w:spacing w:after="0" w:line="240" w:lineRule="auto"/>
        <w:jc w:val="center"/>
        <w:rPr>
          <w:rFonts w:ascii="Times New Roman" w:hAnsi="Times New Roman" w:cs="Times New Roman"/>
          <w:sz w:val="24"/>
          <w:szCs w:val="24"/>
        </w:rPr>
      </w:pPr>
    </w:p>
    <w:p w14:paraId="1E18BFD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Operater MTP-a kojemu je Republika Hrvatska matična država članica može registrirati MTP kao rastuće tržište malih i srednjih poduzeća ako MTP kojim upravlja ispunjava zahtjeve navedene u stavku 3. ovoga članka, na temelju odobrenja Agencije.</w:t>
      </w:r>
    </w:p>
    <w:p w14:paraId="3685357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Agencija će rješenjem odobriti registraciju MTP-a kao rastućeg tržišta malih i srednjih poduzeća ako na temelju podataka sadržanih u zahtjevu iz stavka 1. ovoga članka i priloženih dokumenata utvrdi da su ispunjeni zahtjevi navedeni u stavku 3. ovoga članka.</w:t>
      </w:r>
    </w:p>
    <w:p w14:paraId="2F5FCD5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Operater MTP-a koji namjerava registrirati MTP kao rastuće tržište malih i srednjih poduzeća dužan je propisati, uspostaviti te primjenjivati jasna pravila, sustave i postupke kojima se, osim zahtjeva iz članka 346. ovoga Zakona, osigurava i ispunjavanje sljedećih zahtjeva:</w:t>
      </w:r>
    </w:p>
    <w:p w14:paraId="0955AA0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da najmanje 50 % izdavatelja čijim se financijskim instrumentima može trgovati na MTP-u moraju biti mala ili srednja poduzeća u vrijeme kada Agencija donese rješenje kojim se odobrava registracija MTP-a kao rastućeg tržišta malih i srednjih poduzeća te u svakoj kalendarskoj godini nakon toga, pri čemu za potrebe utvrđivanja tog udjela Agencija uzima u obzir prosječni omjer malih i srednjih poduzeća u odnosu na sve izdavatelje čiji su instrumenti primljeni u trgovinu na tom MTP-u, a koji prosječni omjer se izračunava s danom 31. prosinca odnosne prethodne kalendarske godine kao prosjek 12 omjera na posljednji dan svakog mjeseca te kalendarske godine</w:t>
      </w:r>
    </w:p>
    <w:p w14:paraId="36676D3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da su definirani objektivni i transparentni kriteriji za prvobitno i za daljnje primanje financijskih instrumenata izdavatelja u trgovinu na tom MTP-u</w:t>
      </w:r>
    </w:p>
    <w:p w14:paraId="38D6693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da se kod prvotnog primanja financijskih instrumenata u trgovinu na MTP-u objavljuje dovoljno informacija kako bi se ulagateljima omogućilo donošenje informirane odluke o ulaganju u te financijske instrumente, bilo u obliku prospekta u slučajevima kada prema odredbama ovoga Zakona postoji obveza objave prospekta, bilo u obliku odgovarajućeg dokumenta za primanje u trgovinu koji mora odgovarati zahtjevima iz stavka 6. ovoga članka</w:t>
      </w:r>
    </w:p>
    <w:p w14:paraId="148F5BB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da izdavatelji čiji su financijski instrumenti primljeni u trgovinu na MTP-u moraju, sami ili putem druge osobe koja djeluje za njihov račun, objavljivati godišnje financijske izvještaje u roku od šest mjeseci po završetku svake financijske godine te polugodišnje financijske izvještaje u roku od četiri mjeseca po završetku prvog polugodišta svake financijske godine</w:t>
      </w:r>
    </w:p>
    <w:p w14:paraId="5ABD60A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da izdavatelji na MTP-u kako je definirano člankom 3. stavkom 1. točkom 21. Uredbe (EU) br. 596/2014, osobe koje obavljaju rukovoditeljske dužnosti definirane člankom 3. stavkom 1. točkom 25. Uredbe (EU) br. 596/2014 te osobe usko povezane s njima definirane člankom 3. stavkom 1. točkom 26. Uredbe (EU) br. 596/2014 moraju ispunjavati relevantne zahtjeve koji se na njih primjenjuju u okviru Uredbe (EU) br. 596/2014</w:t>
      </w:r>
    </w:p>
    <w:p w14:paraId="2E32C2B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6. da prospekti odnosno dokumenti za primanje u trgovinu iz točke 3. ovoga stavka, financijski izvještaji iz točke 4. ovoga stavka i informacije iz članka 7. stavka 1. Uredbe (EU) br. 596/2014 koje objave izdavatelji čiji su financijski instrumenti primljeni u trgovinu na MTP-u budu dostupne javnosti na način da su objavljene na internetskim stranicama operatera MTP-a odnosno da je na internetskim stranicama operatera MTP-a dostupna izravna poveznica na internetske stranice izdavatelja na kojima su objavljeni ti dokumenti, izvještaji odnosno informacije, s time da navedeni dokumenti, izvještaji i informacije odnosno izravne poveznice na internetske stranice izdavatelja moraju biti dostupne na internetskim stranicama operatera MTP-a tijekom razdoblja od najmanje pet godina računajući od dana kada su objavljene</w:t>
      </w:r>
    </w:p>
    <w:p w14:paraId="6C648F3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da su uspostavljeni učinkoviti sustavi i kontrole u svrhu sprječavanja i otkrivanja zlouporabe tržišta na MTP-u u skladu sa zahtjevima Uredbe (EU) br. 596/2014.</w:t>
      </w:r>
    </w:p>
    <w:p w14:paraId="68D8102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Kada su ispunjeni svi drugi zahtjevi iz stavka 3. ovoga članka, Agencija će odobriti registraciju MTP-a kao rastućeg tržišta malih i srednjih poduzeća i investicijskom društvu ili tržišnom operateru kojemu je Republika Hrvatska matična država članica, a koji prije podnošenja zahtjeva još nije obavljao djelatnost upravljanja MTP-om u Republici Hrvatskoj, pod uvjetom da to investicijsko društvo odnosno tržišni operater ispunjava sve uvjete propisane ovim Zakonom za upravljanje MTP-om i da je istodobno sa zahtjevom iz stavka 1. ovoga članka podnio i zahtjev za odobrenje za upravljanje MTP-om iz članka 348. ovoga Zakona. Agencija može o oba zahtjeva odlučiti jednim rješenjem.</w:t>
      </w:r>
    </w:p>
    <w:p w14:paraId="43F128F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Operater MTP-a iz stavka 4. ovoga članka dužan je u roku od tri godine nakon donošenja rješenja kojim mu je Agencija odobrila registraciju MTP-a kao rastućeg tržišta malih i srednjih poduzeća dostaviti Agenciji dokaz da najmanje 50 % izdavatelja čijim se financijskim instrumentima može trgovati na tom MTP-u jesu mala ili srednja poduzeća, što se utvrđuje izračunavanjem prosječnog omjera na način određen u stavku 3. točki 1. ovoga članka.</w:t>
      </w:r>
    </w:p>
    <w:p w14:paraId="15BCB84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Operater MTP-a dužan je u pravilima iz stavka 3. ovoga članka utvrditi minimalni sadržaj dokumenta za primanje u trgovinu iz stavka 3. točke 3. ovoga članka. Za sadržaj tog dokumenta odgovara izdavatelj i u njemu mora biti izrijekom navedeno je li taj dokument ispitan i odobren te, ako jest, tko ga je ispitao i odobrio. Dokument za primanje u trgovinu mora ulagateljima dati dovoljno informacija na osnovi kojih ulagatelji mogu informirano procijeniti financijski položaj i izglede izdavatelja i prava koja proizlaze iz njegovih financijskih instrumenta. Pravila MTP-a moraju od izdavatelja zahtijevati da u dokumentu za primanje u trgovinu izjavi jesu li, prema njegovu mišljenju, njegova obrtna sredstva dostatna za njegove trenutne potrebe te, ako nisu, na koji način namjerava pribaviti dodatna potrebna obrtna sredstva. Operater MTP-a dužan je osigurati odgovarajuću provjeru potpunosti, dosljednosti i razumljivosti dokumenta za primanje u trgovinu.</w:t>
      </w:r>
    </w:p>
    <w:p w14:paraId="03F5AED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(7) Na operatera MTP-a kojemu je Agencija odobrila registraciju MTP-a kao rastućeg tržišta malih i srednjih poduzeća i na MTP koji je registriran kao rastuće tržište malih i srednjih poduzeća primjenjuju se odredbe ovoga Zakona i drugih propisa koji se odnose na operatere MTP-ova i na MTP-ove, osim ako ovim člankom nije propisano drugačije. Ispunjavanje zahtjeva iz stavka 3. ovoga članka ne isključuje druge obveze </w:t>
      </w:r>
      <w:r w:rsidRPr="000479E9">
        <w:rPr>
          <w:rFonts w:ascii="Times New Roman" w:hAnsi="Times New Roman" w:cs="Times New Roman"/>
          <w:sz w:val="24"/>
          <w:szCs w:val="24"/>
        </w:rPr>
        <w:lastRenderedPageBreak/>
        <w:t>koje operater MTP-a mora ispunjavati u skladu s ovim Zakonom, a koje se odnose na djelovanje MTP-ova.</w:t>
      </w:r>
    </w:p>
    <w:p w14:paraId="0341596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Operater MTP-a koji namjerava registrirati MTP kao rastuće tržište malih i srednjih poduzeća može u pravilima MTP-a predvidjeti i druge zahtjeve osim onih iz stavka 3. ovoga članka. Takve dodatne zahtjeve operater MTP-a dužan je navesti i opisati u zahtjevu iz stavka 1. ovoga članka.</w:t>
      </w:r>
    </w:p>
    <w:p w14:paraId="7D0FA27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Agencija pravilnikom propisuje sadržaj zahtjeva za registraciju MTP-a kao rastućeg tržišta malih i srednjih poduzeća iz stavka 1. ovoga članka, potrebnu dokumentaciju koja se prilaže zahtjevu, kao i sadržaj te dokumentacije te uvjete i način odlučivanja o zahtjevu za registraciju MTP-a kao rastućeg tržišta malih i srednjih poduzeća.</w:t>
      </w:r>
    </w:p>
    <w:p w14:paraId="5BD81468" w14:textId="77777777" w:rsidR="006B4BB8" w:rsidRPr="000479E9" w:rsidRDefault="006B4BB8" w:rsidP="006B4BB8">
      <w:pPr>
        <w:spacing w:after="0" w:line="240" w:lineRule="auto"/>
        <w:jc w:val="both"/>
        <w:rPr>
          <w:rFonts w:ascii="Times New Roman" w:hAnsi="Times New Roman" w:cs="Times New Roman"/>
          <w:sz w:val="24"/>
          <w:szCs w:val="24"/>
        </w:rPr>
      </w:pPr>
    </w:p>
    <w:p w14:paraId="0B93C9A7"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Brisanje iz registra MTP-a kao rastućeg tržišta malih i srednjih poduzeća i obavještavanje ESMA-e</w:t>
      </w:r>
    </w:p>
    <w:p w14:paraId="3FABC669" w14:textId="20D82BCB"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353.</w:t>
      </w:r>
    </w:p>
    <w:p w14:paraId="2014DCF2" w14:textId="77777777" w:rsidR="00A91B71" w:rsidRPr="000479E9" w:rsidRDefault="00A91B71" w:rsidP="006B4BB8">
      <w:pPr>
        <w:spacing w:after="0" w:line="240" w:lineRule="auto"/>
        <w:jc w:val="center"/>
        <w:rPr>
          <w:rFonts w:ascii="Times New Roman" w:hAnsi="Times New Roman" w:cs="Times New Roman"/>
          <w:sz w:val="24"/>
          <w:szCs w:val="24"/>
        </w:rPr>
      </w:pPr>
    </w:p>
    <w:p w14:paraId="3BE7939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Agencija će brisati iz registra MTP kao rastuće tržište malih i srednjih poduzeća:</w:t>
      </w:r>
    </w:p>
    <w:p w14:paraId="3E15115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na zahtjev operatera MTP-a</w:t>
      </w:r>
    </w:p>
    <w:p w14:paraId="494642F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utvrdi da je udio malih i srednjih poduzeća u ukupnom broju izdavatelja čijim se financijskim instrumentima trguje na MTP-u utvrđen u skladu s člankom 352. stavkom 3. točkom 1. ovoga Zakona tijekom tri uzastopne godine manji od 50 % ili</w:t>
      </w:r>
    </w:p>
    <w:p w14:paraId="2784D9B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utvrdi da više nisu ispunjeni zahtjevi iz članka 352. stavka 3. točaka 2. do 7. ovoga Zakona.</w:t>
      </w:r>
    </w:p>
    <w:p w14:paraId="2EA0702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Kada Agencija registrira ili briše iz registra MTP kao rastuće tržište malih i srednjih poduzeća u skladu s ovim člankom, o tome će bez odgode obavijestiti ESMA-u, koja na svojim internetskim stranicama objavljuje i ažurira popis rastućih tržišta malih i srednjih poduzeća.</w:t>
      </w:r>
    </w:p>
    <w:p w14:paraId="5BFC91D7" w14:textId="77777777" w:rsidR="006B4BB8" w:rsidRPr="000479E9" w:rsidRDefault="006B4BB8" w:rsidP="006B4BB8">
      <w:pPr>
        <w:spacing w:after="0" w:line="240" w:lineRule="auto"/>
        <w:jc w:val="both"/>
        <w:rPr>
          <w:rFonts w:ascii="Times New Roman" w:hAnsi="Times New Roman" w:cs="Times New Roman"/>
          <w:sz w:val="24"/>
          <w:szCs w:val="24"/>
        </w:rPr>
      </w:pPr>
    </w:p>
    <w:p w14:paraId="0373CBFC"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Primanje financijskih instrumenata u trgovinu na drugom rastućem tržištu malih i srednjih poduzeća</w:t>
      </w:r>
    </w:p>
    <w:p w14:paraId="0C654516" w14:textId="5D89CA19"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354.</w:t>
      </w:r>
    </w:p>
    <w:p w14:paraId="0A1B0231" w14:textId="77777777" w:rsidR="00A91B71" w:rsidRPr="000479E9" w:rsidRDefault="00A91B71" w:rsidP="006B4BB8">
      <w:pPr>
        <w:spacing w:after="0" w:line="240" w:lineRule="auto"/>
        <w:jc w:val="center"/>
        <w:rPr>
          <w:rFonts w:ascii="Times New Roman" w:hAnsi="Times New Roman" w:cs="Times New Roman"/>
          <w:sz w:val="24"/>
          <w:szCs w:val="24"/>
        </w:rPr>
      </w:pPr>
    </w:p>
    <w:p w14:paraId="24181BD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Ako je financijski instrument izdavatelja primljen u trgovinu na jednom MTP-u koji je registriran kao rastuće tržište malih i srednjih poduzeća u državi članici Europske unije, on također može biti primljen u trgovinu na nekom drugom MTP-u registriranom kao rastuće tržište malih i srednjih poduzeća ako je izdavatelj o tome obaviješten i ako se izdavatelj nije usprotivio primanju financijskog instrumenta u trgovinu na tom drugom MTP-u registriranom kao rastućem tržištu malih i srednjih poduzeća.</w:t>
      </w:r>
    </w:p>
    <w:p w14:paraId="4BF1899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U slučaju iz stavka 1. ovoga članka izdavatelj ne podliježe obvezama vezanim uz korporativno upravljanje i obvezama vezanim za početno, stalno ili ad hoc objavljivanje informacija u odnosu na takav drugi MTP-u registriran kao rastuće tržište malih i srednjih poduzeća.</w:t>
      </w:r>
    </w:p>
    <w:p w14:paraId="7BDC6D41" w14:textId="62E18253" w:rsidR="2B3481CE" w:rsidRPr="000479E9" w:rsidRDefault="2B3481CE" w:rsidP="2B3481CE">
      <w:pPr>
        <w:spacing w:after="0" w:line="240" w:lineRule="auto"/>
        <w:jc w:val="both"/>
        <w:rPr>
          <w:rFonts w:ascii="Times New Roman" w:hAnsi="Times New Roman" w:cs="Times New Roman"/>
          <w:sz w:val="24"/>
          <w:szCs w:val="24"/>
        </w:rPr>
      </w:pPr>
    </w:p>
    <w:p w14:paraId="3C2B723E" w14:textId="77777777" w:rsidR="00845BF6" w:rsidRPr="000479E9" w:rsidRDefault="00845BF6" w:rsidP="000479E9">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lastRenderedPageBreak/>
        <w:t>POGLAVLJE III.</w:t>
      </w:r>
      <w:r w:rsidRPr="000479E9">
        <w:rPr>
          <w:rFonts w:ascii="Times New Roman" w:hAnsi="Times New Roman" w:cs="Times New Roman"/>
          <w:bCs/>
          <w:sz w:val="24"/>
          <w:szCs w:val="24"/>
        </w:rPr>
        <w:br/>
        <w:t>NADZOR NAD PRIDRŽAVANJEM OGRANIČENJA POZICIJA U ROBNIM IZVEDENICAMA</w:t>
      </w:r>
    </w:p>
    <w:p w14:paraId="69CA7A5B" w14:textId="77777777" w:rsidR="00845BF6" w:rsidRPr="000479E9" w:rsidRDefault="00845BF6" w:rsidP="000479E9">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Nadzor nad pridržavanjem ograničenja pozicija u robnim izvedenicama</w:t>
      </w:r>
    </w:p>
    <w:p w14:paraId="17C4D9FD" w14:textId="219A841E" w:rsidR="00845BF6" w:rsidRPr="000479E9" w:rsidRDefault="00845BF6" w:rsidP="000479E9">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Članak 385.</w:t>
      </w:r>
    </w:p>
    <w:p w14:paraId="3FCB43AC" w14:textId="77777777" w:rsidR="00845BF6" w:rsidRPr="000479E9" w:rsidRDefault="00845BF6" w:rsidP="000479E9">
      <w:pPr>
        <w:spacing w:after="0" w:line="240" w:lineRule="auto"/>
        <w:jc w:val="center"/>
        <w:rPr>
          <w:rFonts w:ascii="Times New Roman" w:hAnsi="Times New Roman" w:cs="Times New Roman"/>
          <w:bCs/>
          <w:sz w:val="24"/>
          <w:szCs w:val="24"/>
        </w:rPr>
      </w:pPr>
    </w:p>
    <w:p w14:paraId="75EB8C15"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Nadzor nad primjenom i provedbom ove glave Zakona i povezanih relevantnih propisa Agencija obavlja se na način i u skladu s odredbama dijela šestoga ovoga Zakona i ovoga poglavlja, kada je primjenjivo.</w:t>
      </w:r>
    </w:p>
    <w:p w14:paraId="686A0547"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Nadzor nad pridržavanjem ograničenja pozicija u robnim izvedenicama Agencija provodi nad:</w:t>
      </w:r>
    </w:p>
    <w:p w14:paraId="4659542D"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svakom osobom neovisno o državi sjedišta ili prebivališta osobe koja je zauzela poziciju u robnoj izvedenici ili ekonomski jednakovrijednim OTC ugovorima za koje je Agencija utvrdila ograničenje pozicija i</w:t>
      </w:r>
    </w:p>
    <w:p w14:paraId="6BFF24F3"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svakom osobom sa sjedištem ili prebivalištem u Republici Hrvatskoj koje trguju robnim izvedenicama uvrštenim na mjesta trgovanja za koja su nadležna tijela druge države članice i ekonomski jednakovrijednim OTC ugovorima.</w:t>
      </w:r>
    </w:p>
    <w:p w14:paraId="36397FFB"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Agencija može zahtijevati od bilo koje osobe dostavu podataka o veličini i namjeni pozicije ili izloženosti koja proizlazi iz sklopljenog ugovora o robnoj izvedenici ili ekonomski jednakovrijednog OTC ugovora i imovine ili obveze u vezi s tržištem temeljnog instrumenta, a koji se odnosi na ograničenje u pozicijama koje je utvrdila Agencija ili nadležno tijelo druge države članice.</w:t>
      </w:r>
    </w:p>
    <w:p w14:paraId="56EF83D8"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Obveza dostave podataka iz stavka 3. ovoga članka odnosi se i na investicijsko društvo ili kreditnu instituciju putem koje osoba trguje robnim izvedenicama ili ekonomski jednakovrijednim OTC ugovorima, kao i na investicijsko društvo, kreditnu instituciju ili tržišnog operatera koji upravlja mjestom trgovanja u Republici Hrvatskoj na kojem se trguje robnim izvedenicama.</w:t>
      </w:r>
    </w:p>
    <w:p w14:paraId="3DA1D022"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Ako utvrdi kršenje odredbi ove glave odnosno ako utvrdi da osoba ne postupa u skladu s člankom 374. ovoga Zakona, Agencija može rješenjem izreći sljedeće nadzorne mjere koje moraju biti učinkovite i razmjerne:</w:t>
      </w:r>
    </w:p>
    <w:p w14:paraId="03BA79F4"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ograničiti mogućnost bilo kojoj osobi da zauzme poziciju u ugovoru u robnoj izvedenici</w:t>
      </w:r>
    </w:p>
    <w:p w14:paraId="23E531B3"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ograničiti veličinu netopozicije koju bilo koja osoba može držati u robnoj izvedenici</w:t>
      </w:r>
    </w:p>
    <w:p w14:paraId="2AB07260"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zahtijevati od bilo koje osobe da poduzme korake za smanjenje veličine pozicije ili izloženosti.</w:t>
      </w:r>
    </w:p>
    <w:p w14:paraId="4E209841"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Nadzorne mjere iz stavka 5. ovoga članka Agencija može primijeniti i u slučaju kada bi takvo ograničenje ili smanjenje išlo ispod ograničenja pozicija utvrđenog od strane Agencije u skladu s člankom 373. ovoga Zakona ili od strane drugog nadležnog tijela.</w:t>
      </w:r>
    </w:p>
    <w:p w14:paraId="537DC51D"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Odredba stavka 5. ovoga članka primjenjuje se na svaku osobu neovisno o državi sjedišta ili prebivališta iste, a koja je zauzela poziciju u toj robnoj izvedenici ili ekonomski jednakovrijednim OTC ugovorima za koje je ograničenje pozicija utvrdila Agencija ili nadležno tijelo druge države članice.</w:t>
      </w:r>
    </w:p>
    <w:p w14:paraId="1AFFB8A9"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(8) Ako je to primjenjivo, rješenjem kojim se izriču nadzorne mjere iz stavka 5. ovoga članka, Agencija određuje i rok za poduzimanje istih mjera odnosno trajanje istih te, ako je primjenjivo, uvjete pod kojima mjera prestaje.</w:t>
      </w:r>
    </w:p>
    <w:p w14:paraId="5F5BFE0A" w14:textId="77777777" w:rsidR="00845BF6" w:rsidRPr="000479E9" w:rsidRDefault="00845BF6" w:rsidP="00845BF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Izrečene mjere propisane stavkom 5. ovoga članka Agencija može javno objaviti sukladno članku 697. ovoga Zakona.</w:t>
      </w:r>
    </w:p>
    <w:p w14:paraId="00519B4C" w14:textId="77777777" w:rsidR="00845BF6" w:rsidRPr="000479E9" w:rsidRDefault="00845BF6" w:rsidP="2B3481CE">
      <w:pPr>
        <w:spacing w:after="0" w:line="240" w:lineRule="auto"/>
        <w:jc w:val="both"/>
        <w:rPr>
          <w:rFonts w:ascii="Times New Roman" w:hAnsi="Times New Roman" w:cs="Times New Roman"/>
          <w:sz w:val="24"/>
          <w:szCs w:val="24"/>
        </w:rPr>
      </w:pPr>
    </w:p>
    <w:p w14:paraId="13C833C7" w14:textId="5AA32A46" w:rsidR="708AB03F" w:rsidRPr="000479E9" w:rsidRDefault="708AB03F"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GLAVA VI.</w:t>
      </w:r>
    </w:p>
    <w:p w14:paraId="063BC1B7" w14:textId="1C7D1DB2" w:rsidR="2B3481CE" w:rsidRPr="000479E9" w:rsidRDefault="2B3481CE" w:rsidP="00F01D72">
      <w:pPr>
        <w:spacing w:after="0" w:line="240" w:lineRule="auto"/>
        <w:jc w:val="center"/>
        <w:rPr>
          <w:rFonts w:ascii="Times New Roman" w:eastAsia="Times New Roman" w:hAnsi="Times New Roman" w:cs="Times New Roman"/>
          <w:bCs/>
          <w:sz w:val="24"/>
          <w:szCs w:val="24"/>
        </w:rPr>
      </w:pPr>
    </w:p>
    <w:p w14:paraId="5BD9EA64" w14:textId="1974D238" w:rsidR="708AB03F" w:rsidRPr="000479E9" w:rsidRDefault="708AB03F"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 xml:space="preserve"> IZVEDENICE I PRIMJENA IZUZEĆA </w:t>
      </w:r>
    </w:p>
    <w:p w14:paraId="6BC3EDE8" w14:textId="45429106" w:rsidR="2B3481CE" w:rsidRPr="000479E9" w:rsidRDefault="2B3481CE" w:rsidP="2B3481CE">
      <w:pPr>
        <w:spacing w:after="0" w:line="240" w:lineRule="auto"/>
        <w:jc w:val="both"/>
        <w:rPr>
          <w:rFonts w:ascii="Times New Roman" w:eastAsia="Times New Roman" w:hAnsi="Times New Roman" w:cs="Times New Roman"/>
          <w:sz w:val="24"/>
          <w:szCs w:val="24"/>
        </w:rPr>
      </w:pPr>
    </w:p>
    <w:p w14:paraId="16287B12" w14:textId="5BA148F0" w:rsidR="708AB03F" w:rsidRPr="000479E9" w:rsidRDefault="708AB03F"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Pojmovi </w:t>
      </w:r>
    </w:p>
    <w:p w14:paraId="7B4B82C7" w14:textId="5464F19C" w:rsidR="708AB03F" w:rsidRPr="000479E9" w:rsidRDefault="708AB03F"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Članak 386. </w:t>
      </w:r>
    </w:p>
    <w:p w14:paraId="4317038D" w14:textId="1E25B239" w:rsidR="2B3481CE" w:rsidRPr="000479E9" w:rsidRDefault="2B3481CE" w:rsidP="2B3481CE">
      <w:pPr>
        <w:spacing w:after="0" w:line="240" w:lineRule="auto"/>
        <w:jc w:val="both"/>
        <w:rPr>
          <w:rFonts w:ascii="Times New Roman" w:eastAsia="Times New Roman" w:hAnsi="Times New Roman" w:cs="Times New Roman"/>
          <w:sz w:val="24"/>
          <w:szCs w:val="24"/>
        </w:rPr>
      </w:pPr>
    </w:p>
    <w:p w14:paraId="793F2286" w14:textId="6FC762AB"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Pojedini pojmovi u smislu ovoga poglavlja Zakona imaju sljedeće značenje: </w:t>
      </w:r>
    </w:p>
    <w:p w14:paraId="4F276AE4" w14:textId="393F28DC"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FC je financijska druga ugovorna strana kako je definirano u članku </w:t>
      </w:r>
    </w:p>
    <w:p w14:paraId="1E88918C" w14:textId="1252751E"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točki 8. Uredbe (EU) br. 648/2012 2. NFC je nefinancijska druga ugovorna strana kako je definirano u članku 2. točki 9. Uredbe (EU) br. 648/2012 </w:t>
      </w:r>
    </w:p>
    <w:p w14:paraId="53F9FD42" w14:textId="59EEEE72"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OTC izvedenica ili ugovori o OTC izvedenicama je ugovor o izvedenicama koji se ne izvršava na uređenom tržištu, kako je definirano člankom 2. točkom 7. Uredbe (EU) br. 648/2012 </w:t>
      </w:r>
    </w:p>
    <w:p w14:paraId="09683A8B" w14:textId="4071D3E2"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4. prag poravnanja je iznos određen na način iz članka 10. stavka 4. Uredbe (EU) br. 648/2012 </w:t>
      </w:r>
    </w:p>
    <w:p w14:paraId="42E1EB8B" w14:textId="0BD0EAE1"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5. unutargrupna transakcija je transakcija kako je definirano u članku 3. Uredbe (EU) br. 648/2012. </w:t>
      </w:r>
    </w:p>
    <w:p w14:paraId="2DB1E8D9" w14:textId="15D5520A" w:rsidR="2B3481CE" w:rsidRPr="000479E9" w:rsidRDefault="2B3481CE" w:rsidP="2B3481CE">
      <w:pPr>
        <w:spacing w:after="0" w:line="240" w:lineRule="auto"/>
        <w:jc w:val="both"/>
        <w:rPr>
          <w:rFonts w:ascii="Times New Roman" w:eastAsia="Times New Roman" w:hAnsi="Times New Roman" w:cs="Times New Roman"/>
          <w:sz w:val="24"/>
          <w:szCs w:val="24"/>
        </w:rPr>
      </w:pPr>
    </w:p>
    <w:p w14:paraId="5FFD644A" w14:textId="4B73C93D" w:rsidR="708AB03F" w:rsidRPr="000479E9" w:rsidRDefault="708AB03F"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Nadzor nad usklađenosti s odredbama Uredbe (EU) br. 648/2012 </w:t>
      </w:r>
    </w:p>
    <w:p w14:paraId="0B0ECCD1" w14:textId="260FEB05" w:rsidR="708AB03F" w:rsidRPr="000479E9" w:rsidRDefault="708AB03F"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Članak 387.</w:t>
      </w:r>
    </w:p>
    <w:p w14:paraId="26E6F115" w14:textId="3DAABA2B" w:rsidR="2B3481CE" w:rsidRPr="000479E9" w:rsidRDefault="2B3481CE" w:rsidP="2B3481CE">
      <w:pPr>
        <w:spacing w:after="0" w:line="240" w:lineRule="auto"/>
        <w:jc w:val="both"/>
        <w:rPr>
          <w:rFonts w:ascii="Times New Roman" w:eastAsia="Times New Roman" w:hAnsi="Times New Roman" w:cs="Times New Roman"/>
          <w:sz w:val="24"/>
          <w:szCs w:val="24"/>
        </w:rPr>
      </w:pPr>
    </w:p>
    <w:p w14:paraId="717D0F3F" w14:textId="70EEA597"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Zakonom o provedbi Uredbe (EU) br. 648/2012 Europskog parlamenta i Vijeća od 4. srpnja 2012. godine o OTC izvedenicama, središnjoj drugoj ugovornoj strani i trgovinskom repozitoriju (»Narodne novine«, br. 54/13. i 123/23.), Agencija je imenovana nadležnim tijelom za nadzor nad primjenom odredbi Uredbe (EU) br. 648/2012 za sve subjekte koji imaju poslovni nastan u Republici Hrvatskoj, a na koje se primjenjuju odredbe Uredbe (EU) br. 648/2012, osim kreditnih institucija, za čiji je nadzor imenovano nadležno tijelo za nadzor kreditnih institucija sukladno odredbama zakona kojim se uređuje osnivanje i poslovanje kreditnih institucija. </w:t>
      </w:r>
    </w:p>
    <w:p w14:paraId="2B482546" w14:textId="0C07C850"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Za potrebe osiguranja efikasnog nadzora nad primjenom Uredbe (EU) br. 648/2012: </w:t>
      </w:r>
    </w:p>
    <w:p w14:paraId="2AAB0113" w14:textId="348EAC46"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FC-i koji prelaze prag poravnanja </w:t>
      </w:r>
    </w:p>
    <w:p w14:paraId="1D17CC10" w14:textId="33C130A6"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NFC-i koji prelaze prag poravnanja obvezni su na godišnjoj razini sastavljati i Agenciji dostaviti izvješće o usklađenosti s odredbama Uredbe (EU) br. 648/2012. </w:t>
      </w:r>
    </w:p>
    <w:p w14:paraId="6F36A35A" w14:textId="070EF19D"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U Izvješću iz stavka 2. ovoga članka mora se navesti raspolažu li FC i NFC iz stavka 2. ovoga članka prikladnim sustavima koji osiguravaju usklađenost sa zahtjevima iz: </w:t>
      </w:r>
    </w:p>
    <w:p w14:paraId="52F57E4D" w14:textId="53B2C404"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lastRenderedPageBreak/>
        <w:t xml:space="preserve">1. članka 4. stavaka 1. do 3., podstavka 2. Uredbe (EU) br. 648/2012 (obveza poravnanja i izuzeće za unutargrupne transakcije) </w:t>
      </w:r>
    </w:p>
    <w:p w14:paraId="06C09615" w14:textId="74325D72"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članka 9. stavaka 1. do 4. Uredbe (EU) br. 648/2012 (obveza izvještavanja trgovinskih repozitorija) </w:t>
      </w:r>
    </w:p>
    <w:p w14:paraId="5F2D93EB" w14:textId="17E3F5AD"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članka 10. stavaka 1. do 3. Uredbe (EU) br. 648/2012 (obavještavanje o prelasku i padu ispod praga poravnanja – primjenjivo samo na NFC) </w:t>
      </w:r>
    </w:p>
    <w:p w14:paraId="44ED45B5" w14:textId="2639ABC8"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4. članka 11. stavaka 1. do 10., stavka 11. podstavka 1. i stavka 12. Uredbe (EU) br. 648/2012 (primjena tehnika smanjenja rizika), kao i jesu li ti FC i NFC ispunjavali obveze iz navedenih odredbi Uredbe (EU) br. 648/2012 u razdoblju koje je obuhvaćeno izvješćem. </w:t>
      </w:r>
    </w:p>
    <w:p w14:paraId="74140DB9" w14:textId="362BF943"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(4) Izvješće iz stavka 2. ovoga članka minimalno mora sadržavati:</w:t>
      </w:r>
    </w:p>
    <w:p w14:paraId="5B32E007" w14:textId="64274FA6"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podatak o tome je li subjekt iz stavka 2. ovoga članka, koji je NFC, za potrebe primjene obveze poravnanja iz članka 4. Uredbe (EU) br. 648/2012 i izračuna praga poravnanja ispravno klasificirao unutargrupne transakcije i transakcije koje objektivno mjerljivo smanjuju rizike koji se izravno odnose na komercijalnu aktivnost ili aktivnost financiranja poslovanja te NFC ili njene grupe, te posljedično, je li se subjekt ispravno klasificirao kao NFC ispod ili iznad praga poravnanja </w:t>
      </w:r>
    </w:p>
    <w:p w14:paraId="01EC2CA4" w14:textId="039B0475"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izjavu o usklađenosti subjekta odnosno popis utvrđenih neusklađenosti. </w:t>
      </w:r>
    </w:p>
    <w:p w14:paraId="192D6A27" w14:textId="205677C1"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(5) Izvješće iz stavka 2. ovoga članka potpisuju: </w:t>
      </w:r>
    </w:p>
    <w:p w14:paraId="6A021087" w14:textId="7C47BA38"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najmanje dva člana uprave ili dva direktora subjekta, pri čemu je obvezan potpis člana uprave ili direktora subjekta koji je nadležan za područje usklađenosti, ako je primjenjivo </w:t>
      </w:r>
    </w:p>
    <w:p w14:paraId="344E57B2" w14:textId="359BB2FB"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u jednočlanim upravama, član uprave odnosno direktor subjekta </w:t>
      </w:r>
    </w:p>
    <w:p w14:paraId="0857CE39" w14:textId="71F06056"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kada Agencija sukladno odredbama članka 388. ovoga Zakona naloži da izvješće sastavi ili potvrdi revizorsko društvo, profesionalni računovođa ili neovisni procjenitelj, izvješće potpisuju i te osobe. </w:t>
      </w:r>
    </w:p>
    <w:p w14:paraId="140E6852" w14:textId="088F32E7"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(6) Agencija pravilnikom detaljnije propisuje sadržaj, format, način i rokove dostave izvješća iz stavka 2. ovoga članka. </w:t>
      </w:r>
    </w:p>
    <w:p w14:paraId="14BA06F0" w14:textId="4EA0380A" w:rsidR="2B3481CE" w:rsidRPr="000479E9" w:rsidRDefault="2B3481CE" w:rsidP="2B3481CE">
      <w:pPr>
        <w:spacing w:after="0" w:line="240" w:lineRule="auto"/>
        <w:jc w:val="both"/>
        <w:rPr>
          <w:rFonts w:ascii="Times New Roman" w:eastAsia="Times New Roman" w:hAnsi="Times New Roman" w:cs="Times New Roman"/>
          <w:sz w:val="24"/>
          <w:szCs w:val="24"/>
        </w:rPr>
      </w:pPr>
    </w:p>
    <w:p w14:paraId="16338E06" w14:textId="77EF2915" w:rsidR="708AB03F" w:rsidRPr="000479E9" w:rsidRDefault="708AB03F"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 xml:space="preserve">Ovlasti Agencije </w:t>
      </w:r>
    </w:p>
    <w:p w14:paraId="1F7AE26A" w14:textId="7760975E" w:rsidR="708AB03F" w:rsidRPr="000479E9" w:rsidRDefault="708AB03F"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 xml:space="preserve">Članak 388. </w:t>
      </w:r>
    </w:p>
    <w:p w14:paraId="158DA81A" w14:textId="39B95C5E" w:rsidR="2B3481CE" w:rsidRPr="000479E9" w:rsidRDefault="2B3481CE" w:rsidP="2B3481CE">
      <w:pPr>
        <w:spacing w:after="0" w:line="240" w:lineRule="auto"/>
        <w:jc w:val="both"/>
        <w:rPr>
          <w:rFonts w:ascii="Times New Roman" w:eastAsia="Times New Roman" w:hAnsi="Times New Roman" w:cs="Times New Roman"/>
          <w:sz w:val="24"/>
          <w:szCs w:val="24"/>
        </w:rPr>
      </w:pPr>
    </w:p>
    <w:p w14:paraId="4E6D22DB" w14:textId="26AC9112"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Za potrebe osiguranja efikasnog nadzora nad NFC iz članka 387. stavka 2. ovoga Zakona, Agencija je ovlaštena da: </w:t>
      </w:r>
    </w:p>
    <w:p w14:paraId="05E357C4" w14:textId="4F447DDC"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takvim subjektima naloži da imenuju revizorsko društvo, profesionalnog računovođu ili neovisnog procjenitelja za izradu ili potvrdu izvješća iz članka 387. stavka 2. ovoga Zakona </w:t>
      </w:r>
    </w:p>
    <w:p w14:paraId="0C7CC8C0" w14:textId="4C81DB77"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odredi rok u kojem takvo revizorsko društvo, profesionalni računovođa ili neovisni procjenitelj mora izraditi izvješće iz članka 387. stavka 2. ovoga Zakona ili izvršiti objektivnu procjenu je li izvješće iz članka 387. stavka 2. ovoga Zakona izrađeno u skladu s odredbama Uredbe (EU) br. 648/2012, ovoga Zakona i pravilnikom iz članka 387. stavka 8. ovoga Zakona. </w:t>
      </w:r>
    </w:p>
    <w:p w14:paraId="7C36CEF2" w14:textId="629E82FA"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Izvješće odnosno procjena iz stavka 1. ovoga članka predočava se upravi i nadzornom odboru NFC iz stavka 1. ovoga članka, ako ima nadzorni odbor. Upravi se, prije dostavljanja izvješća nadzornom odboru, mora omogućiti da se očituje. Izvješće </w:t>
      </w:r>
      <w:r w:rsidRPr="000479E9">
        <w:rPr>
          <w:rFonts w:ascii="Times New Roman" w:eastAsia="Times New Roman" w:hAnsi="Times New Roman" w:cs="Times New Roman"/>
          <w:sz w:val="24"/>
          <w:szCs w:val="24"/>
        </w:rPr>
        <w:lastRenderedPageBreak/>
        <w:t>odnosno procjena iz stavka 1. ovoga članka daje se u pisanom obliku. Ako revizorsko društvo, profesionalni računovođa ili neovisni procjenitelj iz stavka 1. ovoga članka saznaju za materijalno značajna i teška kršenja zahtjeva iz članka 387. stavka 3. ovoga Zakona, moraju o tome pisano i bez odgode obavijestiti Agenciju. (</w:t>
      </w:r>
    </w:p>
    <w:p w14:paraId="07670ADA" w14:textId="607CF294"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NFC iz stavka 1. ovoga članka obvezno je u roku od deset dana od predočavanja izvještaja, takvo izvješće dostaviti Agenciji. Ako revizorsko društvo, profesionalni računovođa ili neovisni procjenitelj iz stavka 1. ovoga članka utvrde da je uprava NFC iz stavka 1. ovoga članka propustila ispuniti svoju obvezu izvještavanja Agencije o predočenom izvješću, mora o tome pisano i bez odgode obavijestiti Agenciju. Ako Agencija utvrdi da revizor nije izvršio obvezu obavještavanja Agencije, o postojanju povrede dužnosti revizora Agencija pisano obavještava revizorsku komoru. </w:t>
      </w:r>
    </w:p>
    <w:p w14:paraId="087D8B71" w14:textId="1A898EB8"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(4) Agencija može od NFC, revizorskog društva, profesionalnog računovođe ili neovisnog procjenitelja iz stavka 1. ovoga članka zatražiti dodatne informacije u vezi s dostavljenim izvješćem odnosno s obavljenom procjenom. </w:t>
      </w:r>
    </w:p>
    <w:p w14:paraId="77B66B6D" w14:textId="27C894E0"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(5) Dostava podataka Agenciji iz stavaka 1. do 4. ovoga članka ne znači kršenje revizorove obveze o čuvanju povjerljivih informacija koja proizlazi iz zakona kojim se uređuje revizija ili iz ugovora, kao ni kršenje obveze profesionalnog računovođe ili neovisnog procjenitelja o čuvanju povjerljivih informacija koja proizlazi iz pravila struke ili ugovora.</w:t>
      </w:r>
    </w:p>
    <w:p w14:paraId="10D737DF" w14:textId="1ABEA407"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(6) Ako Agencija utvrdi da izvješće nije izrađeno ili procjena nije dana u skladu s Uredbom (EU) br. 648/2012, ovim Zakonom, pravilnicima donesenima na temelju ovoga Zakona, zakonom kojim se uređuje revizija i pravilima revizorske struke ili ako obavljenom nadzorom nad NFC iz stavka 1. ovoga članka ili na drugi način utvrdi da izvješće ili procjena nisu zasnovani na istinitim i objektivnim činjenicama, može: </w:t>
      </w:r>
    </w:p>
    <w:p w14:paraId="1B03032F" w14:textId="34ED6207"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zahtijevati od revizorskog društva, profesionalnog računovođe ili neovisnog procjenitelja iz stavka 1. ovoga članka da svoje izvješće ili procjenu ispravi odnosno dopuni ili </w:t>
      </w:r>
    </w:p>
    <w:p w14:paraId="722C1C73" w14:textId="5708CB0C"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2. odbiti izvješće ili procjenu i zahtijevati od NFC iz stavka 1. ovoga članka da imenuje novo revizorsko društvo, profesionalnog računovođu ili neovisnog procjenitelja, a na svoj trošak.</w:t>
      </w:r>
    </w:p>
    <w:p w14:paraId="6CE1E605" w14:textId="3EADA11D" w:rsidR="2B3481CE" w:rsidRPr="000479E9" w:rsidRDefault="2B3481CE" w:rsidP="2B3481CE">
      <w:pPr>
        <w:spacing w:after="0" w:line="240" w:lineRule="auto"/>
        <w:jc w:val="both"/>
        <w:rPr>
          <w:rFonts w:ascii="Times New Roman" w:eastAsia="Times New Roman" w:hAnsi="Times New Roman" w:cs="Times New Roman"/>
          <w:sz w:val="24"/>
          <w:szCs w:val="24"/>
        </w:rPr>
      </w:pPr>
    </w:p>
    <w:p w14:paraId="061CF8ED" w14:textId="73E9F80B" w:rsidR="708AB03F" w:rsidRPr="000479E9" w:rsidRDefault="708AB03F"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sz w:val="24"/>
          <w:szCs w:val="24"/>
        </w:rPr>
        <w:t xml:space="preserve"> </w:t>
      </w:r>
      <w:r w:rsidRPr="000479E9">
        <w:rPr>
          <w:rFonts w:ascii="Times New Roman" w:eastAsia="Times New Roman" w:hAnsi="Times New Roman" w:cs="Times New Roman"/>
          <w:bCs/>
          <w:sz w:val="24"/>
          <w:szCs w:val="24"/>
        </w:rPr>
        <w:t xml:space="preserve">Uvjeti koje moraju ispunjavati profesionalni računovođe ili neovisni procjenitelji </w:t>
      </w:r>
    </w:p>
    <w:p w14:paraId="1C221279" w14:textId="63E86EE5" w:rsidR="708AB03F" w:rsidRPr="000479E9" w:rsidRDefault="708AB03F"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bCs/>
          <w:sz w:val="24"/>
          <w:szCs w:val="24"/>
        </w:rPr>
        <w:t>Članak 389</w:t>
      </w:r>
      <w:r w:rsidRPr="000479E9">
        <w:rPr>
          <w:rFonts w:ascii="Times New Roman" w:eastAsia="Times New Roman" w:hAnsi="Times New Roman" w:cs="Times New Roman"/>
          <w:sz w:val="24"/>
          <w:szCs w:val="24"/>
        </w:rPr>
        <w:t xml:space="preserve">. </w:t>
      </w:r>
    </w:p>
    <w:p w14:paraId="3B80B571" w14:textId="400AC291"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Kada NFC za potrebe članka 388. ovoga Zakona imenuje profesionalnog računovođu ili neovisnog procjenitelja, NFC mora osigurati da takvi profesionalni računovođe ili neovisni procjenitelji ispunjavaju sljedeće uvjete: </w:t>
      </w:r>
    </w:p>
    <w:p w14:paraId="710E26A0" w14:textId="1CB0A2BD"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moraju raspolagati s dovoljno znanja i iskustva u području izvedenica i u primjeni računovodstva zaštite, kao i imati dovoljno znanja o subjektu procjene da bi mogli pripremiti izvješće iz članka 387. stavka 2. ovoga Zakona </w:t>
      </w:r>
    </w:p>
    <w:p w14:paraId="2A30FA2E" w14:textId="1941F493"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nemaju potencijalne sukobe interesa vezano za područja koja su predmet izvještaja ili procjene, uključujući i sukobe interesa koji se mogu materijalizirati iz razloga što bi izvještaj ili procjena u pitanje mogli dovesti kvalitetu ili pouzdanost usluga koje su te osobe prethodno pružale, a NFC je Agenciji obvezan dostaviti potvrdu da je proveo takvu procjenu. </w:t>
      </w:r>
    </w:p>
    <w:p w14:paraId="069197FB" w14:textId="17B30A5E"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lastRenderedPageBreak/>
        <w:t xml:space="preserve">(2) Iznimno od odredbi stavka 1. ovoga članka, kada profesionalni računovođa izvješće ili procjenu iz članka 387. stavka 2. ovoga Zakona priprema u sklopu godišnje revizije financijskih izvještaja, NFC nije obvezan Agenciji dostaviti potvrdu iz stavka 1. ovoga članka. </w:t>
      </w:r>
    </w:p>
    <w:p w14:paraId="57679978" w14:textId="7D6551FD" w:rsidR="2B3481CE" w:rsidRPr="000479E9" w:rsidRDefault="2B3481CE" w:rsidP="2B3481CE">
      <w:pPr>
        <w:spacing w:after="0" w:line="240" w:lineRule="auto"/>
        <w:jc w:val="both"/>
        <w:rPr>
          <w:rFonts w:ascii="Times New Roman" w:eastAsia="Times New Roman" w:hAnsi="Times New Roman" w:cs="Times New Roman"/>
          <w:sz w:val="24"/>
          <w:szCs w:val="24"/>
        </w:rPr>
      </w:pPr>
    </w:p>
    <w:p w14:paraId="4731C95D" w14:textId="3B5151FB" w:rsidR="708AB03F" w:rsidRPr="000479E9" w:rsidRDefault="708AB03F"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Praćenje dopuštenosti primjene izuzeća </w:t>
      </w:r>
    </w:p>
    <w:p w14:paraId="24A5C969" w14:textId="528BADDE" w:rsidR="708AB03F" w:rsidRPr="000479E9" w:rsidRDefault="708AB03F"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Članak 390. </w:t>
      </w:r>
    </w:p>
    <w:p w14:paraId="5982FAF5" w14:textId="248E43EC" w:rsidR="2B3481CE" w:rsidRPr="000479E9" w:rsidRDefault="2B3481CE" w:rsidP="2B3481CE">
      <w:pPr>
        <w:spacing w:after="0" w:line="240" w:lineRule="auto"/>
        <w:jc w:val="both"/>
        <w:rPr>
          <w:rFonts w:ascii="Times New Roman" w:eastAsia="Times New Roman" w:hAnsi="Times New Roman" w:cs="Times New Roman"/>
          <w:sz w:val="24"/>
          <w:szCs w:val="24"/>
        </w:rPr>
      </w:pPr>
    </w:p>
    <w:p w14:paraId="32E7099B" w14:textId="69E123E9"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Za potrebe efikasnog nadzora nad primjenom izuzeća iz članka 4. stavka 1. točke 10. ovoga Zakona NFC-i koji prelaze prag poravnanja za robne izvedenice obvezni su na godišnjoj razini sastavljati i Agenciji dostaviti na zahtjev izvješće o provođenju testova pomoćnih aktivnosti propisanih Delegiranom uredbom Komisije (EU) 2021/1833 od 14. srpnja 2021. o dopuni Direktive 2014/65/EU Europskog parlamenta i Vijeća određivanjem kriterija za utvrđivanje kada se aktivnost treba smatrati pomoćnom uz redovnu djelatnost na razini grupe (Tekst značajan za EGP) (SL L 372, 20. 10. 2021.) (u daljnjem tekstu: Delegirana uredba (EU) br. 2021/1833.). </w:t>
      </w:r>
    </w:p>
    <w:p w14:paraId="5E4A8B50" w14:textId="76CD9FA9"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U smislu stavka 1. ovoga članka, izraz »robna izvedenica« obuhvaća emisijske jedinice i izvedenice na emisijske jedinice. </w:t>
      </w:r>
    </w:p>
    <w:p w14:paraId="574A4095" w14:textId="7AD923EB"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(3) Izvješće iz stavka 1. ovoga članka dostavlja se na zahtjev, a u njemu se moraju navesti:</w:t>
      </w:r>
    </w:p>
    <w:p w14:paraId="50944491" w14:textId="13802264"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 rezultati testova pomoćnih aktivnosti koje je NFC iz stavka 1. ovoga članka primijenio za procjenu je li riječ o pomoćnoj aktivnosti uz njihovu redovnu djelatnost iz Delegirane uredbe (EU) br. 2021/1833 </w:t>
      </w:r>
    </w:p>
    <w:p w14:paraId="00B603E3" w14:textId="2EC096C2"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podatke o prometu i volumenu transakcija u razdoblju obuhvaćenom izvještajem, kao i podatke o izuzetim transakcijama </w:t>
      </w:r>
    </w:p>
    <w:p w14:paraId="72BD6D0C" w14:textId="0256D651"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podatak o tome na koji je način NFC iz stavka 1. ovoga članka (pojedinačno i na razini grupe) iz izračuna isključio izuzete transakcije i </w:t>
      </w:r>
    </w:p>
    <w:p w14:paraId="2568ADFF" w14:textId="33A394C0"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4. izjava da je NFC iz stavka 2. ovoga članka (pojedinačno i na razini grupe), za potrebe određivanja izuzetih transakcija, pravilno primijenio odredbe članka 3. Uredbe (EU) br. 648/2012, odredbe članka 10. Delegirane uredbe Komisije (EU) br. 149/2013 od 19. prosinca 2012. o dopuni Uredbe (EU) br. 648/2012 Europskog parlamenta i Vijeća vezano uz regulatorne tehničke standarde o dogovorima o posrednom poravnanju, obvezi poravnanja, javnom registru, pristupu mjestu trgovanja, nefinancijskim drugim ugovornim strankama i tehnikama smanjenja rizika za ugovore o OTC izvedenicama čije se poravnanje ne obavlja posredstvom središnje druge ugovorne stranke (Tekst značajan za EGP) (SL L 52, 23. 2. 2013.) i uvjete iz posebnih propisa koji se odnose na točku 3. ovoga stavka, a da bi klasificirao transakcije kao izuzete transakcije iz Delegirane uredbe (EU) br. 2021/1833. </w:t>
      </w:r>
    </w:p>
    <w:p w14:paraId="6AED6A26" w14:textId="51A774B6" w:rsidR="708AB03F" w:rsidRPr="000479E9" w:rsidRDefault="708AB03F"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(4) Na izvješće i subjekte iz stavka 1. ovoga članka na odgovarajući se način primjenjuju odredbe članka 387. stavaka 7. i 8. i odredbe članaka 388. i 389. ovoga Zakona.</w:t>
      </w:r>
    </w:p>
    <w:p w14:paraId="1EFCC918" w14:textId="510327E0" w:rsidR="2B3481CE" w:rsidRPr="000479E9" w:rsidRDefault="2B3481CE" w:rsidP="2B3481CE">
      <w:pPr>
        <w:spacing w:after="0" w:line="240" w:lineRule="auto"/>
        <w:jc w:val="both"/>
        <w:rPr>
          <w:rFonts w:ascii="Times New Roman" w:eastAsia="Times New Roman" w:hAnsi="Times New Roman" w:cs="Times New Roman"/>
          <w:sz w:val="24"/>
          <w:szCs w:val="24"/>
        </w:rPr>
      </w:pPr>
    </w:p>
    <w:p w14:paraId="7F8FBE42" w14:textId="04678E15" w:rsidR="35F8AA4E" w:rsidRPr="000479E9" w:rsidRDefault="35F8AA4E"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sz w:val="24"/>
          <w:szCs w:val="24"/>
        </w:rPr>
        <w:t>D</w:t>
      </w:r>
      <w:r w:rsidRPr="000479E9">
        <w:rPr>
          <w:rFonts w:ascii="Times New Roman" w:eastAsia="Times New Roman" w:hAnsi="Times New Roman" w:cs="Times New Roman"/>
          <w:bCs/>
          <w:sz w:val="24"/>
          <w:szCs w:val="24"/>
        </w:rPr>
        <w:t xml:space="preserve">IO TREĆI </w:t>
      </w:r>
    </w:p>
    <w:p w14:paraId="0DFADA8A" w14:textId="284CEB28" w:rsidR="2B3481CE" w:rsidRPr="000479E9" w:rsidRDefault="2B3481CE" w:rsidP="00F01D72">
      <w:pPr>
        <w:spacing w:after="0" w:line="240" w:lineRule="auto"/>
        <w:jc w:val="center"/>
        <w:rPr>
          <w:rFonts w:ascii="Times New Roman" w:eastAsia="Times New Roman" w:hAnsi="Times New Roman" w:cs="Times New Roman"/>
          <w:bCs/>
          <w:sz w:val="24"/>
          <w:szCs w:val="24"/>
        </w:rPr>
      </w:pPr>
    </w:p>
    <w:p w14:paraId="055615C3" w14:textId="0EA37513" w:rsidR="35F8AA4E" w:rsidRPr="000479E9" w:rsidRDefault="35F8AA4E"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 xml:space="preserve">PONUDA VRIJEDNOSNIH PAPIRA JAVNOSTI I OBJAVLJIVANJE PROPISANIH INFORMACIJA </w:t>
      </w:r>
    </w:p>
    <w:p w14:paraId="4F92BCBE" w14:textId="20680010" w:rsidR="2B3481CE" w:rsidRPr="000479E9" w:rsidRDefault="2B3481CE" w:rsidP="00F01D72">
      <w:pPr>
        <w:spacing w:after="0" w:line="240" w:lineRule="auto"/>
        <w:jc w:val="center"/>
        <w:rPr>
          <w:rFonts w:ascii="Times New Roman" w:eastAsia="Times New Roman" w:hAnsi="Times New Roman" w:cs="Times New Roman"/>
          <w:bCs/>
          <w:sz w:val="24"/>
          <w:szCs w:val="24"/>
        </w:rPr>
      </w:pPr>
    </w:p>
    <w:p w14:paraId="509862EE" w14:textId="3DD569F0" w:rsidR="35F8AA4E" w:rsidRPr="000479E9" w:rsidRDefault="35F8AA4E"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 xml:space="preserve">GLAVA I. </w:t>
      </w:r>
    </w:p>
    <w:p w14:paraId="7E801A0E" w14:textId="75AD58C0" w:rsidR="2B3481CE" w:rsidRPr="000479E9" w:rsidRDefault="2B3481CE" w:rsidP="00F01D72">
      <w:pPr>
        <w:spacing w:after="0" w:line="240" w:lineRule="auto"/>
        <w:jc w:val="center"/>
        <w:rPr>
          <w:rFonts w:ascii="Times New Roman" w:eastAsia="Times New Roman" w:hAnsi="Times New Roman" w:cs="Times New Roman"/>
          <w:bCs/>
          <w:sz w:val="24"/>
          <w:szCs w:val="24"/>
        </w:rPr>
      </w:pPr>
    </w:p>
    <w:p w14:paraId="319423A8" w14:textId="2962C390" w:rsidR="35F8AA4E" w:rsidRPr="000479E9" w:rsidRDefault="35F8AA4E"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PROSPEKT</w:t>
      </w:r>
    </w:p>
    <w:p w14:paraId="0EE9AC17" w14:textId="367D7F69" w:rsidR="2B3481CE" w:rsidRPr="000479E9" w:rsidRDefault="2B3481CE" w:rsidP="00F01D72">
      <w:pPr>
        <w:spacing w:after="0" w:line="240" w:lineRule="auto"/>
        <w:jc w:val="center"/>
        <w:rPr>
          <w:rFonts w:ascii="Times New Roman" w:eastAsia="Times New Roman" w:hAnsi="Times New Roman" w:cs="Times New Roman"/>
          <w:bCs/>
          <w:sz w:val="24"/>
          <w:szCs w:val="24"/>
        </w:rPr>
      </w:pPr>
    </w:p>
    <w:p w14:paraId="3569197D" w14:textId="33865D24" w:rsidR="35F8AA4E" w:rsidRPr="000479E9" w:rsidRDefault="35F8AA4E"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 xml:space="preserve"> POGLAVLJE I. </w:t>
      </w:r>
    </w:p>
    <w:p w14:paraId="7350DD42" w14:textId="0676DC0C" w:rsidR="2B3481CE" w:rsidRPr="000479E9" w:rsidRDefault="2B3481CE" w:rsidP="00F01D72">
      <w:pPr>
        <w:spacing w:after="0" w:line="240" w:lineRule="auto"/>
        <w:jc w:val="center"/>
        <w:rPr>
          <w:rFonts w:ascii="Times New Roman" w:eastAsia="Times New Roman" w:hAnsi="Times New Roman" w:cs="Times New Roman"/>
          <w:bCs/>
          <w:sz w:val="24"/>
          <w:szCs w:val="24"/>
        </w:rPr>
      </w:pPr>
    </w:p>
    <w:p w14:paraId="6F0CFD56" w14:textId="783AB6BF" w:rsidR="35F8AA4E" w:rsidRPr="000479E9" w:rsidRDefault="35F8AA4E" w:rsidP="00F01D72">
      <w:pPr>
        <w:spacing w:after="0" w:line="240" w:lineRule="auto"/>
        <w:jc w:val="center"/>
        <w:rPr>
          <w:rFonts w:ascii="Times New Roman" w:eastAsia="Times New Roman" w:hAnsi="Times New Roman" w:cs="Times New Roman"/>
          <w:bCs/>
          <w:sz w:val="24"/>
          <w:szCs w:val="24"/>
        </w:rPr>
      </w:pPr>
      <w:r w:rsidRPr="000479E9">
        <w:rPr>
          <w:rFonts w:ascii="Times New Roman" w:eastAsia="Times New Roman" w:hAnsi="Times New Roman" w:cs="Times New Roman"/>
          <w:bCs/>
          <w:sz w:val="24"/>
          <w:szCs w:val="24"/>
        </w:rPr>
        <w:t xml:space="preserve">OPĆE ODREDBE </w:t>
      </w:r>
    </w:p>
    <w:p w14:paraId="5D58F3C9" w14:textId="0A175493" w:rsidR="2B3481CE" w:rsidRPr="000479E9" w:rsidRDefault="2B3481CE" w:rsidP="2B3481CE">
      <w:pPr>
        <w:spacing w:after="0" w:line="240" w:lineRule="auto"/>
        <w:jc w:val="both"/>
        <w:rPr>
          <w:rFonts w:ascii="Times New Roman" w:eastAsia="Times New Roman" w:hAnsi="Times New Roman" w:cs="Times New Roman"/>
          <w:sz w:val="24"/>
          <w:szCs w:val="24"/>
        </w:rPr>
      </w:pPr>
    </w:p>
    <w:p w14:paraId="701D19AF" w14:textId="21EAEC3E" w:rsidR="35F8AA4E" w:rsidRPr="000479E9" w:rsidRDefault="35F8AA4E"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Nadležnost Agencije</w:t>
      </w:r>
    </w:p>
    <w:p w14:paraId="09D2E019" w14:textId="50BDBB3F" w:rsidR="35F8AA4E" w:rsidRPr="000479E9" w:rsidRDefault="35F8AA4E" w:rsidP="00F01D72">
      <w:pPr>
        <w:spacing w:after="0" w:line="240" w:lineRule="auto"/>
        <w:jc w:val="center"/>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Članak 405.</w:t>
      </w:r>
    </w:p>
    <w:p w14:paraId="33FE2B31" w14:textId="40FAFC71" w:rsidR="2B3481CE" w:rsidRPr="000479E9" w:rsidRDefault="2B3481CE" w:rsidP="2B3481CE">
      <w:pPr>
        <w:spacing w:after="0" w:line="240" w:lineRule="auto"/>
        <w:jc w:val="both"/>
        <w:rPr>
          <w:rFonts w:ascii="Times New Roman" w:eastAsia="Times New Roman" w:hAnsi="Times New Roman" w:cs="Times New Roman"/>
          <w:sz w:val="24"/>
          <w:szCs w:val="24"/>
        </w:rPr>
      </w:pPr>
    </w:p>
    <w:p w14:paraId="1E41844C" w14:textId="7609EC09"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(1) Agencija kao tijelo nadležno za provedbu Uredbe (EU) br. 2017/1129 osigurava primjenu odredbi Uredbe (EU) br. 2017/1129 te je odgovorna za provedbu dužnosti navedenih u Uredbi (EU) br. 2017/1129 na području Republike Hrvatske pri čemu djeluje neovisno o sudionicima na tržištu. (</w:t>
      </w:r>
    </w:p>
    <w:p w14:paraId="08A3E17A" w14:textId="6DDCAC4A"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Nadležnost Agencije u okviru provedbe Uredbe (EU) br. 2017 /1129 i ovog dijela Zakona obuhvaća: 1. donošenje odluke o zahtjevu: </w:t>
      </w:r>
    </w:p>
    <w:p w14:paraId="4F95BAF1" w14:textId="49481869"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za odobrenje prospekta u skladu s člankom 20. Uredbe (EU) br. 2017/1129 </w:t>
      </w:r>
    </w:p>
    <w:p w14:paraId="306B66AA" w14:textId="4EA83142"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za odobrenje univerzalnog registracijskog dokumenta u skladu s člankom 9. Uredbe (EU) br. 2017/1129 </w:t>
      </w:r>
    </w:p>
    <w:p w14:paraId="7E4D15F5" w14:textId="3288A386"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za odobrenje registracijskog dokumenta te za odobrenje obavijesti o vrijednosnom papiru i sažetka prospekta u smislu članka 10. Uredbe (EU) br. 2017/1129, kada je Republika Hrvatska matična država članica u skladu s odredbama članka 2. točke (m) Uredbe (EU) br. 2017/1129 te u slučajevima da je odobrenje prospekta preneseno na Agenciju u skladu s odredbom članka 20. stavka 8. Uredbe (EU) br. 2017/1129 </w:t>
      </w:r>
    </w:p>
    <w:p w14:paraId="19AEAB2F" w14:textId="3790A833"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2. donošenje odluke o odobrenju dopune prospekta, registracijskog dokumenta ili univerzalnog registracijskog dokumenta u skladu s odredbama članka 10. stavka 1., članka 23. i članka 26. stavka 5. Uredbe (EU) br. 2017/1129 </w:t>
      </w:r>
    </w:p>
    <w:p w14:paraId="4C6A0458" w14:textId="5C203B8A"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donošenje odluke o zahtjevu za izostavljanjem informacija iz prospekta u skladu s odredbama članka 18. Uredbe (EU) br. 2017/1129 tijekom postupka odlučivanja o zahtjevima iz točaka 1. i 2. ovoga stavka </w:t>
      </w:r>
    </w:p>
    <w:p w14:paraId="0B6776F1" w14:textId="7C5C4C39"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4. obavješćivanje u skladu s odredbama članaka 25. i 26. Uredbe (EU) br. 2017/1129 </w:t>
      </w:r>
    </w:p>
    <w:p w14:paraId="4D59482C" w14:textId="691A3700"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5. donošenje odluke o prijenosu odobrenja prospekta nadležnom tijelu druge države članice u skladu s odredbom članka 20. stavka 8. Uredbe (EU) br. 2017/1129 </w:t>
      </w:r>
    </w:p>
    <w:p w14:paraId="362452B0" w14:textId="10C1079A"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6. koordinaciju i izvještavanje Europske komisije, ESMA-e i drugih nadležnih tijela </w:t>
      </w:r>
    </w:p>
    <w:p w14:paraId="7E4C17A3" w14:textId="6DB799F1"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7. delegiranje trećim osobama zadaće elektroničke objave odobrenih prospekata i povezanih dokumenata u skladu s člankom 406. ovoga Zakona, u okviru svoje odgovornosti </w:t>
      </w:r>
    </w:p>
    <w:p w14:paraId="2DE1E9CD" w14:textId="27D8FB40"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8. provođenje nadzora u smislu pridržavanja odredbi Uredbe (EU) br. 2017/1129, delegiranih i provedbenih akata i tehničkih standarda koje donosi Europska komisija temeljem Uredbe (EU) br. 2017/1129 i ovoga Zakona od strane svih subjekata na koje se isti odnose</w:t>
      </w:r>
    </w:p>
    <w:p w14:paraId="1EADD0E5" w14:textId="1C5FA713"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9. izricanje nadzornih mjera subjektima nadzora iz točke 8. ovoga stavka </w:t>
      </w:r>
    </w:p>
    <w:p w14:paraId="50B36031" w14:textId="2E9D8CFC"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lastRenderedPageBreak/>
        <w:t xml:space="preserve">10. podnošenje optužnih prijedloga i izdavanje prekršajnih naloga kod utvrđenih kršenja odredbi Uredbe (EU) br. 2017/1129, delegiranih i provedbenih akata i tehničkih standarda koje donosi Europska komisija temeljem Uredbe (EU) br. 2017/1129, kao i kršenja odredbi ove glave Zakona od strane subjekata nadzora iz točke 8. ovoga stavka </w:t>
      </w:r>
    </w:p>
    <w:p w14:paraId="51BF3C21" w14:textId="2E260C62"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11. suradnju s drugim nadzornim tijelima država članica Europske unije, ESMA-om i nadzornim tijelima trećih zemalja </w:t>
      </w:r>
    </w:p>
    <w:p w14:paraId="113EFA4C" w14:textId="4AF94E7D"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12. druge ovlasti na temelju Uredbe (EU) br. 2017/1129 i ovoga Zakona. </w:t>
      </w:r>
    </w:p>
    <w:p w14:paraId="6303777B" w14:textId="3154562B"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(3) Agencija pri odlučivanju o zahtjevima iz stavka 2. točaka 1., 2. i 3. ovoga članka i o izricanju nadzornih mjera iz stavka 2. točke 9. ovoga članka te u drugim slučajevima kada u skladu sa svojim ovlastima vodi postupak pokrenut na zahtjev stranke ili po službenoj dužnosti, primjenjuje odredbe zakona koji uređuje opći upravni postupak, osim kada su takve odredbe suprotne odredbama Uredbe (EU) br. 2017/1129. </w:t>
      </w:r>
    </w:p>
    <w:p w14:paraId="1044FF52" w14:textId="07791B10"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(4) Agencija rješenjem odbija zahtjev za odobrenje dokumenata iz stavka 2. točaka 1. i 2. ovoga članka odnosno zahtjev iz stavka 2. točke 3. ovoga članka: </w:t>
      </w:r>
    </w:p>
    <w:p w14:paraId="30DABD3A" w14:textId="59131C75"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kada dokumenti iz stavka 2. točaka 1. i 2. ovoga članka ne ispunjavaju uvjete iz odredbi članaka 6. do 10., članaka 14. do 19., članka 23. te članka 27. Uredbe (EU) br. 2017/1129, a osobe koje su podnijele zahtjev za odobrenje navedenih dokumenata odnosno koje su podnijele zahtjev iz točke 3. stavka 2. ovoga članka ne mogu ili ne žele izvršiti potrebne izmjene ili pružiti dodatne informacije u skladu s člankom 20. stavkom 5. Uredbe (EU) br. 2017/1129 odnosno u slučaju kada nisu ispunjeni uvjeti za izostavljanjem informacija iz prospekta iz članka 18. Uredbe (EU) br. 2017/1129 </w:t>
      </w:r>
    </w:p>
    <w:p w14:paraId="139CB246" w14:textId="6C607A22"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kada se dokument odnosi na ponudu vrijednosnih papira javnosti, a odluka nadležnog organa izdavatelja o izdavanju vrijednosnih papira je pravomoćnom sudskom odlukom utvrđena kao ništetna ili je poništena ili je stavljena izvan snage i/ili </w:t>
      </w:r>
    </w:p>
    <w:p w14:paraId="5D309ACF" w14:textId="455EF7D0"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 u slučaju iz članka 32. stavka 1. točke k) Uredbe (EU) br. 2017/1129. </w:t>
      </w:r>
    </w:p>
    <w:p w14:paraId="11478146" w14:textId="6FC135DE"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(5) Agencija rješenjem odbacuje zahtjev za odobrenje prospekta u slučaju: 1. kada je zahtjev podnijela osoba koja ga nije ovlaštena podnijeti u skladu s odredbama Uredbe (EU) br. 2017/1129 i odredbama ovoga Zakona 2. kada je zahtjev nepotpun ili neuredan iz drugih razloga, a ne iz razloga iz stavka 4. ovoga članka, a podnositelj zahtjeva za odobrenje prospekta nije, u roku određenom pozivom na dopunu, dopunio zahtjev, a po zahtjevu se ne može postupiti i/ili 3. kada nisu ispunjene druge pretpostavke za vođenje postupka. </w:t>
      </w:r>
    </w:p>
    <w:p w14:paraId="61CF007F" w14:textId="08B8B6DE"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(6) U slučajevima kada Agencija ne donese odluku o zahtjevima iz stavka 2. točaka 1., 2. i 3. ovoga članka u rokovima propisanima odredbama članka 20. stavaka 2., 3. i 6. i članka 23. stavka 1. Uredbe (EU) br. 2017/1129 ili u navedenim rokovima ne uputi poziv na dostavu izmjena i/ili dopuna dokumentacije na koju se navedeni zahtjevi odnose, osoba koja je podnijela zahtjev ima pravo pokrenuti upravni spor u skladu s odredbama zakona koji uređuje upravne sporove. </w:t>
      </w:r>
    </w:p>
    <w:p w14:paraId="5C0B85FB" w14:textId="135084F0"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 xml:space="preserve">(7) U slučajevima iz stavka 2. ovoga članka, a koji nisu navedeni u stavku 3. ovoga članka, Agencija postupa i odlučuje u skladu s odredbama zakona kojim se uređuje nadležnost i djelokrug Agencije, osim kada su takve odredbe suprotne odredbama Uredbe (EU) br. 2017/1129. </w:t>
      </w:r>
    </w:p>
    <w:p w14:paraId="3C1BF03C" w14:textId="50F4224B" w:rsidR="35F8AA4E" w:rsidRPr="000479E9" w:rsidRDefault="35F8AA4E" w:rsidP="2B3481CE">
      <w:pPr>
        <w:spacing w:after="0" w:line="240" w:lineRule="auto"/>
        <w:jc w:val="both"/>
        <w:rPr>
          <w:rFonts w:ascii="Times New Roman" w:eastAsia="Times New Roman" w:hAnsi="Times New Roman" w:cs="Times New Roman"/>
          <w:sz w:val="24"/>
          <w:szCs w:val="24"/>
        </w:rPr>
      </w:pPr>
      <w:r w:rsidRPr="000479E9">
        <w:rPr>
          <w:rFonts w:ascii="Times New Roman" w:eastAsia="Times New Roman" w:hAnsi="Times New Roman" w:cs="Times New Roman"/>
          <w:sz w:val="24"/>
          <w:szCs w:val="24"/>
        </w:rPr>
        <w:t>(8) Protiv akata Agencije nije dopuštena žalba, ali se može pokrenuti upravni spor.</w:t>
      </w:r>
    </w:p>
    <w:p w14:paraId="25E0FE56" w14:textId="1DA377E7" w:rsidR="2B3481CE" w:rsidRPr="000479E9" w:rsidRDefault="2B3481CE" w:rsidP="2B3481CE">
      <w:pPr>
        <w:spacing w:after="0" w:line="240" w:lineRule="auto"/>
        <w:jc w:val="both"/>
        <w:rPr>
          <w:rFonts w:ascii="Times New Roman" w:eastAsia="Times New Roman" w:hAnsi="Times New Roman" w:cs="Times New Roman"/>
          <w:sz w:val="24"/>
          <w:szCs w:val="24"/>
        </w:rPr>
      </w:pPr>
    </w:p>
    <w:p w14:paraId="5E1AFD36" w14:textId="20D0EA40" w:rsidR="2B3481CE" w:rsidRPr="000479E9" w:rsidRDefault="2B3481CE" w:rsidP="2B3481CE">
      <w:pPr>
        <w:spacing w:after="0" w:line="240" w:lineRule="auto"/>
        <w:jc w:val="both"/>
        <w:rPr>
          <w:rFonts w:ascii="Times New Roman" w:eastAsia="Times New Roman" w:hAnsi="Times New Roman" w:cs="Times New Roman"/>
          <w:sz w:val="24"/>
          <w:szCs w:val="24"/>
        </w:rPr>
      </w:pPr>
    </w:p>
    <w:p w14:paraId="0C38F27A" w14:textId="77777777" w:rsidR="006B4BB8" w:rsidRPr="000479E9" w:rsidRDefault="006B4BB8" w:rsidP="006B4BB8">
      <w:pPr>
        <w:spacing w:after="0" w:line="240" w:lineRule="auto"/>
        <w:jc w:val="both"/>
        <w:rPr>
          <w:rFonts w:ascii="Times New Roman" w:hAnsi="Times New Roman" w:cs="Times New Roman"/>
          <w:sz w:val="24"/>
          <w:szCs w:val="24"/>
        </w:rPr>
      </w:pPr>
    </w:p>
    <w:p w14:paraId="4BB5624B"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Iznimka od obveze objave prospekta kod javne ponude vrijednosnih papira u smislu članka 3. stavka 2. Uredbe (EU) br. 2017/1129</w:t>
      </w:r>
    </w:p>
    <w:p w14:paraId="0888BA28" w14:textId="1DD49540"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409.</w:t>
      </w:r>
    </w:p>
    <w:p w14:paraId="7F6E7D1B" w14:textId="77777777" w:rsidR="00A91B71" w:rsidRPr="000479E9" w:rsidRDefault="00A91B71" w:rsidP="006B4BB8">
      <w:pPr>
        <w:spacing w:after="0" w:line="240" w:lineRule="auto"/>
        <w:jc w:val="center"/>
        <w:rPr>
          <w:rFonts w:ascii="Times New Roman" w:hAnsi="Times New Roman" w:cs="Times New Roman"/>
          <w:sz w:val="24"/>
          <w:szCs w:val="24"/>
        </w:rPr>
      </w:pPr>
    </w:p>
    <w:p w14:paraId="005A3B0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U smislu članka 3. stavka 2. Uredbe (EU) br. 2017/1129, javne ponude vrijednosnih papira s ukupnim iznosom naknade za vrijednosne papire koji se prikuplja u Europskoj uniji manjim od 8.000.000,00 eura, koji se izračunava tijekom razdoblja od dvanaest mjeseci, izuzete su od obveze objave prospekta u skladu s Uredbom (EU) br. 2017/1129.</w:t>
      </w:r>
    </w:p>
    <w:p w14:paraId="2096E1E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O svakoj javnoj ponudi vrijednosnih papira koja je izuzeta od obveze objave prospekta u skladu sa stavkom 1. ovoga članka, a koja se provodi na području Republike Hrvatske, potrebno je obavijestiti Agenciju sukladno članku 427. ovoga Zakona.</w:t>
      </w:r>
    </w:p>
    <w:p w14:paraId="5765C99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O svakoj javnoj ponudi vrijednosnih papira koja je izuzeta od obveze objave prospekta u skladu sa stavkom 1. ovoga članka, a koja ispunjava sljedeće uvjete:</w:t>
      </w:r>
    </w:p>
    <w:p w14:paraId="76F295B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ukupni iznos naknade za vrijednosne papire koji se prikuplja u Europskoj uniji je u rasponu od 4.000.000,00 eura do 8.000.000,00 eura, koji iznosi se izračunavaju tijekom razdoblja od dvanaest mjeseci</w:t>
      </w:r>
    </w:p>
    <w:p w14:paraId="5365953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ne radi se o slučajevima iz članka 1. stavka 4. Uredbe (EU) br. 2017/1129,</w:t>
      </w:r>
    </w:p>
    <w:p w14:paraId="7B1A712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izdavatelj i/ili ponuditelj je obvezan izraditi informacijski dokument na hrvatskom jeziku i učiniti ga dostupnim ulagateljima odnosno javnosti u skladu s postupcima iz članka 21. stavka 2. Uredbe (EU) br. 2017/1129, prije početka ponude, a najkasnije na početku ponude.</w:t>
      </w:r>
    </w:p>
    <w:p w14:paraId="407440B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Informacijski dokument iz stavka 3. ovoga članka mora biti dostupan ulagateljima odnosno javnosti tijekom cijelog trajanja ponude u kojem periodu se informacije sadržane u dokumentu moraju na jasan način ažurirati bez odgode.</w:t>
      </w:r>
    </w:p>
    <w:p w14:paraId="46E341A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Agencija pravilnikom propisuje minimalni oblik i sadržaj informacijskog dokumenta iz stavka 3. ovoga članka, kao i način objave i ažuriranja informacija sadržanih u njemu.</w:t>
      </w:r>
    </w:p>
    <w:p w14:paraId="1470FAE1" w14:textId="77777777" w:rsidR="002D2BE5" w:rsidRPr="000479E9" w:rsidRDefault="002D2BE5" w:rsidP="00F01D72">
      <w:pPr>
        <w:spacing w:after="0" w:line="240" w:lineRule="auto"/>
        <w:jc w:val="center"/>
        <w:rPr>
          <w:rFonts w:ascii="Times New Roman" w:eastAsia="Calibri" w:hAnsi="Times New Roman" w:cs="Times New Roman"/>
          <w:sz w:val="24"/>
          <w:szCs w:val="24"/>
        </w:rPr>
      </w:pPr>
    </w:p>
    <w:p w14:paraId="1BC65543" w14:textId="3B325198" w:rsidR="52A6B17F" w:rsidRPr="000479E9" w:rsidRDefault="52A6B17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Odgovornost za informacije u dokumentima kada ne postoji obveza objave prospekta </w:t>
      </w:r>
    </w:p>
    <w:p w14:paraId="3609A4B6" w14:textId="24468A0E" w:rsidR="52A6B17F" w:rsidRPr="000479E9" w:rsidRDefault="52A6B17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417. </w:t>
      </w:r>
    </w:p>
    <w:p w14:paraId="67B5F04A" w14:textId="5474455B" w:rsidR="2B3481CE" w:rsidRPr="000479E9" w:rsidRDefault="2B3481CE" w:rsidP="2B3481CE">
      <w:pPr>
        <w:spacing w:after="0" w:line="240" w:lineRule="auto"/>
        <w:jc w:val="both"/>
        <w:rPr>
          <w:rFonts w:ascii="Times New Roman" w:eastAsia="Calibri" w:hAnsi="Times New Roman" w:cs="Times New Roman"/>
          <w:sz w:val="24"/>
          <w:szCs w:val="24"/>
        </w:rPr>
      </w:pPr>
    </w:p>
    <w:p w14:paraId="0CAF7107" w14:textId="7B09F906" w:rsidR="52A6B17F" w:rsidRPr="000479E9" w:rsidRDefault="52A6B17F"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Odredbe ovoga poglavlja primjenjuju se na odgovarajući način na odgovornost za informacije navedene u dokumentima koji se objavljuju kada ne postoji obveza objave prospekta u skladu s člankom 1. stavkom 4. točkama (f), (g), (h) i (i) i stavkom 5. točkama (e), (f), (g), (h) i (j) Uredbe (EU) br. 2017/1129.</w:t>
      </w:r>
    </w:p>
    <w:p w14:paraId="790F6A48" w14:textId="77777777" w:rsidR="006B4BB8" w:rsidRPr="000479E9" w:rsidRDefault="006B4BB8" w:rsidP="006B4BB8">
      <w:pPr>
        <w:spacing w:after="0" w:line="240" w:lineRule="auto"/>
        <w:jc w:val="center"/>
        <w:rPr>
          <w:rFonts w:ascii="Times New Roman" w:hAnsi="Times New Roman" w:cs="Times New Roman"/>
          <w:iCs/>
          <w:sz w:val="24"/>
          <w:szCs w:val="24"/>
        </w:rPr>
      </w:pPr>
    </w:p>
    <w:p w14:paraId="3616DE1E" w14:textId="5C991D8C"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Jezik prospekta za potrebe članka 27. Uredbe (EU) br. 2017/1129</w:t>
      </w:r>
    </w:p>
    <w:p w14:paraId="2653FBE4" w14:textId="554F730B"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420.</w:t>
      </w:r>
    </w:p>
    <w:p w14:paraId="63FD615C" w14:textId="77777777" w:rsidR="00A91B71" w:rsidRPr="000479E9" w:rsidRDefault="00A91B71" w:rsidP="006B4BB8">
      <w:pPr>
        <w:spacing w:after="0" w:line="240" w:lineRule="auto"/>
        <w:jc w:val="center"/>
        <w:rPr>
          <w:rFonts w:ascii="Times New Roman" w:hAnsi="Times New Roman" w:cs="Times New Roman"/>
          <w:sz w:val="24"/>
          <w:szCs w:val="24"/>
        </w:rPr>
      </w:pPr>
    </w:p>
    <w:p w14:paraId="7EF32F3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U slučajevima iz članka 27. stavka 1. Uredbe (EU) br. 2017/1129, kada je Republika Hrvatska matična država članica, prospekt se sastavlja na hrvatskom jeziku.</w:t>
      </w:r>
    </w:p>
    <w:p w14:paraId="5268606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U slučajevima iz članka 27. stavka 2. podstavka 3. Uredbe (EU) br. 2017/1129, kada je Republika Hrvatska matična država članica, a javna ponuda vrijednosnih papira ili uvrštenje na uređeno tržište se zahtijeva u jednoj ili više država članica, izuzev Republike Hrvatske, prospekt se sastavlja na hrvatskom ili engleskom jeziku, prema izboru izdavatelja, ponuditelja ili osobe koja traži uvrštenje za trgovanje na uređenom tržištu.</w:t>
      </w:r>
    </w:p>
    <w:p w14:paraId="0947F5A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U slučajevima iz članka 27. stavka 2. podstavka 2. Uredbe (EU) br. 2017/1129, kada je Republika Hrvatska država članica domaćin, a prospekt nije sastavljen na hrvatskom jeziku, sažetak prospekta mora biti dostupan na hrvatskom jeziku.</w:t>
      </w:r>
    </w:p>
    <w:p w14:paraId="28A839D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U slučajevima iz članka 27. stavka 3. podstavka 1. Uredbe (EU) br. 2017/1129, kada je Republika Hrvatska matična država članica, a javna ponuda vrijednosnih papira ili uvrštenje na uređeno tržište se zahtijeva u jednoj ili više država članica, uključujući Republiku Hrvatsku, prospekt se sastavlja na hrvatskom jeziku ili na engleskom jeziku, prema izboru izdavatelja, ponuditelja ili osobe koja traži uvrštenje za trgovanje na uređenom tržištu. Kada je prospekt prema izboru izdavatelja, ponuditelja ili osobe koja traži uvrštenje za trgovanje na uređenom tržištu sastavljen na engleskom jeziku, sažetak prospekta mora biti dostupan na hrvatskom jeziku.</w:t>
      </w:r>
    </w:p>
    <w:p w14:paraId="58C0116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U slučajevima iz članka 27. stavka 3. podstavka 2. Uredbe (EU) br. 2017/1129, kada je Republika Hrvatska država članica domaćin, a prospekt nije sastavljen na hrvatskom jeziku, sažetak prospekta mora biti dostupan na hrvatskom jeziku.</w:t>
      </w:r>
    </w:p>
    <w:p w14:paraId="5B69430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U slučajevima iz članka 27. stavka 4. Uredbe (EU) br. 2017/1129, kada je Republika Hrvatska država članica domaćin, a osnovni prospekt, konačni uvjeti i sažetak pojedinog izdanja nisu sastavljeni na hrvatskom jeziku, prijevod sažetka pojedinog izdanja priložen konačnim uvjetima mora biti dostupan na hrvatskom jeziku.</w:t>
      </w:r>
    </w:p>
    <w:p w14:paraId="703D923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U slučajevima iz članka 27. stavka 4. Uredbe (EU) br. 2017/1129, kada je Republika Hrvatska matična država članica, a javna ponuda vrijednosnih papira ili uvrštenje na uređeno tržište se zahtijeva u jednoj ili više država članica, izuzev Republike Hrvatske, osnovni prospekt, konačni uvjeti i sažetak pojedinog izdanja se sastavljaju na hrvatskom ili engleskom jeziku, prema izboru izdavatelja, ponuditelja ili osobe koja traži uvrštenje za trgovanje na uređenom tržištu.</w:t>
      </w:r>
    </w:p>
    <w:p w14:paraId="051E97E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U slučajevima iz članka 27. stavka 4. Uredbe (EU) br. 2017/1129, kada je Republika Hrvatska matična država članica, a javna ponuda vrijednosnih papira ili uvrštenje na uređeno tržište se zahtijeva u jednoj ili više država članica, uključujući Republiku Hrvatsku, osnovni prospekt, konačni uvjeti i sažetak pojedinog izdanja se sastavljaju na hrvatskom jeziku ili na engleskom jeziku, prema izboru izdavatelja, ponuditelja ili osobe koja traži uvrštenje za trgovanje na uređenom tržištu. Kada su osnovni prospekt, konačni uvjeti i sažetak pojedinog izdanja prema izboru izdavatelja, ponuditelja ili osobe koja traži uvrštenje za trgovanje na uređenom tržištu sastavljeni na engleskom jeziku, sažetak pojedinog izdanja mora biti dostupan na hrvatskom jeziku.</w:t>
      </w:r>
    </w:p>
    <w:p w14:paraId="01B5553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(9) U slučajevima iz članka 27. stavka 5. Uredbe (EU) br. 2017/1129, kada je Republika Hrvatska matična država članica, a prospekt se odnosi na uvrštenje za trgovanje na uređeno tržište u jednoj ili više država članica, neovisno o tome provodi li se uvrštenje za trgovanje na uređeno tržište u Republici Hrvatskoj, prospekt se sastavlja </w:t>
      </w:r>
      <w:r w:rsidRPr="000479E9">
        <w:rPr>
          <w:rFonts w:ascii="Times New Roman" w:hAnsi="Times New Roman" w:cs="Times New Roman"/>
          <w:sz w:val="24"/>
          <w:szCs w:val="24"/>
        </w:rPr>
        <w:lastRenderedPageBreak/>
        <w:t>na hrvatskom jeziku ili na engleskom jeziku, prema izboru izdavatelja, ponuditelja ili osobe koja traži uvrštenje za trgovanje na uređenom tržištu.</w:t>
      </w:r>
    </w:p>
    <w:p w14:paraId="249263C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U slučajevima iz članka 27. stavka 5. Uredbe (EU) br. 2017/1129, kada je Republika Hrvatska država članica domaćin, prospekt treba biti sastavljen na hrvatskom ili na engleskom jeziku, prema izboru izdavatelja, ponuditelja ili osobe koja traži uvrštenje za trgovanje na uređenom tržištu.</w:t>
      </w:r>
    </w:p>
    <w:p w14:paraId="6D2DC767" w14:textId="4378EE38" w:rsidR="006B4BB8" w:rsidRPr="000479E9" w:rsidRDefault="006B4BB8" w:rsidP="2B3481CE">
      <w:pPr>
        <w:spacing w:after="0" w:line="240" w:lineRule="auto"/>
        <w:jc w:val="both"/>
        <w:rPr>
          <w:rFonts w:ascii="Times New Roman" w:hAnsi="Times New Roman" w:cs="Times New Roman"/>
          <w:sz w:val="24"/>
          <w:szCs w:val="24"/>
        </w:rPr>
      </w:pPr>
    </w:p>
    <w:p w14:paraId="4F9309FA" w14:textId="39355875" w:rsidR="006B4BB8" w:rsidRPr="000479E9" w:rsidRDefault="56FADB4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Jezik registracijskog dokumenta ili univerzalnog registracijskog dokumenta za potrebe članka 26. Uredbe (EU) br. 2017/1129 </w:t>
      </w:r>
    </w:p>
    <w:p w14:paraId="7EC6C7C9" w14:textId="28E1A034" w:rsidR="006B4BB8" w:rsidRPr="000479E9" w:rsidRDefault="56FADB43"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421. </w:t>
      </w:r>
    </w:p>
    <w:p w14:paraId="1FDDEE67" w14:textId="6855D6A2" w:rsidR="006B4BB8" w:rsidRPr="000479E9" w:rsidRDefault="006B4BB8" w:rsidP="2B3481CE">
      <w:pPr>
        <w:spacing w:after="0" w:line="240" w:lineRule="auto"/>
        <w:jc w:val="both"/>
        <w:rPr>
          <w:rFonts w:ascii="Times New Roman" w:eastAsia="Calibri" w:hAnsi="Times New Roman" w:cs="Times New Roman"/>
          <w:sz w:val="24"/>
          <w:szCs w:val="24"/>
        </w:rPr>
      </w:pPr>
    </w:p>
    <w:p w14:paraId="2F9B7344" w14:textId="1D32F2F6" w:rsidR="006B4BB8" w:rsidRPr="000479E9" w:rsidRDefault="56FADB4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Kada je Republika Hrvatska matična država članica, na registracijski dokument ili univerzalni registracijski dokument koji je dostavljen Agenciji na odobrenje i koji čine sastavni dio prospekta koji odobrava Agencija primjenjuju se pravila o jeziku prospekta iz članka 420. ovoga Zakona. </w:t>
      </w:r>
    </w:p>
    <w:p w14:paraId="1641BB17" w14:textId="54580775" w:rsidR="006B4BB8" w:rsidRPr="000479E9" w:rsidRDefault="56FADB4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U slučajevima iz članka 26. stavka 4. Uredbe (EU) br. 2017/1129, kada je Republika Hrvatska matična država članica koja odobrava obavijest o vrijednosnom papiru i sažetak odnosno prospekt u koji se uključuje registracijski dokument ili univerzalni registracijski dokument o kojem je Agenciju obavijestilo nadležno tijelo iz države članice koje ga je odobrilo u skladu s člankom 26. stavkom 2. Uredbe (EU) br. 2017/1129, takvoj obavijesti prilaže se prijevod registracijskog dokumenta ili univerzalnog registracijskog dokumenta i svake njihove izmjene na hrvatski jezik ili na engleski jezik, ovisno o tome radi li se o slučaju iz članka 420. stavaka 1., 2., 4., 7., 8. ili 9. ovoga Zakona. </w:t>
      </w:r>
    </w:p>
    <w:p w14:paraId="420DF7FA" w14:textId="0069FB99" w:rsidR="006B4BB8" w:rsidRPr="000479E9" w:rsidRDefault="56FADB4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U slučajevima iz prethodnog stavka ovoga članka, kada izdavatelj, ponuditelj ili osoba odgovorna za sastavljanje prospekta odluči provesti javnu ponudu ili uvrštenje u drugoj ili drugim državama članicama temeljem obavijesti o vrijednosnom papiru i sažetka odnosno prospekta koji odobrava Agencija kao nadležno tijelo matične države članice, obavijesti iz članka 26. stavka 2. Uredbe (EU) br. 2017/1129, treba biti priložen i prijevod dodatka registracijskog dokumenta ili univerzalnog registracijskog dokumenta iz članka 26. stavka 4. podstavka 2. Uredbe (EU) br. 2017/1129 na jeziku na kojem treba biti dostupan sažetak za potrebe prekogranične ponude ili uvrštenja. </w:t>
      </w:r>
    </w:p>
    <w:p w14:paraId="6F23FD7B" w14:textId="6CFBD0AB" w:rsidR="006B4BB8" w:rsidRPr="000479E9" w:rsidRDefault="56FADB43"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U slučajevima iz članka 26. stavka 4. Uredbe (EU) br. 2017/1129, kada je Republika Hrvatska država članica domaćin, a prospekt nije sastavljen na hrvatskom jeziku, prijevod sažetka prospekta u koji je preuzet sadržaj dodatka registracijskog dokumenta ili univerzalnog registracijskog dokumenta u skladu s člankom 26. stavkom 4. podstavkom 3. Uredbe (EU) br. 2017/1129 mora biti dostupan na hrvatskom jeziku.</w:t>
      </w:r>
    </w:p>
    <w:p w14:paraId="5EC7D44C" w14:textId="729729AA" w:rsidR="006B4BB8" w:rsidRPr="000479E9" w:rsidRDefault="006B4BB8" w:rsidP="2B3481CE">
      <w:pPr>
        <w:spacing w:after="0" w:line="240" w:lineRule="auto"/>
        <w:jc w:val="both"/>
        <w:rPr>
          <w:rFonts w:ascii="Times New Roman" w:eastAsia="Calibri" w:hAnsi="Times New Roman" w:cs="Times New Roman"/>
          <w:sz w:val="24"/>
          <w:szCs w:val="24"/>
        </w:rPr>
      </w:pPr>
    </w:p>
    <w:p w14:paraId="3E778EE4" w14:textId="7268A8F0" w:rsidR="006B4BB8" w:rsidRPr="000479E9" w:rsidRDefault="006B4BB8" w:rsidP="2B3481CE">
      <w:pPr>
        <w:spacing w:after="0" w:line="240" w:lineRule="auto"/>
        <w:jc w:val="both"/>
        <w:rPr>
          <w:rFonts w:ascii="Times New Roman" w:eastAsia="Calibri" w:hAnsi="Times New Roman" w:cs="Times New Roman"/>
          <w:sz w:val="24"/>
          <w:szCs w:val="24"/>
        </w:rPr>
      </w:pPr>
    </w:p>
    <w:p w14:paraId="7BB566EB" w14:textId="66ADD263" w:rsidR="006B4BB8" w:rsidRPr="000479E9" w:rsidRDefault="0135688C"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Obavješćivanje Agencije o korištenju iznimke </w:t>
      </w:r>
    </w:p>
    <w:p w14:paraId="3C3581BC" w14:textId="77E3E7A8" w:rsidR="006B4BB8" w:rsidRPr="000479E9" w:rsidRDefault="0135688C"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427. </w:t>
      </w:r>
    </w:p>
    <w:p w14:paraId="5D650906" w14:textId="0BF01B12" w:rsidR="006B4BB8" w:rsidRPr="000479E9" w:rsidRDefault="006B4BB8" w:rsidP="2B3481CE">
      <w:pPr>
        <w:spacing w:after="0" w:line="240" w:lineRule="auto"/>
        <w:jc w:val="both"/>
        <w:rPr>
          <w:rFonts w:ascii="Times New Roman" w:eastAsia="Calibri" w:hAnsi="Times New Roman" w:cs="Times New Roman"/>
          <w:sz w:val="24"/>
          <w:szCs w:val="24"/>
        </w:rPr>
      </w:pPr>
    </w:p>
    <w:p w14:paraId="2661DC5D" w14:textId="78E3680C"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(1) U svrhu efikasnog provođenja nadzora nad provedbom odredbi Uredbe (EU) br. 2017/1129 i ove glave Zakona, osoba iz članka 683. stavka 1. točke 2. ovoga Zakona obvezna je podneskom obavijestiti Agenciju o korištenju iznimke od obveze objave prospekta iz članka 1. stavaka 4. i 5. Uredbe (EU) br. 2017/1129 te članka 409. ovoga Zakona, i to: </w:t>
      </w:r>
    </w:p>
    <w:p w14:paraId="0C671EA0" w14:textId="3BDE61C6"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u slučajevima iz članka 1. stavka 4. Uredbe (EU) br. 2017/1129 i članka 409. ovoga Zakona, odmah nakon donošenja odluke nadležnog organa izdavatelja odnosno ponuditelja o izdanju odnosno ponudi vrijednosnih papira, a najkasnije tri radna dana prije početka ponude koja se provodi u Republici Hrvatskoj odnosno prije upisa ili dodjele vrijednosnih papira ili </w:t>
      </w:r>
    </w:p>
    <w:p w14:paraId="26A7D72F" w14:textId="327A4EC5"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u slučajevima iz članka 1. stavka 5. Uredbe (EU) br. 2017/1129, najkasnije tri radna dana prije podnošenja zahtjeva za uvrštenje vrijednosnih papira na uređeno tržište. </w:t>
      </w:r>
    </w:p>
    <w:p w14:paraId="078ABC3C" w14:textId="3D489001"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Ako je izdanje, ponuda ili uvrštenje vrijednosnih papira na uređeno tržište strukturirano na način da postoji opravdana nemogućnost dostavljanja obavijesti o korištenju iznimke u rokovima iz stavka 1. ovoga članka, osoba iz članka 683. stavka 1. točke 2. ovoga Zakona obvezna je Agenciji dostaviti obavijest o korištenju iznimke uz obrazloženje razloga nemogućnosti dostavljanja obavijesti u rokovima iz stavka 1. ovoga članka, i to: </w:t>
      </w:r>
    </w:p>
    <w:p w14:paraId="07B45042" w14:textId="4D9EDB4A"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u slučajevima iz članka 1. stavka 4. Uredbe (EU) br. 2017/1129 i članka 409. ovoga Zakona, najkasnije tri radna dana nakon početka ponude koja se provodi u Republici Hrvatskoj odnosno nakon upisa ili dodjele vrijednosnih papira ili</w:t>
      </w:r>
    </w:p>
    <w:p w14:paraId="051A19B2" w14:textId="2E9C2295"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2. u slučajevima iz članka 1. stavka 5. Uredbe (EU) br. 2017/1129, najkasnije tri radna dana nakon podnošenja zahtjeva za uvrštenje vrijednosnih papira na uređeno tržište.</w:t>
      </w:r>
    </w:p>
    <w:p w14:paraId="05E78F25" w14:textId="21C22156"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Obavijest o korištenju iznimke od obveze objave prospekta mora sadržavati barem sljedeće podatke: </w:t>
      </w:r>
    </w:p>
    <w:p w14:paraId="504DDE84" w14:textId="7F82167F"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osnovne podatke o izdavatelju, ponuditelju ili podnositelju zahtjeva za uvrštenje na uređeno tržište, i to za fizičke osobe: osobno ime i prezime, adresu, osobni identifikacijski broj (u daljnjem tekstu: OIB) ili drugu identifikacijsku oznaku uz naznaku države koja ju je dodijelila; za pravne osobe: naziv tvrtke, sjedište, poslovnu adresu i OIB ili drugu identifikacijsku oznaku uz naznaku države koja ju je dodijelila </w:t>
      </w:r>
    </w:p>
    <w:p w14:paraId="2DB4F335" w14:textId="1B716785"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osnovne podatke o vrijednosnim papirima koji su predmet ponude ili uvrštenja, uključujući ukupnu naknadu za ponudu, ako je to moguće </w:t>
      </w:r>
    </w:p>
    <w:p w14:paraId="403508D7" w14:textId="491E5215"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iznimku na koju se osoba iz stavka 1. ovoga članka poziva i </w:t>
      </w:r>
    </w:p>
    <w:p w14:paraId="74CFC5A0" w14:textId="2A74902E"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ovisno o slučaju, opis okolnosti koje se odnose na korištenje iznimke, uz naznaku na koji će način dokumenti iz članka 1. stavka 4. točaka f) i g) i stavka 5. točaka e), f) i j) podtočke v. Uredbe (EU) br. 2017/1129 i iz članka 409. stavka 3. ovoga Zakona biti dostupni ulagateljima odnosno javnosti. </w:t>
      </w:r>
    </w:p>
    <w:p w14:paraId="67AA79F6" w14:textId="27025066"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Obavijesti o korištenju iznimke od obveze objave prospekta moraju biti priloženi sljedeći dokumenti: 1. preslika zapisnika s glavne skupštine izdavatelja na kojoj je donesena odluka o izdanju odnosno ponudi vrijednosnih papira odnosno preslika odluke nadležnog organa (uprave i/ili nadzornog odbora ili upravnog odbora) izdavatelja, ponuditelja ili podnositelja zahtjeva za uvrštenje na uređeno tržište, o izdanju, </w:t>
      </w:r>
      <w:r w:rsidRPr="000479E9">
        <w:rPr>
          <w:rFonts w:ascii="Times New Roman" w:eastAsia="Calibri" w:hAnsi="Times New Roman" w:cs="Times New Roman"/>
          <w:sz w:val="24"/>
          <w:szCs w:val="24"/>
        </w:rPr>
        <w:lastRenderedPageBreak/>
        <w:t xml:space="preserve">ponudi ili uvrštenju vrijednosnih papira na uređeno tržište i 2. po potrebi, ostala dokumentacija kojom se dokazuju okolnosti koje se odnose na korištenje iznimke. </w:t>
      </w:r>
    </w:p>
    <w:p w14:paraId="6E3455D9" w14:textId="7DC2DDD3"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Na zahtjev Agencije, osobe iz stavaka 1. i 2. ovoga članka obvezne su Agenciji dostaviti dodatnu dokumentaciju potrebnu radi procjene opravdanosti korištenja iznimke odnosno radi procjene opravdanosti razloga zbog kojih nije bilo moguće dostaviti Agenciji obavijest o korištenju iznimke u rokovima iz stavka 1. ovoga članka. </w:t>
      </w:r>
    </w:p>
    <w:p w14:paraId="51411214" w14:textId="423E1C7A"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Na dokumente iz članka 1. stavka 4. točaka f) i g) i stavka 5. točaka e) i f) Uredbe (EU) br. 2017/1129 primjenjuju se delegirani akti iz članka 1. stavka 7. Uredbe (EU) br. 2017/1129.</w:t>
      </w:r>
      <w:r w:rsidR="0FDB85CC" w:rsidRPr="000479E9">
        <w:rPr>
          <w:rFonts w:ascii="Times New Roman" w:eastAsia="Calibri" w:hAnsi="Times New Roman" w:cs="Times New Roman"/>
          <w:sz w:val="24"/>
          <w:szCs w:val="24"/>
        </w:rPr>
        <w:t xml:space="preserve"> </w:t>
      </w:r>
      <w:r w:rsidRPr="000479E9">
        <w:rPr>
          <w:rFonts w:ascii="Times New Roman" w:eastAsia="Calibri" w:hAnsi="Times New Roman" w:cs="Times New Roman"/>
          <w:sz w:val="24"/>
          <w:szCs w:val="24"/>
        </w:rPr>
        <w:t xml:space="preserve">(7) Agencija je prilikom provjere opravdanosti korištenja iznimke ovlaštena postupati u skladu s odredbama ovoga poglavlja te rješenjem utvrditi da nije riječ o iznimci iz članka 1. stavka 4. i 5. Uredbe (EU) br. 2017/1129 te članka 409. ovoga Zakona ili da se radi o zlouporabi iznimke. </w:t>
      </w:r>
    </w:p>
    <w:p w14:paraId="535C2A37" w14:textId="0826EF05" w:rsidR="006B4BB8" w:rsidRPr="000479E9" w:rsidRDefault="0135688C"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Odredbe ovoga članka primjenjuju se na iznimke od obveze objave prospekta u vezi s ponudom koja se provodi u Republici Hrvatskoj odnosno na iznimke od obveze objave prospekta pri uvrštenju vrijednosnih papira na uređeno tržište u Republici Hrvatskoj.</w:t>
      </w:r>
    </w:p>
    <w:p w14:paraId="3C2F7E38" w14:textId="2CBCCAA3" w:rsidR="2B3481CE" w:rsidRPr="000479E9" w:rsidRDefault="2B3481CE" w:rsidP="2B3481CE">
      <w:pPr>
        <w:spacing w:after="0" w:line="240" w:lineRule="auto"/>
        <w:jc w:val="both"/>
        <w:rPr>
          <w:rFonts w:ascii="Times New Roman" w:eastAsia="Calibri" w:hAnsi="Times New Roman" w:cs="Times New Roman"/>
          <w:sz w:val="24"/>
          <w:szCs w:val="24"/>
        </w:rPr>
      </w:pPr>
    </w:p>
    <w:p w14:paraId="7EAB589C" w14:textId="586143DE" w:rsidR="2B3481CE" w:rsidRPr="000479E9" w:rsidRDefault="2B3481CE" w:rsidP="2B3481CE">
      <w:pPr>
        <w:spacing w:after="0" w:line="240" w:lineRule="auto"/>
        <w:jc w:val="both"/>
        <w:rPr>
          <w:rFonts w:ascii="Times New Roman" w:eastAsia="Calibri" w:hAnsi="Times New Roman" w:cs="Times New Roman"/>
          <w:sz w:val="24"/>
          <w:szCs w:val="24"/>
        </w:rPr>
      </w:pPr>
    </w:p>
    <w:p w14:paraId="1A4FE6ED" w14:textId="1385600F" w:rsidR="2DB77CA9" w:rsidRPr="000479E9" w:rsidRDefault="2DB77CA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Godišnji izvještaj izdavatelja koji ima sjedište u Republici Hrvatskoj </w:t>
      </w:r>
    </w:p>
    <w:p w14:paraId="7C482B6D" w14:textId="2AC2C715" w:rsidR="2DB77CA9" w:rsidRPr="000479E9" w:rsidRDefault="2DB77CA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463. </w:t>
      </w:r>
    </w:p>
    <w:p w14:paraId="003E7A34" w14:textId="53C31C80" w:rsidR="2B3481CE" w:rsidRPr="000479E9" w:rsidRDefault="2B3481CE" w:rsidP="2B3481CE">
      <w:pPr>
        <w:spacing w:after="0" w:line="240" w:lineRule="auto"/>
        <w:jc w:val="both"/>
        <w:rPr>
          <w:rFonts w:ascii="Times New Roman" w:eastAsia="Calibri" w:hAnsi="Times New Roman" w:cs="Times New Roman"/>
          <w:sz w:val="24"/>
          <w:szCs w:val="24"/>
        </w:rPr>
      </w:pPr>
    </w:p>
    <w:p w14:paraId="39718259" w14:textId="5F330E45" w:rsidR="2DB77CA9" w:rsidRPr="000479E9" w:rsidRDefault="2DB77CA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Za izdavatelja koji ima sjedište u Republici Hrvatskoj, izvještaji iz članka 462. stavka 2. točaka 1. i 2. ovoga Zakona jesu izvještaji koje izdavatelj sastavlja u skladu s propisima Republike Hrvatske koji uređuju osnivanje i ustroj trgovačkih društava te računovodstvo poduzetnika i primjenu standarda financijskog izvještavanja, a izvještaji iz članka 462. stavka 3. ovoga Zakona jesu izvještaji koji se sastavljaju u skladu s propisima Republike Hrvatske koji uređuju zakonsku reviziju te računovodstvo poduzetnika i primjenu standarda financijskog izvještavanja. </w:t>
      </w:r>
    </w:p>
    <w:p w14:paraId="007A818E" w14:textId="09798881" w:rsidR="2DB77CA9" w:rsidRPr="000479E9" w:rsidRDefault="2DB77CA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Zajedno s godišnjim izvještajem iz članka 462. stavka 2. ovoga Zakona i revizorskim izvještajem te izvještajem o provjeri izvještaja o održivosti ako je izdavatelj obveznik izvještavanja o održivosti iz članka 462. stavka 3. ovoga Zakona, izdavatelj je obvezan objaviti javnosti u cijelosti i odluku nadležnog organa izdavatelja o utvrđenju godišnjih financijskih izvještaja te prijedlog odluke o upotrebi dobiti ili pokriću gubitka, ako iste nisu sastavni dio godišnjeg izvještaja. </w:t>
      </w:r>
    </w:p>
    <w:p w14:paraId="71A4E04F" w14:textId="5D136BD2" w:rsidR="2DB77CA9" w:rsidRPr="000479E9" w:rsidRDefault="2DB77CA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Ako godišnje financijske izvještaje iz članka 462. stavka 2. točke 1. ovoga Zakona u roku iz članka 462. stavka 1. ovoga Zakona ne utvrdi nadležni organ izdavatelja, izdavatelj ih je obvezan objaviti javnosti u roku iz članka 462. stavka 1. ovoga Zakona uz naznaku da na iste nije dana suglasnost nadležnog organa izdavatelja. </w:t>
      </w:r>
    </w:p>
    <w:p w14:paraId="5C5FC281" w14:textId="0D7E1A84" w:rsidR="2DB77CA9" w:rsidRPr="000479E9" w:rsidRDefault="2DB77CA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U slučaju iz stavka 3. ovoga članka, izdavatelj je obvezan u roku od tri dana od dana davanja suglasnosti nadležnog organa izdavatelja na godišnje financijske izvještaje, objaviti javnosti utvrđene godišnje financijske izvještaje i odluku nadležnog organa izdavatelja o utvrđenju godišnjih financijskih izvještaja te odluku o upotrebi dobiti ili pokriću gubitka. Ako je nadležni organ izdavatelja utvrdio godišnje financijske izvještaje u cijelosti u sadržaju u kojem su oni prethodno objavljeni javnosti u skladu s člankom 462. stavkom 1. ovoga Zakona, smatra se da je izdavatelj utvrđene </w:t>
      </w:r>
      <w:r w:rsidRPr="000479E9">
        <w:rPr>
          <w:rFonts w:ascii="Times New Roman" w:eastAsia="Calibri" w:hAnsi="Times New Roman" w:cs="Times New Roman"/>
          <w:sz w:val="24"/>
          <w:szCs w:val="24"/>
        </w:rPr>
        <w:lastRenderedPageBreak/>
        <w:t>godišnje financijske izvještaje objavio javnosti ako u roku od tri dana od dana utvrđenja godišnjih financijskih izvještaja objavi javnosti da je godišnje financijske izvještaje objavljene javnosti u skladu s člankom 462. stavkom 1. ovoga Zakona u cijelosti u istom sadržaju utvrdio nadležni organ izdavatelja.</w:t>
      </w:r>
    </w:p>
    <w:p w14:paraId="35C8E528" w14:textId="311AD591" w:rsidR="2B3481CE" w:rsidRPr="000479E9" w:rsidRDefault="2B3481CE" w:rsidP="2B3481CE">
      <w:pPr>
        <w:spacing w:after="0" w:line="240" w:lineRule="auto"/>
        <w:jc w:val="both"/>
        <w:rPr>
          <w:rFonts w:ascii="Times New Roman" w:eastAsia="Calibri" w:hAnsi="Times New Roman" w:cs="Times New Roman"/>
          <w:sz w:val="24"/>
          <w:szCs w:val="24"/>
        </w:rPr>
      </w:pPr>
    </w:p>
    <w:p w14:paraId="10CABE0B" w14:textId="1EA5BBC1" w:rsidR="346C422F" w:rsidRPr="000479E9" w:rsidRDefault="346C422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Polugodišnji izvještaj izdavatelja koji ima sjedište u Republici Hrvatskoj </w:t>
      </w:r>
    </w:p>
    <w:p w14:paraId="5855FADF" w14:textId="4F6D9949" w:rsidR="346C422F" w:rsidRPr="000479E9" w:rsidRDefault="346C422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466. </w:t>
      </w:r>
    </w:p>
    <w:p w14:paraId="59A0CA23" w14:textId="568B320A" w:rsidR="2B3481CE" w:rsidRPr="000479E9" w:rsidRDefault="2B3481CE" w:rsidP="2B3481CE">
      <w:pPr>
        <w:spacing w:after="0" w:line="240" w:lineRule="auto"/>
        <w:jc w:val="both"/>
        <w:rPr>
          <w:rFonts w:ascii="Times New Roman" w:eastAsia="Calibri" w:hAnsi="Times New Roman" w:cs="Times New Roman"/>
          <w:sz w:val="24"/>
          <w:szCs w:val="24"/>
        </w:rPr>
      </w:pPr>
    </w:p>
    <w:p w14:paraId="613905A1" w14:textId="35162A97" w:rsidR="346C422F" w:rsidRPr="000479E9" w:rsidRDefault="346C422F"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Izdavatelj dionica ili dužničkih vrijednosnih papira koji ima sjedište u Republici Hrvatskoj, obvezan je izvještaje iz članka 465. stavka 2. točaka 1. i 2. ovoga Zakona sastavljati primjenjujući na odgovarajući način članak 463. stavak 1. ovoga Zakona.</w:t>
      </w:r>
    </w:p>
    <w:p w14:paraId="42270776" w14:textId="3784974B" w:rsidR="2B3481CE" w:rsidRPr="000479E9" w:rsidRDefault="2B3481CE" w:rsidP="2B3481CE">
      <w:pPr>
        <w:spacing w:after="0" w:line="240" w:lineRule="auto"/>
        <w:jc w:val="both"/>
        <w:rPr>
          <w:rFonts w:ascii="Times New Roman" w:eastAsia="Calibri" w:hAnsi="Times New Roman" w:cs="Times New Roman"/>
          <w:sz w:val="24"/>
          <w:szCs w:val="24"/>
        </w:rPr>
      </w:pPr>
    </w:p>
    <w:p w14:paraId="59015DDE" w14:textId="22C2DA4B" w:rsidR="2B3481CE" w:rsidRPr="000479E9" w:rsidRDefault="2B3481CE" w:rsidP="2B3481CE">
      <w:pPr>
        <w:spacing w:after="0" w:line="240" w:lineRule="auto"/>
        <w:jc w:val="both"/>
        <w:rPr>
          <w:rFonts w:ascii="Times New Roman" w:eastAsia="Calibri" w:hAnsi="Times New Roman" w:cs="Times New Roman"/>
          <w:sz w:val="24"/>
          <w:szCs w:val="24"/>
        </w:rPr>
      </w:pPr>
    </w:p>
    <w:p w14:paraId="76720474" w14:textId="401FB9E3" w:rsidR="5B43B644" w:rsidRPr="000479E9" w:rsidRDefault="5B43B644"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Tromjesečni izvještaj </w:t>
      </w:r>
    </w:p>
    <w:p w14:paraId="358540AD" w14:textId="23826627" w:rsidR="5B43B644" w:rsidRPr="000479E9" w:rsidRDefault="5B43B644"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468. </w:t>
      </w:r>
    </w:p>
    <w:p w14:paraId="06715618" w14:textId="6BDDA402" w:rsidR="2B3481CE" w:rsidRPr="000479E9" w:rsidRDefault="2B3481CE" w:rsidP="2B3481CE">
      <w:pPr>
        <w:spacing w:after="0" w:line="240" w:lineRule="auto"/>
        <w:jc w:val="both"/>
        <w:rPr>
          <w:rFonts w:ascii="Times New Roman" w:eastAsia="Calibri" w:hAnsi="Times New Roman" w:cs="Times New Roman"/>
          <w:sz w:val="24"/>
          <w:szCs w:val="24"/>
        </w:rPr>
      </w:pPr>
    </w:p>
    <w:p w14:paraId="39C6F73A" w14:textId="30DE8BB4"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Izdavatelj dionica koji ima sjedište u Republici Hrvatskoj i čije su dionice uvrštene na uređeno tržište u Republici Hrvatskoj obvezan je sastaviti i objaviti javnosti tromjesečni izvještaj za prvo, drugo i treće tromjesečje, što je prije moguće, a najkasnije u roku od jednog mjeseca od proteka odnosnog tromjesečja i tromjesečni izvještaj za četvrto tromjesečje, što je prije moguće, a najkasnije u roku od dva mjeseca od proteka četvrtog tromjesečja te osigurati da tromjesečni izvještaj bude dostupan javnosti najmanje pet godina od dana objavljivanja javnosti. </w:t>
      </w:r>
    </w:p>
    <w:p w14:paraId="51E91EB3" w14:textId="6DA4ABB6"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Tromjesečni izvještaj mora sadržavati: </w:t>
      </w:r>
    </w:p>
    <w:p w14:paraId="71622372" w14:textId="4A1594FE"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tromjesečne financijske izvještaje </w:t>
      </w:r>
    </w:p>
    <w:p w14:paraId="6D96323D" w14:textId="7DBA3B11"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međuizvještaj rukovodstva </w:t>
      </w:r>
    </w:p>
    <w:p w14:paraId="53C3BEE4" w14:textId="59045C16"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izjavu osoba u izdavatelju odgovornih za sastavljanje tromjesečnog izvještaja, navodeći njihova imena, prezimena, radno mjesto i dužnosti u izdavatelju, da prema njihovu najboljem saznanju, tromjesečni financijski izvještaji, sastavljeni uz primjenu odgovarajućih standarda financijskog izvještavanja, daju istinit i objektivan prikaz imovine i obveza, financijskog položaja, dobiti ili gubitka izdavatelja i društava uključenih u konsolidaciju kao cjeline, i da međuizvještaj rukovodstva sadrži objektivan prikaz razvoja i rezultata poslovanja i položaja izdavatelja i društava uključenih u konsolidaciju kao cjeline, uz opis najznačajnijih rizika i neizvjesnosti kojima su izloženi. </w:t>
      </w:r>
    </w:p>
    <w:p w14:paraId="5A31568B" w14:textId="58EF5B3C"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Na izdavatelja iz stavka 1. ovoga članka koji je obvezan sastavljati konsolidirane izvještaje, na odgovarajući način primjenjuju se odredbe stavaka 1. i 2. ovoga članka. </w:t>
      </w:r>
    </w:p>
    <w:p w14:paraId="48A740E7" w14:textId="77833400"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Izdavatelj iz stavka 1. ovoga članka obvezan je izvještaje iz stavka 2. točaka 1. i 2. ovoga članka sastavljati primjenjujući na odgovarajući način članak 466. ovoga Zakona. </w:t>
      </w:r>
    </w:p>
    <w:p w14:paraId="422700F4" w14:textId="50C94DF4" w:rsidR="5B43B644" w:rsidRPr="000479E9" w:rsidRDefault="5B43B64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Izdavatelj dionica koji ima sjedište izvan Republike Hrvatske u drugoj državi članici ili trećoj zemlji i čije dionice su uvrštene na uređeno tržište u Republici Hrvatskoj obvezan je sastaviti i objaviti javnosti tromjesečne izvještaje ili izjavu rukovodstva, ako je nacionalnim propisom države članice ili treće zemlje u kojoj izdavatelj ima </w:t>
      </w:r>
      <w:r w:rsidRPr="000479E9">
        <w:rPr>
          <w:rFonts w:ascii="Times New Roman" w:eastAsia="Calibri" w:hAnsi="Times New Roman" w:cs="Times New Roman"/>
          <w:sz w:val="24"/>
          <w:szCs w:val="24"/>
        </w:rPr>
        <w:lastRenderedPageBreak/>
        <w:t>sjedište propisana obveza sastavljanja i objave tromjesečnih izvještaja ili izjave rukovodstava, u sadržaju i u rokovima kako je propisano odnosnim nacionalnim propisom.</w:t>
      </w:r>
    </w:p>
    <w:p w14:paraId="36277223" w14:textId="0E261F5E" w:rsidR="2B3481CE" w:rsidRPr="000479E9" w:rsidRDefault="2B3481CE" w:rsidP="2B3481CE">
      <w:pPr>
        <w:spacing w:after="0" w:line="240" w:lineRule="auto"/>
        <w:jc w:val="both"/>
        <w:rPr>
          <w:rFonts w:ascii="Times New Roman" w:eastAsia="Calibri" w:hAnsi="Times New Roman" w:cs="Times New Roman"/>
          <w:sz w:val="24"/>
          <w:szCs w:val="24"/>
        </w:rPr>
      </w:pPr>
    </w:p>
    <w:p w14:paraId="08731CBD" w14:textId="6E49B817" w:rsidR="2B3481CE" w:rsidRPr="000479E9" w:rsidRDefault="2B3481CE" w:rsidP="2B3481CE">
      <w:pPr>
        <w:spacing w:after="0" w:line="240" w:lineRule="auto"/>
        <w:jc w:val="both"/>
        <w:rPr>
          <w:rFonts w:ascii="Times New Roman" w:eastAsia="Calibri" w:hAnsi="Times New Roman" w:cs="Times New Roman"/>
          <w:sz w:val="24"/>
          <w:szCs w:val="24"/>
        </w:rPr>
      </w:pPr>
    </w:p>
    <w:p w14:paraId="432A84DF" w14:textId="6D4DC4C8" w:rsidR="3A1CA345" w:rsidRPr="000479E9" w:rsidRDefault="3A1CA345"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Ovlasti Agencije u pogledu izvještaja izdavatelja </w:t>
      </w:r>
    </w:p>
    <w:p w14:paraId="4DC21731" w14:textId="382AA4F9" w:rsidR="3A1CA345" w:rsidRPr="000479E9" w:rsidRDefault="3A1CA345"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470. </w:t>
      </w:r>
    </w:p>
    <w:p w14:paraId="77D2B344" w14:textId="7E94F4B3" w:rsidR="2B3481CE" w:rsidRPr="000479E9" w:rsidRDefault="2B3481CE" w:rsidP="2B3481CE">
      <w:pPr>
        <w:spacing w:after="0" w:line="240" w:lineRule="auto"/>
        <w:jc w:val="both"/>
        <w:rPr>
          <w:rFonts w:ascii="Times New Roman" w:eastAsia="Calibri" w:hAnsi="Times New Roman" w:cs="Times New Roman"/>
          <w:sz w:val="24"/>
          <w:szCs w:val="24"/>
        </w:rPr>
      </w:pPr>
    </w:p>
    <w:p w14:paraId="704C4299" w14:textId="126DD501" w:rsidR="3A1CA345" w:rsidRPr="000479E9" w:rsidRDefault="3A1CA345"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Agencija pravilnikom detaljnije propisuje za izdavatelje vrijednosnih papira sa sjedištem u Republici Hrvatskoj sadržaj i strukturu godišnjih, polugodišnjih i tromjesečnih izvještaja izdavatelja te oblik i način njihova dostavljanja Agenciji.</w:t>
      </w:r>
    </w:p>
    <w:p w14:paraId="656731B7" w14:textId="2A134A35" w:rsidR="2B3481CE" w:rsidRPr="000479E9" w:rsidRDefault="2B3481CE" w:rsidP="2B3481CE">
      <w:pPr>
        <w:spacing w:after="0" w:line="240" w:lineRule="auto"/>
        <w:jc w:val="both"/>
        <w:rPr>
          <w:rFonts w:ascii="Times New Roman" w:eastAsia="Calibri" w:hAnsi="Times New Roman" w:cs="Times New Roman"/>
          <w:sz w:val="24"/>
          <w:szCs w:val="24"/>
        </w:rPr>
      </w:pPr>
    </w:p>
    <w:p w14:paraId="27132C1C" w14:textId="3DDDA39A" w:rsidR="2B3481CE" w:rsidRPr="000479E9" w:rsidRDefault="2B3481CE" w:rsidP="2B3481CE">
      <w:pPr>
        <w:spacing w:after="0" w:line="240" w:lineRule="auto"/>
        <w:jc w:val="both"/>
        <w:rPr>
          <w:rFonts w:ascii="Times New Roman" w:eastAsia="Calibri" w:hAnsi="Times New Roman" w:cs="Times New Roman"/>
          <w:sz w:val="24"/>
          <w:szCs w:val="24"/>
        </w:rPr>
      </w:pPr>
    </w:p>
    <w:p w14:paraId="085E17E2" w14:textId="2DA90E2A" w:rsidR="3A1CA345" w:rsidRPr="000479E9" w:rsidRDefault="3A1CA345"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Informacija o stjecanju i otpuštanju vlastitih dionica </w:t>
      </w:r>
    </w:p>
    <w:p w14:paraId="69601068" w14:textId="72A81897" w:rsidR="3A1CA345" w:rsidRPr="000479E9" w:rsidRDefault="3A1CA345"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474. </w:t>
      </w:r>
    </w:p>
    <w:p w14:paraId="7F9F35C5" w14:textId="0F8B03EF" w:rsidR="2B3481CE" w:rsidRPr="000479E9" w:rsidRDefault="2B3481CE" w:rsidP="2B3481CE">
      <w:pPr>
        <w:spacing w:after="0" w:line="240" w:lineRule="auto"/>
        <w:jc w:val="both"/>
        <w:rPr>
          <w:rFonts w:ascii="Times New Roman" w:eastAsia="Calibri" w:hAnsi="Times New Roman" w:cs="Times New Roman"/>
          <w:sz w:val="24"/>
          <w:szCs w:val="24"/>
        </w:rPr>
      </w:pPr>
    </w:p>
    <w:p w14:paraId="04442264" w14:textId="7AB7EB2F" w:rsidR="3A1CA345" w:rsidRPr="000479E9" w:rsidRDefault="3A1CA345"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Izdavatelj dionica koji stekne ili otpusti vlastite dionice, bilo neposredno bilo putem osobe koja djeluje u svoje ime, a za račun izdavatelja, obvezan je što je prije moguće, a najkasnije u roku od dva trgovinska dana od dana stjecanja ili otpuštanja vlastitih dionica, objaviti javnosti broj vlastitih dionica (u apsolutnom i relativnom iznosu) koje drži nakon svakog stjecanja ili otpuštanja vlastitih dionica. </w:t>
      </w:r>
    </w:p>
    <w:p w14:paraId="566D9795" w14:textId="34EE9BDF" w:rsidR="3A1CA345" w:rsidRPr="000479E9" w:rsidRDefault="3A1CA345"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U smislu stavka 1. ovoga članka, postotak vlastitih dionica koji drži izdavatelj izračunava se u odnosu na sve dionice izdavatelja izdane s pravom glasa.</w:t>
      </w:r>
    </w:p>
    <w:p w14:paraId="47615215" w14:textId="46D07A83" w:rsidR="3A1CA345" w:rsidRPr="000479E9" w:rsidRDefault="3A1CA345"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Brisan.</w:t>
      </w:r>
    </w:p>
    <w:p w14:paraId="10E01D10" w14:textId="69378925" w:rsidR="2B3481CE" w:rsidRPr="000479E9" w:rsidRDefault="2B3481CE" w:rsidP="2B3481CE">
      <w:pPr>
        <w:spacing w:after="0" w:line="240" w:lineRule="auto"/>
        <w:jc w:val="both"/>
        <w:rPr>
          <w:rFonts w:ascii="Times New Roman" w:eastAsia="Calibri" w:hAnsi="Times New Roman" w:cs="Times New Roman"/>
          <w:sz w:val="24"/>
          <w:szCs w:val="24"/>
        </w:rPr>
      </w:pPr>
    </w:p>
    <w:p w14:paraId="39874335" w14:textId="15AA574B" w:rsidR="3A1CA345" w:rsidRPr="000479E9" w:rsidRDefault="3A1CA345"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 xml:space="preserve">ODJELJAK 3. </w:t>
      </w:r>
    </w:p>
    <w:p w14:paraId="10619E30" w14:textId="4378E126" w:rsidR="2B3481CE" w:rsidRPr="000479E9" w:rsidRDefault="2B3481CE" w:rsidP="00F01D72">
      <w:pPr>
        <w:spacing w:after="0" w:line="240" w:lineRule="auto"/>
        <w:jc w:val="center"/>
        <w:rPr>
          <w:rFonts w:ascii="Times New Roman" w:eastAsia="Calibri" w:hAnsi="Times New Roman" w:cs="Times New Roman"/>
          <w:bCs/>
          <w:sz w:val="24"/>
          <w:szCs w:val="24"/>
        </w:rPr>
      </w:pPr>
    </w:p>
    <w:p w14:paraId="13727E12" w14:textId="236A99F5" w:rsidR="3A1CA345" w:rsidRPr="000479E9" w:rsidRDefault="3A1CA345"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 xml:space="preserve">Odgovornost za propisane informacije </w:t>
      </w:r>
    </w:p>
    <w:p w14:paraId="1B49FBC2" w14:textId="6A9DF6A9" w:rsidR="2B3481CE" w:rsidRPr="000479E9" w:rsidRDefault="2B3481CE" w:rsidP="00F01D72">
      <w:pPr>
        <w:spacing w:after="0" w:line="240" w:lineRule="auto"/>
        <w:jc w:val="center"/>
        <w:rPr>
          <w:rFonts w:ascii="Times New Roman" w:eastAsia="Calibri" w:hAnsi="Times New Roman" w:cs="Times New Roman"/>
          <w:sz w:val="24"/>
          <w:szCs w:val="24"/>
        </w:rPr>
      </w:pPr>
    </w:p>
    <w:p w14:paraId="7B8F3FD9" w14:textId="5B8B9AAD" w:rsidR="3A1CA345" w:rsidRPr="000479E9" w:rsidRDefault="3A1CA345"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Odgovornost za propisane informacije </w:t>
      </w:r>
    </w:p>
    <w:p w14:paraId="4744846A" w14:textId="2D80103E" w:rsidR="3A1CA345" w:rsidRPr="000479E9" w:rsidRDefault="3A1CA345"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480. </w:t>
      </w:r>
    </w:p>
    <w:p w14:paraId="7BB34979" w14:textId="70F976F1" w:rsidR="2B3481CE" w:rsidRPr="000479E9" w:rsidRDefault="2B3481CE" w:rsidP="2B3481CE">
      <w:pPr>
        <w:spacing w:after="0" w:line="240" w:lineRule="auto"/>
        <w:jc w:val="both"/>
        <w:rPr>
          <w:rFonts w:ascii="Times New Roman" w:eastAsia="Calibri" w:hAnsi="Times New Roman" w:cs="Times New Roman"/>
          <w:sz w:val="24"/>
          <w:szCs w:val="24"/>
        </w:rPr>
      </w:pPr>
    </w:p>
    <w:p w14:paraId="09F622B7" w14:textId="7915EA5F" w:rsidR="3A1CA345" w:rsidRPr="000479E9" w:rsidRDefault="3A1CA345"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Izdavatelj, članovi upravnih, upravljačkih i nadzornih organa izdavatelja odgovorni su za izvršenje obveze sastavljanja i objavljivanja javnosti propisanih informacija iz članaka 462., 465., 468., 469. i 475. ovoga Zakona, te solidarno odgovaraju ulagatelju za štetu koju ulagatelj pretrpi radi nepravilnog i/ili nezakonitog izvršenja tih obveza, osim u slučaju kada se dokaže da su prilikom izvršenja istih postupali s pažnjom dobrog stručnjaka.</w:t>
      </w:r>
    </w:p>
    <w:p w14:paraId="444CBFDD" w14:textId="73300A45" w:rsidR="2B3481CE" w:rsidRPr="000479E9" w:rsidRDefault="2B3481CE" w:rsidP="2B3481CE">
      <w:pPr>
        <w:spacing w:after="0" w:line="240" w:lineRule="auto"/>
        <w:jc w:val="both"/>
        <w:rPr>
          <w:rFonts w:ascii="Times New Roman" w:eastAsia="Calibri" w:hAnsi="Times New Roman" w:cs="Times New Roman"/>
          <w:sz w:val="24"/>
          <w:szCs w:val="24"/>
        </w:rPr>
      </w:pPr>
    </w:p>
    <w:p w14:paraId="4D22F2D7" w14:textId="1C170B58" w:rsidR="2B3481CE" w:rsidRPr="000479E9" w:rsidRDefault="2B3481CE" w:rsidP="2B3481CE">
      <w:pPr>
        <w:spacing w:after="0" w:line="240" w:lineRule="auto"/>
        <w:jc w:val="both"/>
        <w:rPr>
          <w:rFonts w:ascii="Times New Roman" w:eastAsia="Calibri" w:hAnsi="Times New Roman" w:cs="Times New Roman"/>
          <w:sz w:val="24"/>
          <w:szCs w:val="24"/>
        </w:rPr>
      </w:pPr>
    </w:p>
    <w:p w14:paraId="57596054" w14:textId="0D4B0F7D" w:rsidR="26A490E6" w:rsidRPr="000479E9" w:rsidRDefault="26A490E6"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Objavljivanje javnosti i distribucija propisanih informacija </w:t>
      </w:r>
    </w:p>
    <w:p w14:paraId="3FB1E047" w14:textId="7744F0AF" w:rsidR="26A490E6" w:rsidRPr="000479E9" w:rsidRDefault="26A490E6"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496. </w:t>
      </w:r>
    </w:p>
    <w:p w14:paraId="57BB915A" w14:textId="574389BD" w:rsidR="2B3481CE" w:rsidRPr="000479E9" w:rsidRDefault="2B3481CE" w:rsidP="2B3481CE">
      <w:pPr>
        <w:spacing w:after="0" w:line="240" w:lineRule="auto"/>
        <w:jc w:val="both"/>
        <w:rPr>
          <w:rFonts w:ascii="Times New Roman" w:eastAsia="Calibri" w:hAnsi="Times New Roman" w:cs="Times New Roman"/>
          <w:sz w:val="24"/>
          <w:szCs w:val="24"/>
        </w:rPr>
      </w:pPr>
    </w:p>
    <w:p w14:paraId="614FADFD" w14:textId="4E80E320"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Izdavatelj je obvezan propisane informacije objaviti javnosti na način koji javnosti osigurava brz pristup do propisanih informacija na ravnopravnoj osnovi.</w:t>
      </w:r>
    </w:p>
    <w:p w14:paraId="2578B1D8" w14:textId="0FCF2DB6"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 (2) Izdavatelj je obvezan za distribuiranje propisanih informacija javnosti koristiti medije na koje se opravdano može osloniti da će propisane informacije, koliko god je to moguće, istodobno učinkovito distribuirati najširoj javnosti u Republici Hrvatskoj i u drugim državama članicama. </w:t>
      </w:r>
    </w:p>
    <w:p w14:paraId="32E179CB" w14:textId="6649277D"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Izdavatelj je obvezan propisane informacije dostaviti medijima u cijelom njihovu propisanom sadržaju. Kod izvještaja iz članaka 462., 465., 468. i 469. ovoga Zakona, smatra se da ih je izdavatelj dostavio medijima u cijelom njihovu propisanom sadržaju, ako medijima dostavi priopćenje u kojem navodi internetske stranice i službene registre propisanih informacija u kojima su izvještaji iz članaka 462., 465., 468. i 469. ovoga Zakona dostupni javnosti u cijelosti. </w:t>
      </w:r>
    </w:p>
    <w:p w14:paraId="3C6DEA06" w14:textId="7D53A78A"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Kod dostave propisanih informacija medijima, izdavatelj je obvezan jasno naznačiti da se radi o propisanoj informaciji, te jasno naznačiti na kojeg izdavatelja se odnosi propisana informacija, predmet propisane informacije te datum i vrijeme dostavljanja propisane informacije medijima.</w:t>
      </w:r>
    </w:p>
    <w:p w14:paraId="3CF417E1" w14:textId="0228B598"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(5) Izdavatelj je obvezan dostaviti propisane informacije medijima na način koji osigurava sigurnu dostavu, minimizira rizik od neovlaštenog pristupa propisanim informacijama i od mijenjanja njihova sadržaja te omogućava stalnost u pogledu izvora propisanih informacija. Sigurnost zaprimanja osigurava se na način da se čim prije otkloni bilo koja greška ili prekid u dostavi propisanih informacija. Izdavatelj nije odgovoran za sistemske pogreške ili nedostatke kod medija kojima se dostavljaju propisane informacije. </w:t>
      </w:r>
    </w:p>
    <w:p w14:paraId="3B65774B" w14:textId="6EB4BF84"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Smatra se da je izdavatelj ispunio svoju obvezu dostave propisanih informacija medijima kada dobije potvrdu medija kojem je dostavio propisane informacije da ih je isti zaprimio u cijelosti. </w:t>
      </w:r>
    </w:p>
    <w:p w14:paraId="3BB43B65" w14:textId="281D91C5"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Izdavatelj je obvezan, u vezi s bilo kojim objavljivanjem javnosti propisanih informacija, na zahtjev Agencije dostaviti najmanje sljedeće:</w:t>
      </w:r>
    </w:p>
    <w:p w14:paraId="625199B9" w14:textId="0BDB73D3"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1. podatke o osobi koja je medijima dostavila informaciju </w:t>
      </w:r>
    </w:p>
    <w:p w14:paraId="7ED7990B" w14:textId="4681D2DF"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datum i vrijeme dostavljanja informacije medijima </w:t>
      </w:r>
    </w:p>
    <w:p w14:paraId="4C0ED835" w14:textId="0C7156BB"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podatke o sigurnosnim i tehničkim mjerama dostave informacije medijima </w:t>
      </w:r>
    </w:p>
    <w:p w14:paraId="51203B07" w14:textId="725E0064"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podatke o vrsti medija na kojem su informacije dostavljene medijima </w:t>
      </w:r>
    </w:p>
    <w:p w14:paraId="7D6CC03A" w14:textId="42572939"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podatke o bilo kojoj zabrani izdavatelja u pogledu propisanih informacija, ako takva zabrana postoji </w:t>
      </w:r>
    </w:p>
    <w:p w14:paraId="47134062" w14:textId="4D3A6D05"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podatke o medijima kojima su dostavljene propisane informacija te dokaz o dostavi propisanih informacija medijima. </w:t>
      </w:r>
    </w:p>
    <w:p w14:paraId="7067940E" w14:textId="775AFBED" w:rsidR="26A490E6" w:rsidRPr="000479E9" w:rsidRDefault="26A490E6"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Sve troškove u vezi s osiguranjem propisanih informacija javnosti u cijelosti snosi izdavatelj.</w:t>
      </w:r>
    </w:p>
    <w:p w14:paraId="040AA515" w14:textId="07FA9423" w:rsidR="2B3481CE" w:rsidRPr="000479E9" w:rsidRDefault="2B3481CE" w:rsidP="2B3481CE">
      <w:pPr>
        <w:spacing w:after="0" w:line="240" w:lineRule="auto"/>
        <w:jc w:val="both"/>
        <w:rPr>
          <w:rFonts w:ascii="Times New Roman" w:eastAsia="Calibri" w:hAnsi="Times New Roman" w:cs="Times New Roman"/>
          <w:sz w:val="24"/>
          <w:szCs w:val="24"/>
        </w:rPr>
      </w:pPr>
    </w:p>
    <w:p w14:paraId="590B1110" w14:textId="4526B3F0" w:rsidR="685F9799" w:rsidRPr="000479E9" w:rsidRDefault="685F979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Vođenje službenog registra propisanih informacija</w:t>
      </w:r>
    </w:p>
    <w:p w14:paraId="1EFD23C6" w14:textId="4A7895F4" w:rsidR="685F9799" w:rsidRPr="000479E9" w:rsidRDefault="685F979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499. </w:t>
      </w:r>
    </w:p>
    <w:p w14:paraId="781BAF01" w14:textId="03A5FF0C" w:rsidR="2B3481CE" w:rsidRPr="000479E9" w:rsidRDefault="2B3481CE" w:rsidP="2B3481CE">
      <w:pPr>
        <w:spacing w:after="0" w:line="240" w:lineRule="auto"/>
        <w:jc w:val="both"/>
        <w:rPr>
          <w:rFonts w:ascii="Times New Roman" w:eastAsia="Calibri" w:hAnsi="Times New Roman" w:cs="Times New Roman"/>
          <w:sz w:val="24"/>
          <w:szCs w:val="24"/>
        </w:rPr>
      </w:pPr>
    </w:p>
    <w:p w14:paraId="0AC45CCC" w14:textId="0FE0BB00" w:rsidR="685F9799" w:rsidRPr="000479E9" w:rsidRDefault="685F979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Službeni registar propisanih informacija u Republici Hrvatskoj vodi Agencija. </w:t>
      </w:r>
    </w:p>
    <w:p w14:paraId="1EF79355" w14:textId="36BCAADB" w:rsidR="685F9799" w:rsidRPr="000479E9" w:rsidRDefault="685F979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Iznimno od stavka 1. ovoga članka, službeni registar propisanih informacija može voditi i druga pravna osoba koja za to dobije odobrenje Agencije, pod uvjetom da ispunjava tehničke, sigurnosne, organizacijske i ostale uvjete za vođenje službenog </w:t>
      </w:r>
      <w:r w:rsidRPr="000479E9">
        <w:rPr>
          <w:rFonts w:ascii="Times New Roman" w:eastAsia="Calibri" w:hAnsi="Times New Roman" w:cs="Times New Roman"/>
          <w:sz w:val="24"/>
          <w:szCs w:val="24"/>
        </w:rPr>
        <w:lastRenderedPageBreak/>
        <w:t xml:space="preserve">registra propisanih informacija te da pritom ne dolazi do narušavanja pristupa propisanim informacijama na razini Europske unije. </w:t>
      </w:r>
    </w:p>
    <w:p w14:paraId="2764CD5D" w14:textId="7BF8BE8B" w:rsidR="685F9799" w:rsidRPr="000479E9" w:rsidRDefault="685F979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Pravna osoba koja dobije odobrenje Agencije za vođenje službenog registra propisanih informacija mora prije uvođenja bilo kakve promjene u službenom registru propisanih informacija za to dobiti odobrenje Agencije. </w:t>
      </w:r>
    </w:p>
    <w:p w14:paraId="5C956BC5" w14:textId="637ED20A" w:rsidR="685F9799" w:rsidRPr="000479E9" w:rsidRDefault="685F979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Pravna osoba koja dobije odobrenje Agencije za vođenje službenog registra propisanih informacija može naplaćivati naknadu, prihvatljivu krajnjim korisnicima, za dostavljanje pohranjenih informacija istima. </w:t>
      </w:r>
    </w:p>
    <w:p w14:paraId="28DD80F1" w14:textId="7BEA9E30" w:rsidR="685F9799" w:rsidRPr="000479E9" w:rsidRDefault="685F979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Pravna osoba koja dobije odobrenje Agencije za vođenje službenog registra propisanih informacija mora za naknadu iz stavka 4. ovoga članka i svaku njezinu izmjenu dobiti odobrenje Agencije. </w:t>
      </w:r>
    </w:p>
    <w:p w14:paraId="4F497752" w14:textId="34E6A0EC" w:rsidR="685F9799" w:rsidRPr="000479E9" w:rsidRDefault="685F9799"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Agencija pravilnikom detaljnije uređuje sadržaj zahtjeva za izdavanje odobrenja iz stavaka 2. do 5. ovoga članka, tehničke, sigurnosne, organizacijske i ostale uvjete za vođenje službenog registra propisanih informacija te podatke i isprave kojima pravna osoba dokazuje ispunjavanje uvjeta za vođenje službenog registra propisanih informacija.</w:t>
      </w:r>
    </w:p>
    <w:p w14:paraId="44F529D8" w14:textId="699683C0" w:rsidR="2B3481CE" w:rsidRPr="000479E9" w:rsidRDefault="2B3481CE" w:rsidP="2B3481CE">
      <w:pPr>
        <w:spacing w:after="0" w:line="240" w:lineRule="auto"/>
        <w:jc w:val="both"/>
        <w:rPr>
          <w:rFonts w:ascii="Times New Roman" w:eastAsia="Calibri" w:hAnsi="Times New Roman" w:cs="Times New Roman"/>
          <w:sz w:val="24"/>
          <w:szCs w:val="24"/>
        </w:rPr>
      </w:pPr>
    </w:p>
    <w:p w14:paraId="27521F1B" w14:textId="632FBDE7" w:rsidR="2B3481CE" w:rsidRPr="000479E9" w:rsidRDefault="2B3481CE" w:rsidP="2B3481CE">
      <w:pPr>
        <w:spacing w:after="0" w:line="240" w:lineRule="auto"/>
        <w:jc w:val="both"/>
        <w:rPr>
          <w:rFonts w:ascii="Times New Roman" w:eastAsia="Calibri" w:hAnsi="Times New Roman" w:cs="Times New Roman"/>
          <w:sz w:val="24"/>
          <w:szCs w:val="24"/>
        </w:rPr>
      </w:pPr>
    </w:p>
    <w:p w14:paraId="50D6BAAD" w14:textId="3701C0C8" w:rsidR="72841858" w:rsidRPr="000479E9" w:rsidRDefault="72841858"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Nadležnost i djelokrug rada </w:t>
      </w:r>
    </w:p>
    <w:p w14:paraId="41B71D9F" w14:textId="5E34A49E" w:rsidR="72841858" w:rsidRPr="000479E9" w:rsidRDefault="72841858"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512. </w:t>
      </w:r>
    </w:p>
    <w:p w14:paraId="25677B53" w14:textId="4E5D35A8" w:rsidR="2B3481CE" w:rsidRPr="000479E9" w:rsidRDefault="2B3481CE" w:rsidP="2B3481CE">
      <w:pPr>
        <w:spacing w:after="0" w:line="240" w:lineRule="auto"/>
        <w:jc w:val="both"/>
        <w:rPr>
          <w:rFonts w:ascii="Times New Roman" w:eastAsia="Calibri" w:hAnsi="Times New Roman" w:cs="Times New Roman"/>
          <w:sz w:val="24"/>
          <w:szCs w:val="24"/>
        </w:rPr>
      </w:pPr>
    </w:p>
    <w:p w14:paraId="17CD994D" w14:textId="7438C65A" w:rsidR="72841858" w:rsidRPr="000479E9" w:rsidRDefault="72841858"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Nadležnost i djelokrug rada Agencije u okviru provedbe Uredbe (EU) br. 596/2014 i ovoga dijela Zakona obuhvaćaju: </w:t>
      </w:r>
    </w:p>
    <w:p w14:paraId="17D47CBF" w14:textId="2DB9D646" w:rsidR="72841858" w:rsidRPr="000479E9" w:rsidRDefault="72841858"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koordinaciju i izvještavanje Europske komisije, ESMA-e i drugih nadležnih tijela 2. provođenje nadzora u smislu pridržavanja odredbi Uredbe (EU) br. 596/2014 i ovoga Zakona od strane svih subjekata na koje se isti odnose 3. izricanje nadzornih mjera subjektima iz točke </w:t>
      </w:r>
    </w:p>
    <w:p w14:paraId="5D6A76D9" w14:textId="1699CEC1" w:rsidR="72841858" w:rsidRPr="000479E9" w:rsidRDefault="72841858"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ovoga stavka 4. podnošenje optužnih prijedloga kod utvrđenih povreda odredbi Uredbe (EU) br. 596/2014 i ovoga dijela Zakona od strane subjekata iz točke 2. ovoga stavka 5. suradnju s drugim nadzornim tijelima država članica Europske unije, ESMA-om i nadzornim tijelima trećih zemalja i 6. druge ovlasti na temelju Uredbe (EU) br. 596/2014. </w:t>
      </w:r>
    </w:p>
    <w:p w14:paraId="6EFC87FB" w14:textId="274181FA" w:rsidR="72841858" w:rsidRPr="000479E9" w:rsidRDefault="72841858"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Agencija osigurava primjenu odredbi Uredbe (EU) br. 596/2014 na području Republike Hrvatske u vezi sa svim radnjama koje se vrše na području Republike Hrvatske i onim radnjama koje se vrše u inozemstvu povezanima s financijskim instrumentima uvrštenima za trgovanje na uređenom tržištu ili onima za koje je predan zahtjev za uvrštavanje za trgovanje na takvom tržištu, koji su bili na dražbi na dražbovnoj platformi ili kojima se trguje na MTP-u ili OTP-u ili za koje je predan zahtjev za uvrštavanje za trgovanje na MTP-u koji posluje na području Republike Hrvatske.</w:t>
      </w:r>
    </w:p>
    <w:p w14:paraId="06FAE04B" w14:textId="1A9F7E73" w:rsidR="2B3481CE" w:rsidRPr="000479E9" w:rsidRDefault="2B3481CE" w:rsidP="2B3481CE">
      <w:pPr>
        <w:spacing w:after="0" w:line="240" w:lineRule="auto"/>
        <w:jc w:val="both"/>
        <w:rPr>
          <w:rFonts w:ascii="Times New Roman" w:eastAsia="Calibri" w:hAnsi="Times New Roman" w:cs="Times New Roman"/>
          <w:sz w:val="24"/>
          <w:szCs w:val="24"/>
        </w:rPr>
      </w:pPr>
    </w:p>
    <w:p w14:paraId="5E33DB7A" w14:textId="774ABB71" w:rsidR="00A91B71" w:rsidRPr="000479E9" w:rsidRDefault="00A91B71" w:rsidP="00617A00">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Nadzorne mjere</w:t>
      </w:r>
    </w:p>
    <w:p w14:paraId="0677AEC4" w14:textId="019C6127" w:rsidR="00A91B71" w:rsidRPr="000479E9" w:rsidRDefault="00A91B71" w:rsidP="00617A00">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518.</w:t>
      </w:r>
    </w:p>
    <w:p w14:paraId="6747BADB" w14:textId="77777777" w:rsidR="00684172" w:rsidRPr="000479E9" w:rsidRDefault="00684172" w:rsidP="00617A00">
      <w:pPr>
        <w:spacing w:after="0" w:line="240" w:lineRule="auto"/>
        <w:jc w:val="center"/>
        <w:rPr>
          <w:rFonts w:ascii="Times New Roman" w:hAnsi="Times New Roman" w:cs="Times New Roman"/>
          <w:sz w:val="24"/>
          <w:szCs w:val="24"/>
        </w:rPr>
      </w:pPr>
    </w:p>
    <w:p w14:paraId="7963AE90" w14:textId="14C6B77B"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U slučajevima kršenja iz članka 30. stavka 1. podstavka 1. točke a) Uredbe (EU) br. 596/2014, Agencija ima pravo izreći sljedeće nadzorne mjere: </w:t>
      </w:r>
    </w:p>
    <w:p w14:paraId="4DD8845D" w14:textId="5C318A3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 xml:space="preserve">1. naložiti da osoba odgovorna za kršenje prekine protupravno postupanje i da takvo postupanje ne ponavlja </w:t>
      </w:r>
    </w:p>
    <w:p w14:paraId="6129AEB1" w14:textId="5C3A1A7A"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izdati javno upozorenje u kojem se navodi identitet osobe odgovorne za kršenje te vrsta i način kršenja </w:t>
      </w:r>
    </w:p>
    <w:p w14:paraId="171FA667"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ukinuti odobrenje za rad investicijskom društvu </w:t>
      </w:r>
    </w:p>
    <w:p w14:paraId="3273464E" w14:textId="1D2B005A"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privremeno zabraniti obnašanje rukovoditeljske funkcije u investicijskom društvu osobi koja obavlja rukovoditeljske dužnosti u investicijskom društvu ili drugoj fizičkoj osobi koju se smatra odgovornom za kršenje </w:t>
      </w:r>
    </w:p>
    <w:p w14:paraId="33972B1B" w14:textId="63C43F7D"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 u slučaju ponovljenog kršenja članaka 14. ili 15. Uredbe (EU) br. 596/2014, privremeno ili trajno zabraniti obnašanje rukovoditeljske funkcije u investicijskom društvu osobi koja obavlja rukovoditeljske dužnosti u investicijskom društvu ili drugoj fizičkoj osobi koju smatra odgovornom za kršenje </w:t>
      </w:r>
    </w:p>
    <w:p w14:paraId="246E9DB4" w14:textId="7539E3BE"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6. privremeno zabraniti trgovanje za vlastiti račun osobi koja obavlja rukovoditeljske dužnosti u investicijskom društvu ili drugoj fizičkoj osobi koju se smatra odgovornom za kršenje </w:t>
      </w:r>
    </w:p>
    <w:p w14:paraId="44888FD2" w14:textId="7D3E4250"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7. naložiti privremenu obustavu svake prakse koju Agencija smatra suprotnom Uredbi (EU) br. 596/2014 </w:t>
      </w:r>
    </w:p>
    <w:p w14:paraId="5EBE64B2" w14:textId="0D12B9DF"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8. naložiti burzi, operateru MTP-a te operateru OTP-a da privremeno obustavi trgovanje ili isključi iz trgovanja određeni financijski instrument </w:t>
      </w:r>
    </w:p>
    <w:p w14:paraId="241FC829" w14:textId="5C87D44D"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9. poduzeti sve potrebne mjere kako bi se osiguralo da je javnost točno obaviještena, između ostalog, ispravljanjem neistinitih ili obmanjujućih objavljenih informacija, što uključuje zahtjev da izdavatelj ili druga osoba koja je objavila ili širila neistinite ili obmanjujuće informacije objavi izjavu s ispravkom </w:t>
      </w:r>
    </w:p>
    <w:p w14:paraId="724E8550"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10. izreći opomenu pravnoj ili fizičkoj osobi i/ili </w:t>
      </w:r>
    </w:p>
    <w:p w14:paraId="60E8DB9C" w14:textId="648CAE6E"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11. naložiti središnjem klirinškom depozitarnom društvu odnosno operateru središnjeg registra i/ili središnjeg depozitorija privremenu blokadu financijskih instrumenata koja se može provesti na individualno određenom računu nematerijaliziranih vrijednosnih papira ili na cjelokupnom izdanju financijskih instrumenta. </w:t>
      </w:r>
    </w:p>
    <w:p w14:paraId="3E7F62B8" w14:textId="52ACC90D"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 Osim o odredbama iz stavka 1. ovoga članka, Agencija može u svrhu provedbe nadzora nalagati primjerene mjere koje pridonose uspostavljanju zakonitog postupanja. </w:t>
      </w:r>
    </w:p>
    <w:p w14:paraId="3624E343" w14:textId="54902AB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(3) Ako osoba koja je obvezna objaviti povlaštenu informaciju istu ne objavi, netočno objavi ili je ne objavi na propisani način, Agencija može istu objaviti o njezinu trošku. </w:t>
      </w:r>
    </w:p>
    <w:p w14:paraId="402F50B0" w14:textId="77777777"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 U odnosu na preporuke za ulaganje u skladu s odredbama članka 20. Uredbe (EU) br. </w:t>
      </w:r>
    </w:p>
    <w:p w14:paraId="5024314C" w14:textId="684318C8"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596/2014, mjera iz stavka 1. točke 9. ovoga članka osobito se odnosi na nalog davatelju preporuke da objavi ispravljenu preporuku na isti način na koji je objavljena prvotna preporuka. </w:t>
      </w:r>
    </w:p>
    <w:p w14:paraId="417A5977" w14:textId="0A84772E" w:rsidR="00A91B71"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 Svako postupanje novinara koje je suprotno Uredbi (EU) br. 596/2014 i ovome Zakonu, Agencija će bez odgode prijaviti odgovarajućem strukovnom udruženju novinara. </w:t>
      </w:r>
    </w:p>
    <w:p w14:paraId="253FB1A1" w14:textId="5CD2579E" w:rsidR="006B4BB8" w:rsidRPr="000479E9" w:rsidRDefault="00A91B71" w:rsidP="00A91B71">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Agencija može uputiti nadležnom tijelu zahtjev za oduzimanje ostvarene koristi ili spriječenog gubitka u slučajevima kršenja iz stavka 1. ovoga članka, u mjeri u kojoj ih je moguće utvrditi.</w:t>
      </w:r>
    </w:p>
    <w:p w14:paraId="10331077" w14:textId="52647F8F" w:rsidR="2B3481CE" w:rsidRPr="000479E9" w:rsidRDefault="2B3481CE" w:rsidP="2B3481CE">
      <w:pPr>
        <w:spacing w:after="0" w:line="240" w:lineRule="auto"/>
        <w:jc w:val="both"/>
        <w:rPr>
          <w:rFonts w:ascii="Times New Roman" w:hAnsi="Times New Roman" w:cs="Times New Roman"/>
          <w:sz w:val="24"/>
          <w:szCs w:val="24"/>
        </w:rPr>
      </w:pPr>
    </w:p>
    <w:p w14:paraId="47234C29" w14:textId="3EA71AF1" w:rsidR="4EBD9090" w:rsidRPr="000479E9" w:rsidRDefault="4EBD9090"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lastRenderedPageBreak/>
        <w:t>DIO PETI</w:t>
      </w:r>
    </w:p>
    <w:p w14:paraId="7D8A6C65" w14:textId="6AB986E9" w:rsidR="2B3481CE" w:rsidRPr="000479E9" w:rsidRDefault="2B3481CE" w:rsidP="00F01D72">
      <w:pPr>
        <w:spacing w:after="0" w:line="240" w:lineRule="auto"/>
        <w:jc w:val="center"/>
        <w:rPr>
          <w:rFonts w:ascii="Times New Roman" w:eastAsia="Calibri" w:hAnsi="Times New Roman" w:cs="Times New Roman"/>
          <w:bCs/>
          <w:sz w:val="24"/>
          <w:szCs w:val="24"/>
        </w:rPr>
      </w:pPr>
    </w:p>
    <w:p w14:paraId="2F2A0988" w14:textId="760D9E83" w:rsidR="4EBD9090" w:rsidRPr="000479E9" w:rsidRDefault="4EBD9090"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 xml:space="preserve"> NEMATERIJALIZIRANI VRIJEDNOSNI PAPIRI, SUSTAV PORAVNANJA I NAMIRE, SREDIŠNJA DRUGA UGOVORNA STRANA (CCP), SREDIŠNJI DEPOZITORIJ (CSD), NADZOR I SKDD </w:t>
      </w:r>
    </w:p>
    <w:p w14:paraId="33A3FA56" w14:textId="40A13E54" w:rsidR="2B3481CE" w:rsidRPr="000479E9" w:rsidRDefault="2B3481CE" w:rsidP="00F01D72">
      <w:pPr>
        <w:spacing w:after="0" w:line="240" w:lineRule="auto"/>
        <w:jc w:val="center"/>
        <w:rPr>
          <w:rFonts w:ascii="Times New Roman" w:eastAsia="Calibri" w:hAnsi="Times New Roman" w:cs="Times New Roman"/>
          <w:bCs/>
          <w:sz w:val="24"/>
          <w:szCs w:val="24"/>
        </w:rPr>
      </w:pPr>
    </w:p>
    <w:p w14:paraId="70540C72" w14:textId="1B613BE3" w:rsidR="4EBD9090" w:rsidRPr="000479E9" w:rsidRDefault="4EBD9090"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 xml:space="preserve">POGLAVLJE I. </w:t>
      </w:r>
    </w:p>
    <w:p w14:paraId="292D12B3" w14:textId="1619DD0E" w:rsidR="2B3481CE" w:rsidRPr="000479E9" w:rsidRDefault="2B3481CE" w:rsidP="00F01D72">
      <w:pPr>
        <w:spacing w:after="0" w:line="240" w:lineRule="auto"/>
        <w:jc w:val="center"/>
        <w:rPr>
          <w:rFonts w:ascii="Times New Roman" w:eastAsia="Calibri" w:hAnsi="Times New Roman" w:cs="Times New Roman"/>
          <w:bCs/>
          <w:sz w:val="24"/>
          <w:szCs w:val="24"/>
        </w:rPr>
      </w:pPr>
    </w:p>
    <w:p w14:paraId="4FC1E67E" w14:textId="12C70977" w:rsidR="4EBD9090" w:rsidRPr="000479E9" w:rsidRDefault="4EBD9090"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 xml:space="preserve">NEMATERIJALIZIRANI VRIJEDNOSNI PAPIRI I DRUGI FINANCIJSKI INSTRUMENTI </w:t>
      </w:r>
    </w:p>
    <w:p w14:paraId="1AC151D0" w14:textId="6841B7E3" w:rsidR="2B3481CE" w:rsidRPr="000479E9" w:rsidRDefault="2B3481CE" w:rsidP="00F01D72">
      <w:pPr>
        <w:spacing w:after="0" w:line="240" w:lineRule="auto"/>
        <w:jc w:val="center"/>
        <w:rPr>
          <w:rFonts w:ascii="Times New Roman" w:eastAsia="Calibri" w:hAnsi="Times New Roman" w:cs="Times New Roman"/>
          <w:sz w:val="24"/>
          <w:szCs w:val="24"/>
        </w:rPr>
      </w:pPr>
    </w:p>
    <w:p w14:paraId="772BD244" w14:textId="6C172F03" w:rsidR="4EBD9090" w:rsidRPr="000479E9" w:rsidRDefault="4EBD9090"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Pojmovi </w:t>
      </w:r>
    </w:p>
    <w:p w14:paraId="364A0CBE" w14:textId="5123C6FD" w:rsidR="4EBD9090" w:rsidRPr="000479E9" w:rsidRDefault="4EBD9090"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523. </w:t>
      </w:r>
    </w:p>
    <w:p w14:paraId="1CFA4DA8" w14:textId="5107A91C" w:rsidR="2B3481CE" w:rsidRPr="000479E9" w:rsidRDefault="2B3481CE" w:rsidP="2B3481CE">
      <w:pPr>
        <w:spacing w:after="0" w:line="240" w:lineRule="auto"/>
        <w:jc w:val="both"/>
        <w:rPr>
          <w:rFonts w:ascii="Times New Roman" w:eastAsia="Calibri" w:hAnsi="Times New Roman" w:cs="Times New Roman"/>
          <w:sz w:val="24"/>
          <w:szCs w:val="24"/>
        </w:rPr>
      </w:pPr>
    </w:p>
    <w:p w14:paraId="2C62B79E" w14:textId="31113F60"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Pojedini pojmovi, u smislu odredbi ovoga dijela Zakona, imaju sljedeće značenje: </w:t>
      </w:r>
    </w:p>
    <w:p w14:paraId="6F88E6D6" w14:textId="5AD012EC"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imobilizirani vrijednosni papir je vrijednosni papir koji je izdan u obliku isprave i položen na zbirnu pohranu kod središnjeg depozitorija i koji u pravnom prometu predstavlja elektronički zapis kod središnjeg depozitorija </w:t>
      </w:r>
    </w:p>
    <w:p w14:paraId="25BCBA5D" w14:textId="31D92435"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nematerijalizirani vrijednosni papir je vrijednosni papir koji se u obliku elektroničkog zapisa vodi kod središnjeg depozitorija ili drugog registra propisanog posebnim zakonima </w:t>
      </w:r>
    </w:p>
    <w:p w14:paraId="0CE752A8" w14:textId="6CB52780"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Delegirana uredba (EU) br. 153/2013 je Delegirana uredba Komisije (EU) br. 153/2013 od 19. prosinca 2012. o dopuni Uredbe (EU) br. 648/2012 Europskog parlamenta i Vijeća u vezi s regulatornim tehničkim standardima o zahtjevima za središnje druge ugovorne strane (Tekst značajan za EGP) (SL L 52, 23. 2. 2013.) </w:t>
      </w:r>
    </w:p>
    <w:p w14:paraId="712A1A2F" w14:textId="3401A56C"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Delegirana uredba (EU) br. 2017/390 je Delegirana uredba Komisije (EU) 2017/390 od 11. studenog 2016. o dopuni Uredbe (EU) br. 909/2014 Europskog parlamenta i Vijeća u vezi s regulatornim tehničkim standardima o određenim bonitetnim zahtjevima za središnje depozitorije vrijednosnih papira i imenovane kreditne institucije koje pružaju pomoćne usluge bankovnog tipa (Tekst značajan za EGP) (SL L 65, 10. 3. 2017.) </w:t>
      </w:r>
    </w:p>
    <w:p w14:paraId="311BD733" w14:textId="1A763221"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Delegirana uredba (EU) br. 2017/392 je Delegirana uredba Komisije (EU) 2017/392 od 11. studenog 2016. o dopuni Uredbe (EU) br. 909/2014 Europskog parlamenta i Vijeća u pogledu regulatornih tehničkih standarda povezanih sa zahtjevima za odobrenje za rad te nadzornim i operativnim zahtjevima za središnje depozitorije vrijednosnih papira (Tekst značajan za EGP) (SL L 65, 10. 3. 2017.) </w:t>
      </w:r>
    </w:p>
    <w:p w14:paraId="2390324F" w14:textId="764105CD"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Provedbena uredba (EU) br. 2017/394 je Provedbena uredba Komisije (EU) 2017/394 od 11. studenog 2016. o utvrđivanju provedbenih tehničkih standarda u vezi sa standardnim obrascima, predlošcima i postupcima za izdavanje odobrenja za rad, preispitivanje i ocjenu središnjih depozitorija vrijednosnih papira, za suradnju između tijela matičnih država članica i država članica domaćina, za savjetovanje s tijelima uključenim u izdavanje odobrenja za pružanje pomoćnih usluga bankovnog tipa, za pristup koji uključuje središnje depozitorije vrijednosnih papira, te u vezi s formatom evidencije koju moraju voditi središnji depozitoriji vrijednosnih papira u </w:t>
      </w:r>
      <w:r w:rsidRPr="000479E9">
        <w:rPr>
          <w:rFonts w:ascii="Times New Roman" w:eastAsia="Calibri" w:hAnsi="Times New Roman" w:cs="Times New Roman"/>
          <w:sz w:val="24"/>
          <w:szCs w:val="24"/>
        </w:rPr>
        <w:lastRenderedPageBreak/>
        <w:t xml:space="preserve">skladu s Uredbom (EU) br. 909/2014 Europskog parlamenta i Vijeća (Tekst značajan za EGP) (SL L 65, 10. 3. 2017.) </w:t>
      </w:r>
    </w:p>
    <w:p w14:paraId="041ED2D3" w14:textId="63AFD64C"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7. vrijednosni papiri su prenosivi vrijednosni papiri i ostali financijski instrumenti iz članka 3. točke 24. ovoga Zakona </w:t>
      </w:r>
    </w:p>
    <w:p w14:paraId="422AE09B" w14:textId="04401B8A"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8. Zakon o provedbi Uredbe (EU) br. 909/2014 je Zakon o provedbi Uredbe (EU) br. 909/2014 Europskog parlamenta i Vijeća od 23. srpnja 2014. o poboljšanju namire vrijednosnih papira u Europskoj uniji i o središnjim depozitorijima vrijednosnih papira te izmjeni Direktiva 98/26/EZ i 2014/65/EU te Uredbe (EU) br. 236/2012 </w:t>
      </w:r>
    </w:p>
    <w:p w14:paraId="6F569734" w14:textId="6D2163AB" w:rsidR="4EBD9090" w:rsidRPr="000479E9" w:rsidRDefault="4EBD9090"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9. Zakon o provedbi Uredbe (EU) br. 648/2012 je Zakon o provedbi Uredbe (EU) br. 648/2012 Europskog parlamenta i Vijeća od 4. srpnja 2012. o OTC izvedenicama, središnjoj drugoj ugovornoj strani i trgovinskom repozitoriju.</w:t>
      </w:r>
    </w:p>
    <w:p w14:paraId="34F99155" w14:textId="17942D7C" w:rsidR="00C21503" w:rsidRPr="000479E9" w:rsidRDefault="00C21503" w:rsidP="2B3481CE">
      <w:pPr>
        <w:spacing w:after="0" w:line="240" w:lineRule="auto"/>
        <w:jc w:val="both"/>
        <w:rPr>
          <w:rFonts w:ascii="Times New Roman" w:eastAsia="Calibri" w:hAnsi="Times New Roman" w:cs="Times New Roman"/>
          <w:sz w:val="24"/>
          <w:szCs w:val="24"/>
        </w:rPr>
      </w:pPr>
    </w:p>
    <w:p w14:paraId="3D72DF50" w14:textId="77777777" w:rsidR="00C21503" w:rsidRPr="000479E9" w:rsidRDefault="00C21503" w:rsidP="00483C20">
      <w:pPr>
        <w:spacing w:after="0" w:line="240" w:lineRule="auto"/>
        <w:jc w:val="center"/>
        <w:rPr>
          <w:rFonts w:ascii="Times New Roman" w:eastAsia="Calibri" w:hAnsi="Times New Roman" w:cs="Times New Roman"/>
          <w:bCs/>
          <w:iCs/>
          <w:sz w:val="24"/>
          <w:szCs w:val="24"/>
        </w:rPr>
      </w:pPr>
      <w:r w:rsidRPr="000479E9">
        <w:rPr>
          <w:rFonts w:ascii="Times New Roman" w:eastAsia="Calibri" w:hAnsi="Times New Roman" w:cs="Times New Roman"/>
          <w:bCs/>
          <w:iCs/>
          <w:sz w:val="24"/>
          <w:szCs w:val="24"/>
        </w:rPr>
        <w:t>Nematerijalizirani vrijednosni papiri</w:t>
      </w:r>
    </w:p>
    <w:p w14:paraId="7AEDDCF8" w14:textId="77777777" w:rsidR="00C21503" w:rsidRPr="000479E9" w:rsidRDefault="00C21503" w:rsidP="00483C20">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Članak 524.</w:t>
      </w:r>
    </w:p>
    <w:p w14:paraId="284ED798" w14:textId="77777777" w:rsidR="00C21503" w:rsidRPr="000479E9" w:rsidRDefault="00C21503" w:rsidP="00C21503">
      <w:pPr>
        <w:spacing w:after="0" w:line="240" w:lineRule="auto"/>
        <w:jc w:val="both"/>
        <w:rPr>
          <w:rFonts w:ascii="Times New Roman" w:eastAsia="Calibri" w:hAnsi="Times New Roman" w:cs="Times New Roman"/>
          <w:sz w:val="24"/>
          <w:szCs w:val="24"/>
        </w:rPr>
      </w:pPr>
    </w:p>
    <w:p w14:paraId="740F9D81" w14:textId="57A9B47F"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Nematerijalizirani vrijednosni papiri mogu glasiti samo na ime.</w:t>
      </w:r>
    </w:p>
    <w:p w14:paraId="161A4B1D"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Nematerijalizirani vrijednosni papiri koji unutar iste vrste daju ista prava, u pravnom prometu su zamjenjivi bez ograničenja, tako da bilo koja obveza može biti ispunjena prijenosom bilo kojeg takvog nematerijaliziranog vrijednosnog papira i vjerovnik ne može potraživati pojedinačno određene nematerijalizirane vrijednosne papire.</w:t>
      </w:r>
    </w:p>
    <w:p w14:paraId="09C044B8"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Na nematerijalizirane vrijednosne papire ne primjenjuju se odredbe članaka 1136. do 1141., 1144., 1145. i 1147. do 1153. Zakona o obveznim odnosima.</w:t>
      </w:r>
    </w:p>
    <w:p w14:paraId="30190EA0"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Odredbe ovoga dijela Zakona koje se odnose na nematerijalizirane vrijednosne papire primjenjuju se na sve financijske instrumente iz članka 3. točke 24. ovoga Zakona, osim kada je odredbama ovoga dijela Zakona drugačije određeno.</w:t>
      </w:r>
    </w:p>
    <w:p w14:paraId="20F27E77" w14:textId="2C1084F4" w:rsidR="2B3481CE" w:rsidRPr="000479E9" w:rsidRDefault="2B3481CE" w:rsidP="2B3481CE">
      <w:pPr>
        <w:spacing w:after="0" w:line="240" w:lineRule="auto"/>
        <w:jc w:val="both"/>
        <w:rPr>
          <w:rFonts w:ascii="Times New Roman" w:eastAsia="Calibri" w:hAnsi="Times New Roman" w:cs="Times New Roman"/>
          <w:sz w:val="24"/>
          <w:szCs w:val="24"/>
        </w:rPr>
      </w:pPr>
    </w:p>
    <w:p w14:paraId="04BE759C" w14:textId="2AD3229A" w:rsidR="0D06860A" w:rsidRPr="000479E9" w:rsidRDefault="0D06860A"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Izdavanje i upis nematerijaliziranih vrijednosnih papira </w:t>
      </w:r>
    </w:p>
    <w:p w14:paraId="2B3C28A8" w14:textId="0E516F7C" w:rsidR="0D06860A" w:rsidRPr="000479E9" w:rsidRDefault="0D06860A"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525. </w:t>
      </w:r>
    </w:p>
    <w:p w14:paraId="523609CB" w14:textId="3A39B820" w:rsidR="2B3481CE" w:rsidRPr="000479E9" w:rsidRDefault="2B3481CE" w:rsidP="2B3481CE">
      <w:pPr>
        <w:spacing w:after="0" w:line="240" w:lineRule="auto"/>
        <w:jc w:val="both"/>
        <w:rPr>
          <w:rFonts w:ascii="Times New Roman" w:eastAsia="Calibri" w:hAnsi="Times New Roman" w:cs="Times New Roman"/>
          <w:sz w:val="24"/>
          <w:szCs w:val="24"/>
        </w:rPr>
      </w:pPr>
    </w:p>
    <w:p w14:paraId="78220AF9" w14:textId="2F06DF9E"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Nematerijalizirani vrijednosni papiri upisuju se kod središnjeg depozitorija ili drugog registra propisanog posebnim zakonom kao elektronički zapis u postupku njihova neposrednog izdavanja u nematerijaliziranom obliku, u kojem slučaju vrijednosni papir postoji jedino kao elektronički zapis, neovisno o tome je li on prethodno izdan u obliku isprave ili je izdan isključivo u nematerijaliziranom obliku. </w:t>
      </w:r>
    </w:p>
    <w:p w14:paraId="5762EC35" w14:textId="32670838"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Za imobilizirane vrijednosne papire središnji depozitorij kreira elektroničke zapise u postupku imobilizacije. </w:t>
      </w:r>
    </w:p>
    <w:p w14:paraId="5364107B" w14:textId="59D2BC0D"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Kod drugog registra iz stavka 1. ovoga članka ne mogu se upisati nematerijalizirani vrijednosni papiri iz članka 3. stavka 1. Uredbe (EU) broj 909/2014. </w:t>
      </w:r>
    </w:p>
    <w:p w14:paraId="0A7A5632" w14:textId="0ADB04DD"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Prenosive vrijednosne papire u nematerijaliziranom obliku u smislu stavka 1. ovoga članka, i to kod središnjeg depozitorija,«. dužni su izdati: </w:t>
      </w:r>
    </w:p>
    <w:p w14:paraId="1430C407" w14:textId="167FE26B"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Republika Hrvatska, jedinice lokalne i područne (regionalne) samouprave Republike Hrvatske, trgovačka društva u kojima Republika Hrvatska ima većinski paket dionica ili većinski udio </w:t>
      </w:r>
    </w:p>
    <w:p w14:paraId="47EE60E1" w14:textId="7C6B8664"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2. Hrvatska narodna banka, Hrvatska banka za obnovu i razvitak i središnje tijelo za upravljanje i raspolaganje državnom imovinom</w:t>
      </w:r>
    </w:p>
    <w:p w14:paraId="2CE33B08" w14:textId="228F2CE2"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3. subjekti sa sjedištem u Republici Hrvatskoj koji izdaju ili nude vrijednosne papire s javnom ponudom na području Republike Hrvatske </w:t>
      </w:r>
    </w:p>
    <w:p w14:paraId="36E4F80D" w14:textId="56223855"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kreditne institucije, društva za upravljanje mirovinskim fondovima, društva za upravljanje investicijskim fondovima, društva za osiguranje, investicijska društva, leasing društva, faktoring društva </w:t>
      </w:r>
    </w:p>
    <w:p w14:paraId="77E5CFE6" w14:textId="2C969A6A"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središnji depozitorij sa sjedištem u Republici Hrvatskoj </w:t>
      </w:r>
    </w:p>
    <w:p w14:paraId="59FEFD1F" w14:textId="1DC6454B"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burza sa sjedištem u Republici Hrvatskoj i </w:t>
      </w:r>
    </w:p>
    <w:p w14:paraId="6636F893" w14:textId="462844E9"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7. zatvoreni alternativni investicijski fond s pravnom osobnošću sa sjedištem u Republici Hrvatskoj. </w:t>
      </w:r>
    </w:p>
    <w:p w14:paraId="42510C92" w14:textId="7086123E"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(5) Obveza iz stavka 4. točke 4. ovoga članka ne vrijedi u slučaju izdavanja prenosivih vrijednosnih papira iz članka 3. točke 87. podtočke c) ovoga Zakona. Subjekti iz stavka 4. točke 4. ovoga članka koji izdaju prenosive vrijednosne papire iz članka 3. točke 87. podtočke c) ovoga Zakona dužni su na godišnjoj razini Agenciji dostaviti sljedeće podatke: 1. o broju i vrsti prenosivih vrijednosnih papira koje su izdali 2. o ukupnoj vrijednosti prenosivih vrijednosnih papira koje su izdali (skupno i po pojedinom izdanju) i 3. o klijentima kojima su takve papire izdali. </w:t>
      </w:r>
    </w:p>
    <w:p w14:paraId="0CF585BE" w14:textId="2FDC3155"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Instrumenti tržišta novca koje izdaju subjekti iz stavka 4. točaka 1. i 2. ovoga članka uvijek se izdaju u nematerijaliziranom obliku, i to kod središnjeg depozitorija. </w:t>
      </w:r>
    </w:p>
    <w:p w14:paraId="4E98F445" w14:textId="12BFD9A2"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(7) Subjekti sa sjedištem u Republici Hrvatskoj, koji izdaju vrijednosne papire, osim izvedenica u smislu članka 3. stavka 1. točke 23. podtočke d) ovoga Zakona, a koji su uvršteni ili primljeni u trgovinu ili kojima se trguje na nekom od mjesta trgovanja, dužni su ih izdati u nematerijaliziranom obliku. </w:t>
      </w:r>
    </w:p>
    <w:p w14:paraId="66B02BA1" w14:textId="7873CAEB"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(8) Vrijednosni papiri izdani protivno odredbama stavaka 4., 6. i 7. ovoga članka ne smatraju se vrijednosnim papirima u smislu ovoga Zakona. </w:t>
      </w:r>
    </w:p>
    <w:p w14:paraId="798D604A" w14:textId="634402D8"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(9) Iznimno od odredbi stavaka 4., 6., 7. i 8. ovoga članka, kada subjekti iz stavaka 4., 6. i 7. izdaju ili nude vrijednosne papire iz navedenih stavaka izvan Republike Hrvatske, isti se mogu izdati i u imobiliziranom obliku, u skladu sa zakonodavstvom države u kojoj se izdaju ili nude takvi vrijednosni papiri. </w:t>
      </w:r>
    </w:p>
    <w:p w14:paraId="59889E3C" w14:textId="2B16E33C" w:rsidR="0D06860A" w:rsidRPr="000479E9" w:rsidRDefault="0D06860A"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(10) Agencija pravilnikom detaljnije propisuje strukturu, sadržaj i način i rokove dostave izvještaja iz stavka 5. ovoga članka</w:t>
      </w:r>
      <w:r w:rsidR="1C38C527" w:rsidRPr="000479E9">
        <w:rPr>
          <w:rFonts w:ascii="Times New Roman" w:eastAsia="Calibri" w:hAnsi="Times New Roman" w:cs="Times New Roman"/>
          <w:sz w:val="24"/>
          <w:szCs w:val="24"/>
        </w:rPr>
        <w:t>.</w:t>
      </w:r>
    </w:p>
    <w:p w14:paraId="26D25838" w14:textId="2B229185" w:rsidR="2B3481CE" w:rsidRPr="000479E9" w:rsidRDefault="2B3481CE" w:rsidP="2B3481CE">
      <w:pPr>
        <w:spacing w:after="0" w:line="240" w:lineRule="auto"/>
        <w:jc w:val="both"/>
        <w:rPr>
          <w:rFonts w:ascii="Times New Roman" w:eastAsia="Calibri" w:hAnsi="Times New Roman" w:cs="Times New Roman"/>
          <w:sz w:val="24"/>
          <w:szCs w:val="24"/>
        </w:rPr>
      </w:pPr>
    </w:p>
    <w:p w14:paraId="59A5131F" w14:textId="6DDB11EB" w:rsidR="1C38C527" w:rsidRPr="000479E9" w:rsidRDefault="1C38C52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Kapital i ostala financijska sredstva središnjih drugih ugovornih strana </w:t>
      </w:r>
    </w:p>
    <w:p w14:paraId="04183831" w14:textId="27B96994" w:rsidR="1C38C527" w:rsidRPr="000479E9" w:rsidRDefault="1C38C52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544. </w:t>
      </w:r>
    </w:p>
    <w:p w14:paraId="71E4092A" w14:textId="7B42DEC9" w:rsidR="2B3481CE" w:rsidRPr="000479E9" w:rsidRDefault="2B3481CE" w:rsidP="2B3481CE">
      <w:pPr>
        <w:spacing w:after="0" w:line="240" w:lineRule="auto"/>
        <w:jc w:val="both"/>
        <w:rPr>
          <w:rFonts w:ascii="Times New Roman" w:eastAsia="Calibri" w:hAnsi="Times New Roman" w:cs="Times New Roman"/>
          <w:sz w:val="24"/>
          <w:szCs w:val="24"/>
        </w:rPr>
      </w:pPr>
    </w:p>
    <w:p w14:paraId="4F365425" w14:textId="772C0D9C" w:rsidR="1C38C527" w:rsidRPr="000479E9" w:rsidRDefault="1C38C52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Agencija je središnjoj drugoj ugovornoj strani ovlaštena naložiti da vlastita sredstva (kapital) i ostala financijska sredstva održava na razini koja premašuje minimalne zahtjeve iz članaka 16. i 43. Uredbe (EU) br. 648/2012 te tehničkih standarda koje je donijela Europska komisija na temelju Uredbe (EU) br. 648/2012, ako je to potrebno da bi se: </w:t>
      </w:r>
    </w:p>
    <w:p w14:paraId="4857DE80" w14:textId="6A3F2AFF" w:rsidR="1C38C527" w:rsidRPr="000479E9" w:rsidRDefault="1C38C52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stvorio dodatni zaštitni sloj kapitala i ostalih financijskih sredstava za razdoblja ekonomske krize</w:t>
      </w:r>
    </w:p>
    <w:p w14:paraId="401C4AE1" w14:textId="42151899" w:rsidR="1C38C527" w:rsidRPr="000479E9" w:rsidRDefault="1C38C52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u obzir uzeli rizici koji proizlaze iz ugovornih odnosa ili ovisnosti središnje druge ugovorne strane, s obzirom na grupnu strukturu i/ili </w:t>
      </w:r>
    </w:p>
    <w:p w14:paraId="06A84A4F" w14:textId="3270D944" w:rsidR="1C38C527" w:rsidRPr="000479E9" w:rsidRDefault="1C38C52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3. u obzir uzeli specifični poslovni rizici središnje druge ugovorne strane. </w:t>
      </w:r>
    </w:p>
    <w:p w14:paraId="1726CC24" w14:textId="1CE77232" w:rsidR="1C38C527" w:rsidRPr="000479E9" w:rsidRDefault="1C38C52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Kao privremenu mjeru za ispunjavanje zahtjeva iz stavka 1. ovoga članka, Agencija može prihvatiti i neopozive garancije matičnog društva središnje druge ugovorne strane ili druge institucije s odgovarajućim kreditnim rejtingom.</w:t>
      </w:r>
    </w:p>
    <w:p w14:paraId="16787E3F" w14:textId="2C11E3E0" w:rsidR="2B3481CE" w:rsidRPr="000479E9" w:rsidRDefault="2B3481CE" w:rsidP="2B3481CE">
      <w:pPr>
        <w:spacing w:after="0" w:line="240" w:lineRule="auto"/>
        <w:jc w:val="both"/>
        <w:rPr>
          <w:rFonts w:ascii="Times New Roman" w:eastAsia="Calibri" w:hAnsi="Times New Roman" w:cs="Times New Roman"/>
          <w:sz w:val="24"/>
          <w:szCs w:val="24"/>
        </w:rPr>
      </w:pPr>
    </w:p>
    <w:p w14:paraId="513E05BE" w14:textId="50C5D8F5" w:rsidR="1C38C527" w:rsidRPr="000479E9" w:rsidRDefault="1C38C52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Likvidnost središnje druge ugovorne strane.</w:t>
      </w:r>
    </w:p>
    <w:p w14:paraId="45E90D57" w14:textId="39C004C6" w:rsidR="1C38C527" w:rsidRPr="000479E9" w:rsidRDefault="1C38C52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Članak 545. </w:t>
      </w:r>
    </w:p>
    <w:p w14:paraId="0E733082" w14:textId="33141B53" w:rsidR="2B3481CE" w:rsidRPr="000479E9" w:rsidRDefault="2B3481CE" w:rsidP="2B3481CE">
      <w:pPr>
        <w:spacing w:after="0" w:line="240" w:lineRule="auto"/>
        <w:jc w:val="both"/>
        <w:rPr>
          <w:rFonts w:ascii="Times New Roman" w:eastAsia="Calibri" w:hAnsi="Times New Roman" w:cs="Times New Roman"/>
          <w:sz w:val="24"/>
          <w:szCs w:val="24"/>
        </w:rPr>
      </w:pPr>
    </w:p>
    <w:p w14:paraId="7D74CA8F" w14:textId="317F8817" w:rsidR="1C38C527" w:rsidRPr="000479E9" w:rsidRDefault="1C38C527"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Kada Agencija procjenjuje adekvatnost likvidnosti središnje druge ugovorne strane, ovlaštena je središnjoj drugoj ugovornoj strani naložiti da ispuni zahtjeve koji premašuju minimalne zahtjeve iz članka 44. Uredbe (EU) br. 648/2012 te zahtjeve iz tehničkih standarda koje je donijela Europska komisija na temelju članka 44. Uredbe (EU) br. 648/2012, ako je takva mjera potrebna za osiguranje urednog i stabilnog funkcioniranja sustava poravnanja te ako bi u odsutnosti takve mjere dugoročna likvidnost središnje druge ugovorne strane bila ugrožena ili je izgledno da bi bila ugrožena.</w:t>
      </w:r>
    </w:p>
    <w:p w14:paraId="43F281C5" w14:textId="07EB3D21" w:rsidR="2B3481CE" w:rsidRPr="000479E9" w:rsidRDefault="2B3481CE" w:rsidP="2B3481CE">
      <w:pPr>
        <w:spacing w:after="0" w:line="240" w:lineRule="auto"/>
        <w:jc w:val="both"/>
        <w:rPr>
          <w:rFonts w:ascii="Times New Roman" w:eastAsia="Calibri" w:hAnsi="Times New Roman" w:cs="Times New Roman"/>
          <w:sz w:val="24"/>
          <w:szCs w:val="24"/>
        </w:rPr>
      </w:pPr>
    </w:p>
    <w:p w14:paraId="423E9851" w14:textId="4D1A0E4C" w:rsidR="0E8894FE" w:rsidRPr="000479E9" w:rsidRDefault="0E8894FE"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Financijski izvještaji središnje druge ugovorne strane i revizija za potrebe Agencije </w:t>
      </w:r>
    </w:p>
    <w:p w14:paraId="33C6A07D" w14:textId="1F0576D1" w:rsidR="0E8894FE" w:rsidRPr="000479E9" w:rsidRDefault="0E8894FE"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547. </w:t>
      </w:r>
    </w:p>
    <w:p w14:paraId="66E79C5D" w14:textId="74A62945" w:rsidR="2B3481CE" w:rsidRPr="000479E9" w:rsidRDefault="2B3481CE" w:rsidP="2B3481CE">
      <w:pPr>
        <w:spacing w:after="0" w:line="240" w:lineRule="auto"/>
        <w:jc w:val="both"/>
        <w:rPr>
          <w:rFonts w:ascii="Times New Roman" w:eastAsia="Calibri" w:hAnsi="Times New Roman" w:cs="Times New Roman"/>
          <w:sz w:val="24"/>
          <w:szCs w:val="24"/>
        </w:rPr>
      </w:pPr>
    </w:p>
    <w:p w14:paraId="55C9A857" w14:textId="1C77E44E"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Središnja druga ugovorna strana kojoj je Agencija izdala odobrenje u skladu s člancima 14. i 17. Uredbe (EU) br. 648/2012, dužna je izraditi godišnje financijske izvještaje i godišnje izvješće u skladu s odredbama zakona kojim se uređuje osnivanje i ustroj trgovačkih društava, računovodstvo poduzetnika i primjena međunarodnih standarda financijskog izvještavanja te ih dostaviti Agenciji zajedno s revizorskim izvještajem u roku od 15 dana od dana zaprimanja revizorskog izvještaja, a najkasnije u roku od četiri mjeseca od zadnjeg dana poslovne godine. (2) Agencija može od revizora koji je obavio reviziju godišnjih financijskih izvještaja središnje druge ugovorne strane zatražiti dodatna obrazloženja u vezi s obavljenom revizijom i revizorskim izvještajem. </w:t>
      </w:r>
    </w:p>
    <w:p w14:paraId="3F4B5A04" w14:textId="18568BA3"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Ako godišnji financijski izvještaji i godišnje izvješće iz stavka 1. ovoga članka nisu izrađeni sukladno odredbama zakona kojim se uređuje osnivanje i ustroj trgovačkih društava, računovodstvo poduzetnika i primjena međunarodnih standarda financijskog izvještavanja te pravilima struke, Agencija može odbiti godišnje financijske izvještaje, a središnja druga ugovorna strana je dužna ponovo izraditi godišnje financijske izvještaje, osigurati obavljanje zakonske revizije tih izvještaja te revizorski izvještaj, uključujući i relevantne financijske izvještaje, dostaviti Agenciji u roku koji je svojim rješenjem odredila Agencija. Novu zakonsku reviziju ne smije obaviti revizor koji je izdao mišljenje o godišnjim financijskim izvještajima koji su odbijeni odnosno odbačeni. U tom slučaju, Agencija može javno objaviti podatak o odbijanju godišnjih financijskih izvještaja i razlozima toga odbijanja. </w:t>
      </w:r>
    </w:p>
    <w:p w14:paraId="6D5B1007" w14:textId="718ADA8E"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(4) Nakon što je jednom izabran, isti revizor može revidirati najviše sedam uzastopnih godišnjih financijskih izvještaja središnje druge ugovorne strane. Isti revizor ne smije sljedeće četiri godine obavljati reviziju godišnjih financijskih izvještaja središnje druge ugovorne strane. </w:t>
      </w:r>
    </w:p>
    <w:p w14:paraId="1CDA80BB" w14:textId="1C1BD7F8"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 xml:space="preserve">(5) U slučaju raskida ugovora o obavljanju revizije, središnja druga ugovorna strana i revizor dužni su Agenciji u roku od 15 dana pisano obrazložiti razloge za sporazumni raskid ugovora odnosno ako je ugovor raskinula jedna ugovorna strana, obrazložiti razloge raskida, a druga ugovorna strana očitovati se o razlozima za raskid ugovora koje navodi druga ugovorna strana. </w:t>
      </w:r>
    </w:p>
    <w:p w14:paraId="5BC234BC" w14:textId="5061EDA3"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Revizor koji obavlja reviziju godišnjih financijskih izvještaja središnje druge ugovorne strane ne smije pružati, izravno ili neizravno, središnjoj drugoj ugovornoj strani bilo koje zabranjene nerevizorske usluge iz članka 5. stavka 1. Uredbe (EU) br. 537/2014 tijekom: </w:t>
      </w:r>
    </w:p>
    <w:p w14:paraId="1D827164" w14:textId="4B81B6DB"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 razdoblja između početka razdoblja koje je predmet revizije i izdavanja revizorskog izvještaja i </w:t>
      </w:r>
    </w:p>
    <w:p w14:paraId="107368B4" w14:textId="5F828B7D"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poslovne godine koja prethodi razdoblju iz točke 1. ovoga stavka u vezi s uslugom osmišljavanja i provedbe postupaka unutarnje kontrole ili upravljanja rizikom povezanih s pripremom i/ili nadzorom financijskih informacija ili osmišljavanje i provedba tehnoloških sustava za financijske informacije. </w:t>
      </w:r>
    </w:p>
    <w:p w14:paraId="4FAA5DEB" w14:textId="6E592013"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(7) U smislu ovoga članka Zakona, revizijom se smatra: 1. revizija godišnjih financijskih izvještaja i 2. revizija za potrebe Agencije. </w:t>
      </w:r>
    </w:p>
    <w:p w14:paraId="366E3C5D" w14:textId="70F19D03"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(8) Na temelju revizije iz stavka 7. ovoga članka revizor je dužan sastaviti: 1. revizorski izvještaj o obavljenoj reviziji godišnjih financijskih izvještaja i 2. revizorski izvještaj o obavljenoj reviziji za potrebe Agencije. </w:t>
      </w:r>
    </w:p>
    <w:p w14:paraId="0EE43EF0" w14:textId="62957E1A"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(9) Reviziju za potrebe Agencije može provesti revizor koji provodi reviziju godišnjih financijskih izvještaja središnje druge ugovorne strane ili unutarnji revizor središnje druge ugovorne strane. Ako reviziju za potrebe Agencije obavlja unutarnji revizor središnje druge ugovorne strane, na revizora koji provodi reviziju godišnjih financijskih izvještaja središnje druge ugovorne strane ne primjenjuje se odredba iz točke 2. stavka 8. ovoga članka. Unutarnji revizor središnje druge ugovorne strane dužan je u svakom trenutku ispunjavati uvjete neovisnosti i ostale uvjete propisane u članku 11. Delegirane uredbe (EU) br. 153/2013. U slučaju da ti uvjeti ne bi bili ispunjeni ili u slučaju da kod određenog područja revizije za unutarnjeg revizora središnje druge ugovorne strane postoji potencijalni sukob interesa, središnja druga ugovorna strana je dužna angažirati vanjskog revizora. </w:t>
      </w:r>
    </w:p>
    <w:p w14:paraId="20637B1E" w14:textId="54101F40"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(10) Za potrebe Agencije revizor ili unutarnji revizor, pod uvjetima iz stavka 9. ovoga članka, daje ocjenu o: 1. pridržavanju pravila o upravljanju rizicima iz Uredbe (EU) br. 648/2012, uključujući i primjenu politika primitaka 2. obavljanju poslova funkcije kontrole rizika, funkcije praćenja usklađenosti i funkcije unutarnje revizije 3. stanju informacijskog sustava i adekvatnosti upravljanja informacijskim sustavom i 4. pravilnosti, točnosti i potpunosti nadzornih izvješća koja se dostavljaju Agenciji. </w:t>
      </w:r>
    </w:p>
    <w:p w14:paraId="29F04844" w14:textId="54D4214E"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(11) Ocjena iz stavka 10. ovoga članka opisna je i kreće se u rasponu od potpuno zadovoljavajuće do potpuno nezadovoljavajuće (potpuno zadovoljavajuće, zadovoljavajuće, nezadovoljavajuće, u potpunosti nezadovoljavajuće). </w:t>
      </w:r>
    </w:p>
    <w:p w14:paraId="736B820A" w14:textId="433D9BE1"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(12) Agencija može od revizora ili unutarnjeg revizora zatražiti dodatne informacije u vezi s obavljenom revizijom. </w:t>
      </w:r>
    </w:p>
    <w:p w14:paraId="3546B234" w14:textId="600275CA"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(13) Ako Agencija utvrdi da ocjena nije dana u skladu s Uredbom (EU) br. 648/2012, tehničkim standardima donesenima na temelju odredbi Uredbe (EU) br. 648/2012, ovim Zakonom, pravilnicima donesenima na temelju ovoga Zakona, zakonom kojim </w:t>
      </w:r>
      <w:r w:rsidRPr="000479E9">
        <w:rPr>
          <w:rFonts w:ascii="Times New Roman" w:eastAsia="Calibri" w:hAnsi="Times New Roman" w:cs="Times New Roman"/>
          <w:sz w:val="24"/>
          <w:szCs w:val="24"/>
        </w:rPr>
        <w:lastRenderedPageBreak/>
        <w:t xml:space="preserve">se uređuje revizija i pravilima revizorske struke ili ako obavljenim nadzorom poslovanja središnje druge ugovorne strane ili na drugi način utvrdi da ocjena nije zasnovana na istinitim i objektivnim činjenicama, može: 1. zahtijevati od revizora ili unutarnjeg revizora da svoju ocjenu ispravi odnosno dopuni ili 2. odbiti ocjenu i zahtijevati od središnje druge ugovorne strane da ocjenu daju ovlašteni revizori drugog revizora, a na trošak središnje druge ugovorne strane odnosno da ocjenu daju ovlašteni revizori vanjskog revizora, a na trošak središnje druge ugovorne strane. </w:t>
      </w:r>
    </w:p>
    <w:p w14:paraId="0329EFD2" w14:textId="47461CA4"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(14) Odbijanje ocjene iz stavka 13. ovoga članka nema za posljedicu odbijanje revizorskog izvještaja o obavljenoj reviziji financijskih izvještaja središnje druge ugovorne strane za tu godinu, ako je revizorski izvještaj o obavljenoj reviziji financijskih izvještaja prihvaćen od strane Agencije. </w:t>
      </w:r>
    </w:p>
    <w:p w14:paraId="528FD953" w14:textId="77777777" w:rsidR="00685A4A"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(15) Osim godišnjih financijskih izvještaja, središnja druga ugovorna strana obvezna je izrađivati financijske izvještaje i za izvještajna razdoblja tijekom poslovne godine. </w:t>
      </w:r>
    </w:p>
    <w:p w14:paraId="4617F37D" w14:textId="77777777" w:rsidR="00685A4A"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(16) Agencija pravilnikom detaljnije propisuje strukturu, sadržaj i način i rokove dostave izvještaja iz stavaka 1., 8. i 15. ovoga članka. </w:t>
      </w:r>
    </w:p>
    <w:p w14:paraId="35C47225" w14:textId="69C1AD08" w:rsidR="0E8894FE" w:rsidRPr="000479E9" w:rsidRDefault="0E8894FE"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(17) Agencija pravilnikom propisuje kontni plan za središnju drugu ugovornu stranu.</w:t>
      </w:r>
    </w:p>
    <w:p w14:paraId="41C9AB51" w14:textId="5E12AA29" w:rsidR="2B3481CE" w:rsidRPr="000479E9" w:rsidRDefault="2B3481CE" w:rsidP="2B3481CE">
      <w:pPr>
        <w:spacing w:after="0" w:line="240" w:lineRule="auto"/>
        <w:jc w:val="both"/>
        <w:rPr>
          <w:rFonts w:ascii="Times New Roman" w:eastAsia="Calibri" w:hAnsi="Times New Roman" w:cs="Times New Roman"/>
          <w:sz w:val="24"/>
          <w:szCs w:val="24"/>
        </w:rPr>
      </w:pPr>
    </w:p>
    <w:p w14:paraId="4FCAE9BB" w14:textId="77777777" w:rsidR="00C21503" w:rsidRPr="000479E9" w:rsidRDefault="00C21503" w:rsidP="00483C20">
      <w:pPr>
        <w:spacing w:after="0" w:line="240" w:lineRule="auto"/>
        <w:jc w:val="center"/>
        <w:rPr>
          <w:rFonts w:ascii="Times New Roman" w:eastAsia="Calibri" w:hAnsi="Times New Roman" w:cs="Times New Roman"/>
          <w:bCs/>
          <w:iCs/>
          <w:sz w:val="24"/>
          <w:szCs w:val="24"/>
        </w:rPr>
      </w:pPr>
      <w:r w:rsidRPr="000479E9">
        <w:rPr>
          <w:rFonts w:ascii="Times New Roman" w:eastAsia="Calibri" w:hAnsi="Times New Roman" w:cs="Times New Roman"/>
          <w:bCs/>
          <w:iCs/>
          <w:sz w:val="24"/>
          <w:szCs w:val="24"/>
        </w:rPr>
        <w:t>Obavijesti i izvješća središnje druge ugovorne strane</w:t>
      </w:r>
    </w:p>
    <w:p w14:paraId="36758479" w14:textId="77777777" w:rsidR="00C21503" w:rsidRPr="000479E9" w:rsidRDefault="00C21503" w:rsidP="00483C20">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Članak 548.</w:t>
      </w:r>
    </w:p>
    <w:p w14:paraId="603442A8" w14:textId="29B6262B" w:rsidR="00C21503" w:rsidRPr="000479E9" w:rsidRDefault="00C21503" w:rsidP="00C21503">
      <w:pPr>
        <w:spacing w:after="0" w:line="240" w:lineRule="auto"/>
        <w:jc w:val="both"/>
        <w:rPr>
          <w:rFonts w:ascii="Times New Roman" w:eastAsia="Calibri" w:hAnsi="Times New Roman" w:cs="Times New Roman"/>
          <w:sz w:val="24"/>
          <w:szCs w:val="24"/>
        </w:rPr>
      </w:pPr>
    </w:p>
    <w:p w14:paraId="4FEE00DF"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Središnja druga ugovorna strana je dužna tromjesečno dostavljati Agenciji nadzorne izvještaje koji su vezani za financijske pokazatelje središnje druge ugovorne strane i adekvatnost kapitala središnje druge ugovorne strane, sukladno člancima 16., 41., 42., 43. i 49. Uredbe (EU) br. 648/2012 i člancima 49., 50., 51., 53., 54. i 57. Delegirane uredbe (EU) br. 153/2013.</w:t>
      </w:r>
    </w:p>
    <w:p w14:paraId="78A43CAE"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Središnja druga ugovorna strana obvezna je Agenciju tromjesečno obavještavati o:</w:t>
      </w:r>
    </w:p>
    <w:p w14:paraId="4FB8DEF7"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usklađenosti sa zahtjevima članka 41. stavka 1. rečenice 2. i 3. Uredbe (EU) br. 648/2012 (iznosi nadoknade)</w:t>
      </w:r>
    </w:p>
    <w:p w14:paraId="024E7809"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ukupnom iznosu jamstvenog fonda ili fondova, u skladu s člankom 42. stavkom 1. Uredbe (EU) br. 648/2012</w:t>
      </w:r>
    </w:p>
    <w:p w14:paraId="175F9DA1"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ukupnom iznosu ostalih financijskih sredstava, u skladu s člankom 43. Uredbe (EU) br. 648/2012</w:t>
      </w:r>
    </w:p>
    <w:p w14:paraId="4A2EF159"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tome jesu li jamstveni fond i ostala financijska sredstva u izvještajnom razdoblju bila dovoljna da središnja druga ugovorna strana podnese neispunjavanje obveza članova sustava poravnanja, u skladu s člankom 43. stavkom 2. Uredbe (EU) br. 648/2012</w:t>
      </w:r>
    </w:p>
    <w:p w14:paraId="05EDB53C"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ukupnom iznosu svih dostupnih kreditnih linija ili sličnih aranžmana za pokriće potrebne likvidnosti, podatku o pružateljima likvidnosti, kao i podacima o potencijalnim dnevnim likvidnosnim potrebama, u skladu s člankom 44. stavkom 1. Uredbe (EU) br. 648/2012 te podacima o korištenju izvora likvidnosti u izvještajnom razdoblju</w:t>
      </w:r>
    </w:p>
    <w:p w14:paraId="0B4E605E"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6. ukupnom iznosu svih instrumenata osiguranja (kolaterala) koje je središnja druga ugovorna strane prihvatila tijekom izvještajnog razdoblja u skladu s člankom 46. </w:t>
      </w:r>
      <w:r w:rsidRPr="000479E9">
        <w:rPr>
          <w:rFonts w:ascii="Times New Roman" w:eastAsia="Calibri" w:hAnsi="Times New Roman" w:cs="Times New Roman"/>
          <w:sz w:val="24"/>
          <w:szCs w:val="24"/>
        </w:rPr>
        <w:lastRenderedPageBreak/>
        <w:t>stavkom 1. Uredbe (EU) br. 648/2012, strukturi takvog kolaterala, korektivnim faktorima, i udjelu pojedinih instrumenata i grupa instrumenata u ukupnom kolateralu, kao i, ako je središnja druga ugovorna strana takav kolateral koristila u izvještajnom razdoblju, podacima o njegovu korištenju</w:t>
      </w:r>
    </w:p>
    <w:p w14:paraId="58D3B802"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strukturi vlastitih ulaganja i ulaganja novčanih sredstava koje je središnja druga ugovorna strana prikupila od članova sustava poravnanja i njihovih klijenata i</w:t>
      </w:r>
    </w:p>
    <w:p w14:paraId="4D4717F7"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adekvatnosti kapitala središnje druge ugovorne strane.</w:t>
      </w:r>
    </w:p>
    <w:p w14:paraId="3B6F4682"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Izvješća i dokumenti koje središnja druga ugovorna strana dostavlja Agenciji prema Uredbi (EU) br. 648/2012 moraju biti napisana i dostavljena na hrvatskom jeziku, a na zahtjev Agencije, dodatno i na engleskom jeziku.</w:t>
      </w:r>
    </w:p>
    <w:p w14:paraId="36F0B2A8"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Agencija može dopustiti da se izvješća i dokumenti središnje druge ugovorne strane sastavljaju i dostavljaju samo na engleskom jeziku.</w:t>
      </w:r>
    </w:p>
    <w:p w14:paraId="4B02B12B"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Središnja druga ugovorna strana izvješće iz točke 5. stavka 2. ovoga članka dostavlja i Hrvatskoj narodnoj banci, na način kako je propisano pravilnikom iz stavka 8. ovoga članka.</w:t>
      </w:r>
    </w:p>
    <w:p w14:paraId="4153AC2B"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Za potrebe istraživanja i razvoja usluga poravnanja, te izvještavanja kolegija regulatora iz članka 18. Uredbe (EU) br. 648/2012, Agencija može koristiti podatke sadržane u propisanim financijskim izvještajima i propisanim nadzornim izvještajima i dostavljati ih kolegiju regulatora iz članka 18. Uredbe (EU) br. 648/2012. Agencija može od središnje druge ugovorne strane tražiti dostavu podataka i iz izvješća čiji sadržaj, oblik i rokove definira ovisno o potrebi.</w:t>
      </w:r>
    </w:p>
    <w:p w14:paraId="4200B687"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Središnja druga ugovorna strana je dužna bez odgode, obavijestiti Agenciju o svakom incidentu koji ima značajan negativan učinak na sigurnost njezinih mrežnih i informacijskih sustava. Prilikom procjene značajnosti negativnog učinka incidenta uzet će se u obzir broj korisnika pogođenih prekidom obavljanja djelatnosti, trajanje prekida obavljanja djelatnosti, zemljopisna raširenost u smislu područja na koje je prekid utjecao te ostale okolnosti.</w:t>
      </w:r>
    </w:p>
    <w:p w14:paraId="306728C5" w14:textId="77777777" w:rsidR="00C21503" w:rsidRPr="000479E9" w:rsidRDefault="00C21503" w:rsidP="00C21503">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Agencija pravilnikom detaljnije propisuje strukturu, sadržaj i način i rokove dostave izvještaja iz stavaka 1. i 2. ovoga članka.</w:t>
      </w:r>
    </w:p>
    <w:p w14:paraId="7F4E4D1C" w14:textId="77777777" w:rsidR="00C21503" w:rsidRPr="000479E9" w:rsidRDefault="00C21503" w:rsidP="2B3481CE">
      <w:pPr>
        <w:spacing w:after="0" w:line="240" w:lineRule="auto"/>
        <w:jc w:val="both"/>
        <w:rPr>
          <w:rFonts w:ascii="Times New Roman" w:eastAsia="Calibri" w:hAnsi="Times New Roman" w:cs="Times New Roman"/>
          <w:sz w:val="24"/>
          <w:szCs w:val="24"/>
        </w:rPr>
      </w:pPr>
    </w:p>
    <w:p w14:paraId="5E40F699" w14:textId="3736ECC1" w:rsidR="5DBF58C1" w:rsidRPr="000479E9" w:rsidRDefault="5DBF58C1" w:rsidP="00F01D72">
      <w:pPr>
        <w:spacing w:before="72" w:after="72" w:line="240" w:lineRule="auto"/>
        <w:jc w:val="center"/>
        <w:rPr>
          <w:rFonts w:ascii="Times New Roman" w:eastAsia="Calibri" w:hAnsi="Times New Roman" w:cs="Times New Roman"/>
          <w:sz w:val="24"/>
          <w:szCs w:val="24"/>
        </w:rPr>
      </w:pPr>
      <w:r w:rsidRPr="000479E9">
        <w:rPr>
          <w:rFonts w:ascii="Times New Roman" w:eastAsia="Arial" w:hAnsi="Times New Roman" w:cs="Times New Roman"/>
          <w:sz w:val="24"/>
          <w:szCs w:val="24"/>
        </w:rPr>
        <w:t>Op</w:t>
      </w:r>
      <w:r w:rsidRPr="000479E9">
        <w:rPr>
          <w:rFonts w:ascii="Times New Roman" w:eastAsiaTheme="minorEastAsia" w:hAnsi="Times New Roman" w:cs="Times New Roman"/>
          <w:sz w:val="24"/>
          <w:szCs w:val="24"/>
        </w:rPr>
        <w:t>erativna pravila rada i naknade za usluge središnje druge ugovorne strane</w:t>
      </w:r>
    </w:p>
    <w:p w14:paraId="226B43CF" w14:textId="0676111A" w:rsidR="5DBF58C1" w:rsidRPr="000479E9" w:rsidRDefault="5DBF58C1" w:rsidP="00F01D72">
      <w:pPr>
        <w:spacing w:before="72" w:after="72" w:line="240" w:lineRule="auto"/>
        <w:jc w:val="center"/>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 xml:space="preserve">Članak 551. </w:t>
      </w:r>
    </w:p>
    <w:p w14:paraId="2D2149BF" w14:textId="76B67E16" w:rsidR="2B3481CE" w:rsidRPr="000479E9" w:rsidRDefault="2B3481CE" w:rsidP="00F01D72">
      <w:pPr>
        <w:spacing w:before="72" w:after="72" w:line="240" w:lineRule="auto"/>
        <w:jc w:val="center"/>
        <w:rPr>
          <w:rFonts w:ascii="Times New Roman" w:eastAsiaTheme="minorEastAsia" w:hAnsi="Times New Roman" w:cs="Times New Roman"/>
          <w:sz w:val="24"/>
          <w:szCs w:val="24"/>
        </w:rPr>
      </w:pPr>
    </w:p>
    <w:p w14:paraId="225E755F" w14:textId="04C64959" w:rsidR="5DBF58C1" w:rsidRPr="000479E9" w:rsidRDefault="5DBF58C1"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(1) Središnja druga ugovorna strana dužna je donijeti i primjenjivati operativna pravila rada kojima detaljno određuje i pojašnjava način obavljanja usluga koje pruža.</w:t>
      </w:r>
    </w:p>
    <w:p w14:paraId="0BFD82D3" w14:textId="4EDAB5AC" w:rsidR="5DBF58C1" w:rsidRPr="000479E9" w:rsidRDefault="5DBF58C1"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(2) Na operativna pravila rada središnje druge ugovorne strane na odgovarajući način primjenjuju se odredbe članka 566. i 566.a ovoga Zakona, pri čemu se izraz »središnji depozitorij« na odgovarajući način zamjenjuje izrazom »središnja druga ugovorna strana«, a izraz »sustav namire« na odgovarajući način zamjenjuje izrazom »sustav poravnanja« u dijelu gdje nisu suprotna odredbama Uredbe (EU) br. 648/2012.</w:t>
      </w:r>
    </w:p>
    <w:p w14:paraId="165F698D" w14:textId="3150DC4F" w:rsidR="5DBF58C1" w:rsidRPr="000479E9" w:rsidRDefault="5DBF58C1"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(3) Na naknade za usluge središnje druge ugovorne strane na odgovarajući način primjenjuju se odredbe članka 567. ovoga Zakona, pri čemu se izraz »središnji depozitorij« na odgovarajući način zamjenjuje izrazom »središnja druga ugovorna strana«, u dijelu gdje nisu suprotna odredbama Uredbe (EU) br. 648/2012.</w:t>
      </w:r>
    </w:p>
    <w:p w14:paraId="664EB572" w14:textId="38D2F809" w:rsidR="2B3481CE" w:rsidRPr="000479E9" w:rsidRDefault="2B3481CE" w:rsidP="00F01D72">
      <w:pPr>
        <w:spacing w:before="72" w:after="72" w:line="240" w:lineRule="auto"/>
        <w:jc w:val="both"/>
        <w:rPr>
          <w:rFonts w:ascii="Times New Roman" w:eastAsiaTheme="minorEastAsia" w:hAnsi="Times New Roman" w:cs="Times New Roman"/>
          <w:sz w:val="24"/>
          <w:szCs w:val="24"/>
        </w:rPr>
      </w:pPr>
    </w:p>
    <w:p w14:paraId="0F611D27" w14:textId="435A6066" w:rsidR="5DBF58C1" w:rsidRPr="000479E9" w:rsidRDefault="5DBF58C1"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Sadržaj zahtjeva za izdavanje odobrenja za pružanje usluga središnje druge ugovorne strane</w:t>
      </w:r>
    </w:p>
    <w:p w14:paraId="01CCE3CC" w14:textId="090F7263" w:rsidR="5DBF58C1" w:rsidRPr="000479E9" w:rsidRDefault="5DBF58C1"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553.</w:t>
      </w:r>
    </w:p>
    <w:p w14:paraId="1278C443" w14:textId="53FD2F8F" w:rsidR="2B3481CE" w:rsidRPr="000479E9" w:rsidRDefault="2B3481CE" w:rsidP="00F01D72">
      <w:pPr>
        <w:spacing w:before="72" w:after="72" w:line="240" w:lineRule="auto"/>
        <w:jc w:val="both"/>
        <w:rPr>
          <w:rFonts w:ascii="Times New Roman" w:eastAsiaTheme="minorEastAsia" w:hAnsi="Times New Roman" w:cs="Times New Roman"/>
          <w:sz w:val="24"/>
          <w:szCs w:val="24"/>
        </w:rPr>
      </w:pPr>
    </w:p>
    <w:p w14:paraId="6FEA65BE" w14:textId="67118493"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Zahtjev za odobrenje za pružanje usluga središnje druge ugovorne strane u Republici Hrvatskoj, na temelju članaka 14. i 17. Uredbe (EU) br. 648/2012, mora sadržavati najmanje sljedeće:</w:t>
      </w:r>
    </w:p>
    <w:p w14:paraId="18199EA2" w14:textId="1C6A056D"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opće podatke o podnositelju zahtjeva</w:t>
      </w:r>
    </w:p>
    <w:p w14:paraId="15912531" w14:textId="4676ADA6"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podatak za koje će vrste financijskih instrumenata podnositelj zahtjeva pružati usluge poravnanja kao središnja druga ugovorna strana</w:t>
      </w:r>
    </w:p>
    <w:p w14:paraId="14E5D27B" w14:textId="65580B2C"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podatke o članovima višeg rukovodstva, uprave i nadzornog odbora, kao i o članovima drugih odbora čije je uspostavljanje obvezno prema odredbama Uredbe (EU) br. 648/2012</w:t>
      </w:r>
    </w:p>
    <w:p w14:paraId="79974578" w14:textId="0E8AE65C"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podatke o imateljima kvalificiranih udjela</w:t>
      </w:r>
    </w:p>
    <w:p w14:paraId="00B21E5F" w14:textId="1F2F8860"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podatke o organizacijskoj strukturi i o izdvojenim aktivnostima i poslovnim procesima</w:t>
      </w:r>
    </w:p>
    <w:p w14:paraId="58ABABFD" w14:textId="6A4E541A"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6. opis modela i parametara koji se koriste za izračun iznosa nadoknade u smislu članka 41. Uredbe (EU) br. 648/2012, navodeći relevantne izvore cijena u smislu članka 40. Uredbe (EU) br. 648/2012</w:t>
      </w:r>
    </w:p>
    <w:p w14:paraId="739D4022" w14:textId="4C451991"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7. dokaz o uspostavi jamstvenog fonda u smislu članka 42. Uredbe (EU) br. 648/2012 i opis načina određivanja njegove veličine</w:t>
      </w:r>
    </w:p>
    <w:p w14:paraId="2E77D556" w14:textId="312A6C7B"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8. opis mjera za održavanje potrebnih ostalih financijskih sredstava, u smislu članka 43. stavka 1. Uredbe (EU) br. 648/2012</w:t>
      </w:r>
    </w:p>
    <w:p w14:paraId="4AA5833D" w14:textId="3BAB958A"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9. opis mehanizama upravljanja rizikom likvidnosti u smislu članka 44. Uredbe (EU) br. 648/2012</w:t>
      </w:r>
    </w:p>
    <w:p w14:paraId="58096B5A" w14:textId="03E7B66F"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10. opis kolateralnih zahtjeva u smislu članka 46. Uredbe (EU) br. 648/2012</w:t>
      </w:r>
    </w:p>
    <w:p w14:paraId="6F2FCB53" w14:textId="3920E62A"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11. podatke o investicijskoj politici u smislu članka 47. Uredbe (EU) br. 648/2012</w:t>
      </w:r>
    </w:p>
    <w:p w14:paraId="1B9E91B5" w14:textId="34530759"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12. opis postupaka u slučaju neispunjavanja obveza od strane člana poravnanja, u skladu s člankom 48. Uredbe (EU) br. 648/2012</w:t>
      </w:r>
    </w:p>
    <w:p w14:paraId="3A38267B" w14:textId="15E130A5"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13. opis postupaka preispitivanja modela, ispitivanja otpornosti na stres i retroaktivnog ispitivanja u smislu članka 49. Uredbe (EU) br. 648/2012 i</w:t>
      </w:r>
    </w:p>
    <w:p w14:paraId="036926A5" w14:textId="134FB6EF"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14. ostale dokumente iz kojih se može utvrditi usklađenost podnositelja zahtjeva s odredbama Uredbe (EU) br. 648/2012 i na temelju navedene uredbe donesenih relevantnih propisa.</w:t>
      </w:r>
    </w:p>
    <w:p w14:paraId="0A4B7093" w14:textId="0E519B33"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Agencija može zatražiti dostavu dodatnih dokumenata i informacija, ako su potrebni za procjenu zahtjeva za odobrenje.</w:t>
      </w:r>
    </w:p>
    <w:p w14:paraId="21594086" w14:textId="2BA54593"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Agencija pravilnikom detaljnije propisuje sadržaj, format i način dostave zahtjeva iz stavka 1. ovoga članka.</w:t>
      </w:r>
    </w:p>
    <w:p w14:paraId="16233C25" w14:textId="698866BA" w:rsidR="2B3481CE" w:rsidRPr="000479E9" w:rsidRDefault="2B3481CE" w:rsidP="2B3481CE">
      <w:pPr>
        <w:spacing w:before="72" w:after="72"/>
        <w:jc w:val="both"/>
        <w:rPr>
          <w:rFonts w:eastAsiaTheme="minorEastAsia"/>
          <w:sz w:val="24"/>
          <w:szCs w:val="24"/>
        </w:rPr>
      </w:pPr>
    </w:p>
    <w:p w14:paraId="21D14709" w14:textId="64E63C05" w:rsidR="5DBF58C1" w:rsidRPr="000479E9" w:rsidRDefault="5DBF58C1" w:rsidP="00F01D72">
      <w:pPr>
        <w:spacing w:before="72" w:after="72"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Mjere za poboljšanje financijskih sredstava i likvidnosti središnje druge ugovorne strane</w:t>
      </w:r>
    </w:p>
    <w:p w14:paraId="607F34B3" w14:textId="553B1646" w:rsidR="5DBF58C1" w:rsidRPr="000479E9" w:rsidRDefault="5DBF58C1" w:rsidP="00F01D72">
      <w:pPr>
        <w:spacing w:before="72" w:after="72"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554.</w:t>
      </w:r>
    </w:p>
    <w:p w14:paraId="4525FE5E" w14:textId="772687D5" w:rsidR="2B3481CE" w:rsidRPr="000479E9" w:rsidRDefault="2B3481CE" w:rsidP="00F01D72">
      <w:pPr>
        <w:spacing w:before="72" w:after="72" w:line="240" w:lineRule="auto"/>
        <w:jc w:val="both"/>
        <w:rPr>
          <w:rFonts w:ascii="Times New Roman" w:hAnsi="Times New Roman" w:cs="Times New Roman"/>
          <w:sz w:val="24"/>
          <w:szCs w:val="24"/>
        </w:rPr>
      </w:pPr>
    </w:p>
    <w:p w14:paraId="078EFDE8" w14:textId="031466FE"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Ako podaci o imovini i obvezama, financijskom položaju ili profitabilnosti središnje druge ugovorne strane ili druge okolnosti ukazuju da središnja druga ugovorna strana neće biti u mogućnosti kontinuirano ispunjavati uvjete iz članaka 41. do 44., članka 46. ili 47. Uredbe (EU) br. 648/2012 te tehničkih standarda koje je donijela Europska komisija na temelju Uredbe (EU) br. 648/2012, Agencija može središnjoj drugoj ugovornoj strani naložiti da poduzme odgovarajuće mjere za poboljšanje adekvatnosti vlastitih sredstava i likvidnosti, što osobito uključuje:</w:t>
      </w:r>
    </w:p>
    <w:p w14:paraId="2B4244F4" w14:textId="595E3841"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da se Agenciji dostavi utemeljen plan razvoja ključnih poslovnih aktivnosti središnje druge ugovorne strane za razdoblje od najmanje sljedeće tri godine, uključujući i projekcije bilance i računa dobiti i gubitka za to razdoblje</w:t>
      </w:r>
    </w:p>
    <w:p w14:paraId="57B15D15" w14:textId="48FA27F7"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da središnja druga ugovorna strana primijeni odgovarajuće mjere za zaštitu od glavnih rizika kojima je izložena, kao i da primijeni odgovarajuće mjere kojima bi se umanjile povezane koncentracije rizika te da o primjeni takvih mjera, kao i eventualnoj namjeri prestanka pružanja određenih usluga i/ili aktivnosti ili smanjenja opsega pružanja takvih usluga izvijesti Agenciju</w:t>
      </w:r>
    </w:p>
    <w:p w14:paraId="4BF47D8C" w14:textId="2A47AAA1"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da primijeni odgovarajuće mjere kojima bi se osigurala usklađenost sa zahtjevima Uredbe (EU) br. 648/2012 koje se odnose na iznose nadoknade, veličinu jamstvenog fonda i ostalih financijskih sredstava, izvore likvidnosti, kolateralne zahtjeve i investicijsku politiku i</w:t>
      </w:r>
    </w:p>
    <w:p w14:paraId="6BECC912" w14:textId="025B58D9"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ako su ostvareni uvjeti iz članka 20. Uredbe (EU) br. 648/2012, da se Agenciji i kolegiju regulatora iz članka 18. Uredbe (EU) br. 648/2012 predstavi plan središnje druge ugovorne strane koji bi otklonio okolnosti zbog kojih je došlo do razmatranja mjere oduzimanje odobrenja za pružanje usluga središnje druge ugovorne strane.</w:t>
      </w:r>
    </w:p>
    <w:p w14:paraId="4365545F" w14:textId="1A45351F"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Pretpostavka da središnja druga ugovorna strana neće biti u mogućnosti kontinuirano ispunjavati uvjete iz članaka 41. do 44., članka 46. ili 47. Uredbe (EU) br. 648/2012 te tehničkih standarda koje je donijela Europska komisija na temelju Uredbe (EU) br. 648/2012, može se smatrati opravdanom u sljedećim okolnostima:</w:t>
      </w:r>
    </w:p>
    <w:p w14:paraId="2AC01629" w14:textId="54BA1717"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kod prikupljenih iznosa nadoknada kada:</w:t>
      </w:r>
    </w:p>
    <w:p w14:paraId="47F10AB2" w14:textId="6F0E4052"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a) retroaktivno testiranje pokaže više nedozvoljenih prekoračenja u dva izvještajna razdoblja iz članka 548. ili u kraćem razdoblju, ako broj ili iznos takvih prekoračenja vjerojatno može ugroziti kontinuitet poslovanja središnje druge ugovorne strane ili</w:t>
      </w:r>
    </w:p>
    <w:p w14:paraId="07C7FC44" w14:textId="744C6216"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b) prikupljeni iznos nadoknada ne pokriva u potpunosti sve izloženosti prema članovima sustava poravnanja i/ili prema drugim središnjim drugim stranama s kojima je središnja druga ugovorna strana sklopila ugovore o međudjelovanju, u smislu članka 51. Uredbe (EU) br. 648/2012</w:t>
      </w:r>
    </w:p>
    <w:p w14:paraId="50997316" w14:textId="7010A75E"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2. iznos jamstvenog fonda ne dosegne minimalni iznos iz članka 41. stavka 1. Uredbe (EU) br. 648/2012 kroz dva izvještajna razdoblja iz članka 548. ili u kraćem razdoblju, ako takvo odstupanje vjerojatno može ugroziti kontinuitet poslovanja središnje druge ugovorne strane</w:t>
      </w:r>
    </w:p>
    <w:p w14:paraId="0FEE3176" w14:textId="0A490BC0"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u dva izvještajna razdoblja ili u kraćem razdoblju, ako takvo odstupanje vjerojatno može ugroziti kontinuitet poslovanja središnje druge ugovorne strane, u provedenim ispitivanjima otpornosti na stres, iznosi nadoknada, jamstvenog fonda i ostalih financijskih sredstava nisu bili dovoljni da pokriju neispunjavanje obveza članova sustava poravnanja u smislu članaka 42. i 43. Uredbe (EU) br. 648/2012</w:t>
      </w:r>
    </w:p>
    <w:p w14:paraId="5E18A3F7" w14:textId="12246C9F"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likvidna sredstva i kreditne linije u dva izvještajna razdoblja ili u kraćem razdoblju, ako takvo odstupanje vjerojatno može ugroziti kontinuitet poslovanja središnje druge ugovorne strane, nisu bila dovoljna da pokriju neispunjavanje obveza članova sustava poravnanja u smislu članka 44. Uredbe (EU) br. 648/2012</w:t>
      </w:r>
    </w:p>
    <w:p w14:paraId="45E12D0E" w14:textId="046BA7E5"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kolateral koji na raspolaganju ima središnja druga ugovorna strana djelomično ili u cijelosti ne zadovoljava uvjete za njegov prihvat ili</w:t>
      </w:r>
    </w:p>
    <w:p w14:paraId="66FF1BBD" w14:textId="1C1D9004"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6. vlastita ulaganja središnje druge ugovorne strane, koja su potrebna za pokriće kapitalnih zahtjeva iz članka 16. Uredbe (EU) br. 648/2012 i ostala financijska sredstva iz članka 43. Uredbe (EU) br. 648/2012, djelomično ili u cijelosti, ne zadovoljavaju kriterije iz članka 47. Uredbe (EU) br. 648/2012.</w:t>
      </w:r>
    </w:p>
    <w:p w14:paraId="39A29005" w14:textId="568D5030"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Kada Agencija razmatra okolnosti iz stavka 2. ovoga članka, procjenjuje ih u odnosu na mogućnost njihova utjecaja na financijsku stabilnost središnje druge ugovorne strane ili na stabilnost sustava poravnanja kojim središnja druga strane upravlja. Agencija također procjenjuje u kojem stupnju pokazatelji iz stavka 2. ovoga članka predstavljaju trend koji može ugroziti financijsku stabilnost središnje druge ugovorne strane ili stabilnost sustava poravnanja kojim središnja druga ugovorna strana upravlja.</w:t>
      </w:r>
    </w:p>
    <w:p w14:paraId="2E13D5C3" w14:textId="321DD6CB"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Kada mjere iz stavka 1. ovoga članka nisu dovoljne da osiguraju da će središnja druga ugovorna strana biti u mogućnosti kontinuirano ispunjavati uvjete iz stavka 1. ovoga članka, umjesto takvih mjera ili zajedno s tim mjerama, Agencija može središnjoj drugoj ugovornoj strani naložiti i izvršenje mjera iz stavka 5. ovoga članka.</w:t>
      </w:r>
    </w:p>
    <w:p w14:paraId="44C56B43" w14:textId="462A77E6"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Pod uvjetima iz stavka 4. ovoga članka, Agencija može:</w:t>
      </w:r>
    </w:p>
    <w:p w14:paraId="69A7CDAF" w14:textId="0FD2F029"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zabraniti ili ograničiti isplate dobiti dioničarima središnje druge ugovorne strane</w:t>
      </w:r>
    </w:p>
    <w:p w14:paraId="72C9C042" w14:textId="6E23AC10"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središnjoj drugoj ugovornoj strani naložiti da poduzme odgovarajuće mjere za smanjenje rizika koji proizlaze iz određene vrste aktivnosti i/ili proizvoda ili iz korištenja određenih sustava i procesa</w:t>
      </w:r>
    </w:p>
    <w:p w14:paraId="40BAB875" w14:textId="5DB78A42"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zabraniti isplate varijabilnih vrsta naknade zaposlenicima, upravi i višem rukovodstvu ili ograničiti takve isplate na određeni postotak godišnje dobiti i/ili</w:t>
      </w:r>
    </w:p>
    <w:p w14:paraId="16121F19" w14:textId="02BBDEE9"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naložiti središnjoj drugoj ugovornoj strani da dostavi obrazloženje na koji način i u kojem vremenskom razdoblju će povećati vlastita financijska sredstva i likvidna sredstva do razine propisane Uredbom (EU) br. 648/2012 (plan oporavka) i naložiti središnjoj drugoj ugovornoj strani da Agenciju i Hrvatsku narodnu banku redovito obavještava o statusu provedbe tih mjera.</w:t>
      </w:r>
    </w:p>
    <w:p w14:paraId="67EC646C" w14:textId="1E89BF0B"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(6) Agencija može naložiti mjere iz stavka 5. ovoga članka samo kada središnja druga ugovorna strana nije ispravila nezakonitosti i nepravilnosti koje ukazuju da neće biti u mogućnosti kontinuirano ispunjavati uvjete iz članaka 41. do 44., članka 46. ili 47. Uredbe (EU) br. 648/2012 u razdoblju koje je odredila Agencija.</w:t>
      </w:r>
    </w:p>
    <w:p w14:paraId="068218B0" w14:textId="64DD1EDF"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(7) Iznimno od ograničenja iz stavka 6. ovoga članka, Agencija može naložiti mjere iz stavka 5. ovoga članka, ako su iste potrebne da bi se spriječio pad vlastitih financijskih sredstava ili likvidnih sredstava središnje druge ugovorne strane ispod razine predviđene Uredbom (EU) br. 648/2012 ili pad kapitalne adekvatnosti središnje druge ugovorna strane ispod razine propisane člankom 16. Uredbe (EU) br. 648/2012.</w:t>
      </w:r>
    </w:p>
    <w:p w14:paraId="6FF6A4CA" w14:textId="2E15B3EA"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(8) Odluke središnje druge ugovorne strane o isplati dobiti dioničarima središnje druge ugovorne strane ili odluke o isplatama varijabilnih vrsta naknada koje su protivne zabranama iz stavka 5. ovoga članka neće proizvoditi pravne učinke.</w:t>
      </w:r>
    </w:p>
    <w:p w14:paraId="286391ED" w14:textId="074EE323"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(9) Središnja druga ugovorna strana dužna je kod sklapanja ugovora s upravom, višim rukovodstvom i zaposlenicima, u obzir uzeti odredbe stavka 5. točke 3. ovoga članka.</w:t>
      </w:r>
    </w:p>
    <w:p w14:paraId="7750336A" w14:textId="78DE7F3B" w:rsidR="5DBF58C1" w:rsidRPr="000479E9" w:rsidRDefault="5DBF58C1"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(10) Agencija pravilnikom detaljnije propisuje na koji se način procjenjuje značajnost okolnosti iz stavka 2. ovoga članka, kao i pokazatelji trenda.</w:t>
      </w:r>
    </w:p>
    <w:p w14:paraId="249EC16D" w14:textId="63F591B6" w:rsidR="2B3481CE" w:rsidRPr="000479E9" w:rsidRDefault="2B3481CE" w:rsidP="2B3481CE">
      <w:pPr>
        <w:spacing w:before="72" w:after="72"/>
        <w:jc w:val="both"/>
        <w:rPr>
          <w:rFonts w:eastAsiaTheme="minorEastAsia"/>
          <w:sz w:val="24"/>
          <w:szCs w:val="24"/>
        </w:rPr>
      </w:pPr>
    </w:p>
    <w:p w14:paraId="4EDA86D4" w14:textId="77777777" w:rsidR="00DE2A16" w:rsidRPr="000479E9" w:rsidRDefault="00DE2A16" w:rsidP="000479E9">
      <w:pPr>
        <w:spacing w:after="0"/>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Obveza središnje druge ugovorne strane da postupi prema rješenju Agencije</w:t>
      </w:r>
    </w:p>
    <w:p w14:paraId="307357F2" w14:textId="77777777" w:rsidR="00DE2A16" w:rsidRPr="000479E9" w:rsidRDefault="00DE2A16" w:rsidP="000479E9">
      <w:pPr>
        <w:spacing w:after="0"/>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557.</w:t>
      </w:r>
    </w:p>
    <w:p w14:paraId="487B0FB3" w14:textId="77777777" w:rsidR="00DE2A16" w:rsidRPr="000479E9" w:rsidRDefault="00DE2A16" w:rsidP="000479E9">
      <w:pPr>
        <w:spacing w:after="0"/>
        <w:jc w:val="center"/>
        <w:rPr>
          <w:rFonts w:ascii="Times New Roman" w:eastAsiaTheme="minorEastAsia" w:hAnsi="Times New Roman" w:cs="Times New Roman"/>
          <w:sz w:val="24"/>
          <w:szCs w:val="24"/>
        </w:rPr>
      </w:pPr>
    </w:p>
    <w:p w14:paraId="60EB97DA" w14:textId="197EA04B" w:rsidR="00DE2A16" w:rsidRPr="000479E9" w:rsidRDefault="00DE2A16" w:rsidP="000479E9">
      <w:pPr>
        <w:spacing w:after="0"/>
        <w:jc w:val="both"/>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(1) Agencija mjere iz članka 542. stavka 6., članka 544. stavka 1., članka 545., članka 552., članka 554. stavaka 1., 4. i 5. i članka 555. stavka 5. ovoga Zakona nalaže rješenjem.</w:t>
      </w:r>
    </w:p>
    <w:p w14:paraId="73319714" w14:textId="4C335298" w:rsidR="2B3481CE" w:rsidRPr="000479E9" w:rsidRDefault="00DE2A16" w:rsidP="000479E9">
      <w:pPr>
        <w:spacing w:after="0"/>
        <w:jc w:val="both"/>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(2) Središnja druga ugovorna strana dužna je postupiti prema rješenju iz stavka 1. ovoga članka.</w:t>
      </w:r>
    </w:p>
    <w:p w14:paraId="67F4740C" w14:textId="77777777" w:rsidR="00DE2A16" w:rsidRPr="000479E9" w:rsidRDefault="00DE2A16" w:rsidP="000479E9">
      <w:pPr>
        <w:spacing w:after="0"/>
        <w:jc w:val="both"/>
        <w:rPr>
          <w:rFonts w:ascii="Times New Roman" w:eastAsiaTheme="minorEastAsia" w:hAnsi="Times New Roman" w:cs="Times New Roman"/>
          <w:sz w:val="24"/>
          <w:szCs w:val="24"/>
        </w:rPr>
      </w:pPr>
    </w:p>
    <w:p w14:paraId="5A4EE2A8" w14:textId="17FE18A5" w:rsidR="3F50125F" w:rsidRPr="000479E9" w:rsidRDefault="3F50125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Operativna pravila rada središnjeg depozitorija</w:t>
      </w:r>
    </w:p>
    <w:p w14:paraId="547A2A2A" w14:textId="2B3EADF1" w:rsidR="3F50125F" w:rsidRPr="000479E9" w:rsidRDefault="3E5958B7"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566. </w:t>
      </w:r>
    </w:p>
    <w:p w14:paraId="33A95940" w14:textId="1494EF88" w:rsidR="2B3481CE" w:rsidRPr="000479E9" w:rsidRDefault="2B3481CE" w:rsidP="2B3481CE">
      <w:pPr>
        <w:spacing w:after="0" w:line="240" w:lineRule="auto"/>
        <w:jc w:val="both"/>
        <w:rPr>
          <w:rFonts w:ascii="Times New Roman" w:eastAsia="Calibri" w:hAnsi="Times New Roman" w:cs="Times New Roman"/>
          <w:sz w:val="24"/>
          <w:szCs w:val="24"/>
        </w:rPr>
      </w:pPr>
    </w:p>
    <w:p w14:paraId="0078C86D" w14:textId="41F596FC"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Središnji depozitorij dužan je donijeti i primjenjivati operativna pravila rada kojima detaljno određuje i pojašnjava način obavljanja usluga koje pruža.</w:t>
      </w:r>
    </w:p>
    <w:p w14:paraId="6FC97EAE" w14:textId="1A88C009"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Prijedlog operativnih pravila rada središnjeg depozitorija sa sjedištem u Republici Hrvatskoj, kao i njihovih izmjena i dopuna, zajedno sa sažetim i jasnim obrazloženjem svrhe predloženih odredbi ili izmjena i dopuna odredbi operativnih pravila rada, središnji depozitorij će učiniti dostupnim svim članovima najkasnije 30 dana prije njihova upućivanja Agenciji na odobrenje, a pri čemu je središnji depozitorij dužan članove pozvati na dostavu primjedbi i prijedloga te, ako je moguće, prihvatiti primjedbe i prijedloge članova, uz obrazloženje prihvaćenih i odbijenih primjedaba i prijedloga.</w:t>
      </w:r>
    </w:p>
    <w:p w14:paraId="632733B6" w14:textId="00849453"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Ako je to potrebno radi očuvanja stabilnosti sustava namire i financijskog tržišta, središnji depozitorij sa sjedištem u Republici Hrvatskoj može skratiti razdoblje savjetovanja s članovima iz stavka 2. ovoga članka, uz prethodnu suglasnost Agencije, </w:t>
      </w:r>
      <w:r w:rsidRPr="000479E9">
        <w:rPr>
          <w:rFonts w:ascii="Times New Roman" w:eastAsia="Calibri" w:hAnsi="Times New Roman" w:cs="Times New Roman"/>
          <w:sz w:val="24"/>
          <w:szCs w:val="24"/>
        </w:rPr>
        <w:lastRenderedPageBreak/>
        <w:t>koja se donosi u roku od pet radnih dana od podnošenja urednog zahtjeva središnjeg depozitorija, pri čemu je središnji depozitorij dužan Agenciji obrazložiti iz kojih razloga je usvajanje izmjena hitno i nužno radi očuvanja stabilnosti sustava namire i financijskog tržišta.</w:t>
      </w:r>
    </w:p>
    <w:p w14:paraId="591709DA" w14:textId="2CD29D9B"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Središnji depozitorij sa sjedištem u Republici Hrvatskoj ne može usvojiti operativna pravila rada, niti njihove promjene, bez da ih prethodno dostavi Agenciji te prije nego li Agencija izvrši procjenu iz stavka 6. ovoga članka.</w:t>
      </w:r>
    </w:p>
    <w:p w14:paraId="083A568F" w14:textId="059CC54C"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Značajne promjene operativnih pravila rada središnjeg depozitorija sa sjedištem u Republici Hrvatskoj Agencija odobrava rješenjem, pri čemu rokovi za donošenje rješenja sukladno zakonu kojim se uređuje opći upravni postupak počinju teći:</w:t>
      </w:r>
    </w:p>
    <w:p w14:paraId="37A8EFBD" w14:textId="6F1E0562"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danom dostave urednog zahtjeva, ako središnji depozitorij iste dostavi kao značajne promjene</w:t>
      </w:r>
    </w:p>
    <w:p w14:paraId="17293B67" w14:textId="5D87E1D4"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danom isteka razdoblja procjene iz stavka 6. ovoga članka, ako središnji depozitorij iste dostavi kao neznačajne promjene, a Agencija sukladno stavku 6. ovoga članka utvrdi da se ipak radi o značajnim promjenama.</w:t>
      </w:r>
    </w:p>
    <w:p w14:paraId="29F25E88" w14:textId="55408FF3"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Usvajanje novih operativnih pravila središnjeg depozitorija sa sjedištem u Republici Hrvatskoj uvijek se smatra značajnom promjenom.</w:t>
      </w:r>
    </w:p>
    <w:p w14:paraId="0FFEDB39" w14:textId="1CC86FCA"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Kod promjene operativnih pravila rada središnjeg depozitorija sa sjedištem u Republici Hrvatskoj koje nisu značajne nije obvezno provesti savjetovanje s članovima iz stavka 2. ovoga članka. Ako Agencija u razdoblju od 20 radnih dana od dana zaprimanja urednog zahtjeva utvrdi da su promjene operativnih pravila rada središnjeg depozitorija ipak značajne, o tome će obavijestiti središnji depozitorij te se tada primjenjuju odredbe stavaka 2., 5. i 8. ovoga članka. Ako Agencija u istom razdoblju ne dostavi takvu obavijest središnjem depozitoriju, smatrat će se da promjene nisu značajne i da ih središnji depozitorij istekom tog razdoblja može usvojiti.</w:t>
      </w:r>
    </w:p>
    <w:p w14:paraId="279AD00B" w14:textId="45A305A8"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Agencija može od središnjeg depozitorija sa sjedištem u Republici Hrvatskoj zatražiti izmjene prijedloga promjene operativnih pravila rada neovisno o njihovoj značajnosti, ako je isto potrebno da bi se osiguralo da su operativna pravila rada usklađena s odredbama Uredbe (EU) br. 909/2014 i ovoga Zakona. Ako Agencija zatraži takve izmjene, a središnji depozitorij iste ne usvoji, Agencija rješenjem može naložiti njihovo usvajanje.</w:t>
      </w:r>
    </w:p>
    <w:p w14:paraId="29FBD95D" w14:textId="09103303"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Kada središnji depozitorij dostavlja operativna pravila rada ili njihove promjene Agenciji na odobrenje, dužan je najmanje dostaviti:</w:t>
      </w:r>
    </w:p>
    <w:p w14:paraId="70A18A77" w14:textId="0998A0B4"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nacrt teksta operativnih pravila rada ili njihovih izmjena i dopuna, s tim da se, ako se radi o izmjenama i dopunama, dostavlja verzija u čistopisu i razlikovna verzija</w:t>
      </w:r>
    </w:p>
    <w:p w14:paraId="3E40E0D0" w14:textId="23D23270"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sažeta i jasna obrazloženja svrhe predloženih odredbi ili izmjena i dopuna odredbi operativnih pravila rada i</w:t>
      </w:r>
    </w:p>
    <w:p w14:paraId="47CEE7A4" w14:textId="00E5C00B"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kada se radi o značajnim promjenama, i sažetak provedenog savjetovanja s članovima iz stavka 2. ovoga članka, s prikazom svih zaprimljenih primjedbi i prijedloga članova te obrazloženjem prihvaćenih i odbačenih primjedbi i prijedloga članova.</w:t>
      </w:r>
    </w:p>
    <w:p w14:paraId="64A872D5" w14:textId="098BE115"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(9) Agencija središnji depozitorij, koji u zahtjevu za odobrenje operativnih pravila rada ili njihovih promjena ne dostavi sve dokumente iz stavka 8. ovoga članka, zaključkom poziva da isto učini u roku određenom zaključkom, a ako središnji depozitorij u dodijeljenom roku to propusti učiniti, a po zahtjevu se ne može postupiti, Agencija rješenjem odbacuje zahtjev.</w:t>
      </w:r>
    </w:p>
    <w:p w14:paraId="0A82ABDC" w14:textId="478F0A5A"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(10) Usvojena operativna pravila rada iz stavka 1. ovoga članka središnji depozitorij dužan je objaviti na svojoj internetskoj stranici i o njihovu donošenju ili promjeni pravodobno obavijestiti svoje članove.</w:t>
      </w:r>
    </w:p>
    <w:p w14:paraId="24F438FE" w14:textId="7CFABB56" w:rsidR="2B3481CE" w:rsidRPr="000479E9" w:rsidRDefault="2B3481CE" w:rsidP="00F01D72">
      <w:pPr>
        <w:spacing w:after="0" w:line="240" w:lineRule="auto"/>
        <w:jc w:val="center"/>
        <w:rPr>
          <w:rFonts w:ascii="Times New Roman" w:eastAsia="Calibri" w:hAnsi="Times New Roman" w:cs="Times New Roman"/>
          <w:sz w:val="24"/>
          <w:szCs w:val="24"/>
        </w:rPr>
      </w:pPr>
    </w:p>
    <w:p w14:paraId="15C9FC80" w14:textId="23A93EC1" w:rsidR="3F50125F" w:rsidRPr="000479E9" w:rsidRDefault="3F50125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Kriterij značajnosti promjene operativnih pravila rada središnjeg depozitorija</w:t>
      </w:r>
    </w:p>
    <w:p w14:paraId="1E0181F9" w14:textId="310962F0" w:rsidR="3F50125F" w:rsidRPr="000479E9" w:rsidRDefault="3F50125F"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Članak 566.a </w:t>
      </w:r>
    </w:p>
    <w:p w14:paraId="73E70D00" w14:textId="32F60519" w:rsidR="2B3481CE" w:rsidRPr="000479E9" w:rsidRDefault="2B3481CE" w:rsidP="2B3481CE">
      <w:pPr>
        <w:spacing w:after="0" w:line="240" w:lineRule="auto"/>
        <w:jc w:val="both"/>
        <w:rPr>
          <w:rFonts w:ascii="Times New Roman" w:eastAsia="Calibri" w:hAnsi="Times New Roman" w:cs="Times New Roman"/>
          <w:sz w:val="24"/>
          <w:szCs w:val="24"/>
        </w:rPr>
      </w:pPr>
    </w:p>
    <w:p w14:paraId="5462E715" w14:textId="77238C4D"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Središnji depozitorij dužan je dostaviti Agenciji svaki prijedlog promjena operativnih pravila rada u skladu s odredbama članka 566. ovoga Zakona, kako bi Agencija ocijenila procjenu značajnosti predloženih promjena.</w:t>
      </w:r>
    </w:p>
    <w:p w14:paraId="4558295D" w14:textId="6A682B68"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Inicijalnu procjenu značajnosti promjena operativnih pravila rada provodi središnji depozitorij. Kada središnji depozitorij smatra da promjene operativnih pravila rada nisu značajne, dužan je, prilikom dostavljanja istih sukladno stavku 1. ovoga članka, Agenciji dostaviti vlastitu procjenu značajnosti s detaljnim obrazloženjima predloženih promjena i razloga temeljem kojih je utvrdio da promjene nisu značajne.</w:t>
      </w:r>
    </w:p>
    <w:p w14:paraId="4F1946F4" w14:textId="0A73F668"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Promjene operativnih pravila rada središnjeg depozitorija smatrat će se značajnima kada se njihov utjecaj može ocijeniti kao značajna izmjena u odnosu na postojeća pravila, tako da, primjerice:</w:t>
      </w:r>
    </w:p>
    <w:p w14:paraId="0D39C6FC" w14:textId="0E866BD3"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značajno mijenjaju prava i obveze članova ili njihovih klijenata, odnos između središnjeg depozitorija i njegovih članova ili njihovih klijenata, u smislu obveza za ostvarivanje pristupa ili ispunjavanje uvjeta za pristup sustavu središnjeg depozitorija, način korištenja usluga u sustavu središnjeg depozitorija, pristupa informacijama kroz sustav središnjeg depozitorija, nametanja dodatnih obveza članovima i slično</w:t>
      </w:r>
    </w:p>
    <w:p w14:paraId="5C0AD1B7" w14:textId="571487DC"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uvode novu uslugu koja zahtijeva značajne izmjene u sustavu središnjeg depozitorija ili njegovih članova, značajno unaprjeđuju ili mijenjaju uvjete pružanja postojeće usluge, a ne radi se o promjeni koja bi zahtijevala provođenje postupka sukladno članku 19. Uredbe (EU) br. 909/2014 i slično</w:t>
      </w:r>
    </w:p>
    <w:p w14:paraId="155F67E9" w14:textId="2B25F75C"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značajno mijenjaju profil rizika središnjeg depozitorija, u smislu dodatne financijske izloženosti, potrebe eksternalizacije određenih funkcionalnosti usluga koje pruža i slično</w:t>
      </w:r>
    </w:p>
    <w:p w14:paraId="19D9B64D" w14:textId="6D0480A9"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značajno utječu na model poslovanja središnjeg depozitorija.</w:t>
      </w:r>
    </w:p>
    <w:p w14:paraId="29323BFD" w14:textId="01C7163B" w:rsidR="3F50125F" w:rsidRPr="000479E9" w:rsidRDefault="3F50125F"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Ako Agencija utvrdi da su promjene operativnih pravila rada ipak značajne, o tome će pravovremeno obavijestiti središnji depozitorij, a najkasnije u roku od 20 radnih dana od dana njihovog zaprimanja, te će se dalje provesti postupak predviđen za odobravanje značajnih izmjena iz članka 566. ovoga Zakona.</w:t>
      </w:r>
    </w:p>
    <w:p w14:paraId="644F3072" w14:textId="5159D540" w:rsidR="2B3481CE" w:rsidRPr="000479E9" w:rsidRDefault="2B3481CE" w:rsidP="00483C20">
      <w:pPr>
        <w:spacing w:after="0" w:line="240" w:lineRule="auto"/>
        <w:jc w:val="both"/>
        <w:rPr>
          <w:rFonts w:ascii="Times New Roman" w:eastAsia="Calibri" w:hAnsi="Times New Roman" w:cs="Times New Roman"/>
          <w:sz w:val="24"/>
          <w:szCs w:val="24"/>
        </w:rPr>
      </w:pPr>
    </w:p>
    <w:p w14:paraId="66C723B3" w14:textId="77777777" w:rsidR="00A45A25" w:rsidRPr="000479E9" w:rsidRDefault="00A45A25" w:rsidP="00A45A25">
      <w:pPr>
        <w:spacing w:after="0" w:line="240" w:lineRule="auto"/>
        <w:jc w:val="center"/>
        <w:rPr>
          <w:rFonts w:ascii="Times New Roman" w:eastAsia="Calibri" w:hAnsi="Times New Roman" w:cs="Times New Roman"/>
          <w:bCs/>
          <w:iCs/>
          <w:sz w:val="24"/>
          <w:szCs w:val="24"/>
        </w:rPr>
      </w:pPr>
      <w:r w:rsidRPr="000479E9">
        <w:rPr>
          <w:rFonts w:ascii="Times New Roman" w:eastAsia="Calibri" w:hAnsi="Times New Roman" w:cs="Times New Roman"/>
          <w:bCs/>
          <w:iCs/>
          <w:sz w:val="24"/>
          <w:szCs w:val="24"/>
        </w:rPr>
        <w:t>Naknada za usluge središnjeg depozitorija</w:t>
      </w:r>
    </w:p>
    <w:p w14:paraId="00B165D2" w14:textId="77777777" w:rsidR="00A45A25" w:rsidRPr="000479E9" w:rsidRDefault="00A45A25">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Članak 567.</w:t>
      </w:r>
    </w:p>
    <w:p w14:paraId="7D63CFB5" w14:textId="1674B473" w:rsidR="00A45A25" w:rsidRPr="000479E9" w:rsidRDefault="00A45A25" w:rsidP="00483C20">
      <w:pPr>
        <w:spacing w:after="0" w:line="240" w:lineRule="auto"/>
        <w:jc w:val="both"/>
        <w:rPr>
          <w:rFonts w:ascii="Times New Roman" w:eastAsia="Calibri" w:hAnsi="Times New Roman" w:cs="Times New Roman"/>
          <w:sz w:val="24"/>
          <w:szCs w:val="24"/>
        </w:rPr>
      </w:pPr>
    </w:p>
    <w:p w14:paraId="792444A4" w14:textId="77777777" w:rsidR="00A45A25" w:rsidRPr="000479E9" w:rsidRDefault="00A45A25" w:rsidP="00483C20">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Za usluge središnjeg depozitorija plaća se naknada koju cjenikom utvrđuje središnji depozitorij.</w:t>
      </w:r>
    </w:p>
    <w:p w14:paraId="7F6A4B60" w14:textId="77777777" w:rsidR="00A45A25" w:rsidRPr="000479E9" w:rsidRDefault="00A45A25" w:rsidP="00483C20">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Središnji depozitorij dužan je donijeti cjenik iz stavka 1. ovoga članka, vodeći se jednakopravnošću položaja svih korisnika njegovih usluga i pod razumnim komercijalnim uvjetima.</w:t>
      </w:r>
    </w:p>
    <w:p w14:paraId="2BDA8F32" w14:textId="77777777" w:rsidR="00A45A25" w:rsidRPr="000479E9" w:rsidRDefault="00A45A25" w:rsidP="00483C20">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(3) Cjenik središnjeg depozitorija objavljuje se na internetskim stranicama središnjeg depozitorija i o njegovu donošenju ili promjeni središnji depozitorij pravodobno obavještava Agenciju i korisnike svojih usluga.</w:t>
      </w:r>
    </w:p>
    <w:p w14:paraId="7AB44B99" w14:textId="77777777" w:rsidR="00A45A25" w:rsidRPr="000479E9" w:rsidRDefault="00A45A25" w:rsidP="00483C20">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Prijedlog cjenika središnjeg depozitorija, kao i njihovih izmjena i dopuna, središnji depozitorij će dostaviti Agenciji najkasnije 30 dana prije njegova usvajanja te ga u istom roku učiniti dostupnim svim članovima, a pri njegovu donošenju središnji depozitorij će, ako je moguće, prihvatiti primjedbe i prijedloge članova, uz obrazloženje prihvaćenih i odbijenih primjedaba i prijedloga.</w:t>
      </w:r>
    </w:p>
    <w:p w14:paraId="607501EB" w14:textId="77777777" w:rsidR="00A45A25" w:rsidRPr="000479E9" w:rsidRDefault="00A45A25" w:rsidP="00F01D72">
      <w:pPr>
        <w:spacing w:after="0" w:line="240" w:lineRule="auto"/>
        <w:jc w:val="center"/>
        <w:rPr>
          <w:rFonts w:ascii="Times New Roman" w:eastAsia="Calibri" w:hAnsi="Times New Roman" w:cs="Times New Roman"/>
          <w:sz w:val="24"/>
          <w:szCs w:val="24"/>
        </w:rPr>
      </w:pPr>
    </w:p>
    <w:p w14:paraId="3347485E" w14:textId="7D4F2615" w:rsidR="5BC5C804" w:rsidRPr="000479E9" w:rsidRDefault="5BC5C804"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Obveza obavještavanja i objava podataka o nematerijaliziranim vrijednosnim papirima</w:t>
      </w:r>
    </w:p>
    <w:p w14:paraId="1DBCB512" w14:textId="023084EF" w:rsidR="5BC5C804" w:rsidRPr="000479E9" w:rsidRDefault="5BC5C804"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569.</w:t>
      </w:r>
    </w:p>
    <w:p w14:paraId="4D94A4D2" w14:textId="0CC3B2C8" w:rsidR="2B3481CE" w:rsidRPr="000479E9" w:rsidRDefault="2B3481CE" w:rsidP="2B3481CE">
      <w:pPr>
        <w:spacing w:after="0" w:line="240" w:lineRule="auto"/>
        <w:jc w:val="both"/>
        <w:rPr>
          <w:rFonts w:ascii="Times New Roman" w:eastAsia="Calibri" w:hAnsi="Times New Roman" w:cs="Times New Roman"/>
          <w:sz w:val="24"/>
          <w:szCs w:val="24"/>
        </w:rPr>
      </w:pPr>
    </w:p>
    <w:p w14:paraId="4466562F" w14:textId="24780625"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Središnji depozitorij je obvezan na način i u opsegu propisanom svojim operativnim pravilima obavještavati:</w:t>
      </w:r>
    </w:p>
    <w:p w14:paraId="1AC51C32" w14:textId="5D3ACD6C"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izdavatelje nematerijaliziranih vrijednosnih papira o nematerijaliziranim vrijednosnim papirima koje su izdali i o imateljima tih vrijednosnih papira</w:t>
      </w:r>
    </w:p>
    <w:p w14:paraId="33726CD2" w14:textId="04A0E968"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imatelje o stanju i promjenama na njihovim računima nematerijaliziranih vrijednosnih papira i</w:t>
      </w:r>
    </w:p>
    <w:p w14:paraId="33B48186" w14:textId="52B4B72A"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sudionike o bitnim podacima o poslovima s nematerijaliziranim vrijednosnim papirima koje su poduzeli za svoj ili za račun nalogodavca.</w:t>
      </w:r>
    </w:p>
    <w:p w14:paraId="7E03805B" w14:textId="6CF20539"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Središnji depozitorij je dužan na svojim internetskim stranicama objaviti i dnevno obnavljati podatke o:</w:t>
      </w:r>
    </w:p>
    <w:p w14:paraId="6F0694B0" w14:textId="48D66091"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izdavanju, zamjeni i brisanju nematerijaliziranih vrijednosnih papira kod središnjeg depozitorija</w:t>
      </w:r>
    </w:p>
    <w:p w14:paraId="59CBE306" w14:textId="03F11E04"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svim nematerijaliziranim vrijednosnim papirima s važećom ISIN oznakom upisanima kod središnjeg depozitorija i</w:t>
      </w:r>
    </w:p>
    <w:p w14:paraId="0984964C" w14:textId="7F1738DC"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identitetu imatelja prvih deset računa na kojima je ubilježena najveća količina bilo kojeg vrijednosnog papira i podacima o količini vrijednosnih papira na tim računima (u apsolutnim i relativnim pokazateljima).</w:t>
      </w:r>
    </w:p>
    <w:p w14:paraId="2C658BC5" w14:textId="1E0B2917" w:rsidR="5BC5C804" w:rsidRPr="000479E9" w:rsidRDefault="5BC5C804"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U odnosu na podatke iz stavka 2. točke 2. ovoga članka, prilikom upisa vrijednosnog papira u svoj sustav, središnji depozitorij svakom izdavatelju, u skladu s operativnim pravilima rada, određuje i dodjeljuje jedinstvenu oznaku pod kojom se izdavatelj i njegovi vrijednosni papiri vode u središnjem depozitoriju, a oznaka vrijednosnog papira povezana je s ISIN oznakom.</w:t>
      </w:r>
    </w:p>
    <w:p w14:paraId="7A12C096" w14:textId="223B3DBC" w:rsidR="5BC5C804" w:rsidRPr="000479E9" w:rsidRDefault="5BC5C804" w:rsidP="2B3481CE">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Središnji depozitorij dužan je na svojoj internetskoj stranici objavljivati sljedeće podatke u odnosu na nematerijalizirane vrijednosne papire iz stavka 2. točke 2. ovoga članka:</w:t>
      </w:r>
    </w:p>
    <w:p w14:paraId="26857ED1" w14:textId="49CCD67D" w:rsidR="5BC5C804" w:rsidRPr="000479E9" w:rsidRDefault="5BC5C804" w:rsidP="2B3481CE">
      <w:pPr>
        <w:spacing w:after="0" w:line="240" w:lineRule="auto"/>
        <w:jc w:val="both"/>
      </w:pPr>
      <w:r w:rsidRPr="000479E9">
        <w:rPr>
          <w:rFonts w:ascii="Times New Roman" w:eastAsia="Calibri" w:hAnsi="Times New Roman" w:cs="Times New Roman"/>
          <w:sz w:val="24"/>
          <w:szCs w:val="24"/>
        </w:rPr>
        <w:t>1. naziv vrijednosnog papira</w:t>
      </w:r>
    </w:p>
    <w:p w14:paraId="3FAFAEB6" w14:textId="6776FC79" w:rsidR="5BC5C804" w:rsidRPr="000479E9" w:rsidRDefault="5BC5C804" w:rsidP="2B3481CE">
      <w:pPr>
        <w:spacing w:after="0" w:line="240" w:lineRule="auto"/>
        <w:jc w:val="both"/>
      </w:pPr>
      <w:r w:rsidRPr="000479E9">
        <w:rPr>
          <w:rFonts w:ascii="Times New Roman" w:eastAsia="Calibri" w:hAnsi="Times New Roman" w:cs="Times New Roman"/>
          <w:sz w:val="24"/>
          <w:szCs w:val="24"/>
        </w:rPr>
        <w:t>2. vrstu vrijednosnog papira</w:t>
      </w:r>
    </w:p>
    <w:p w14:paraId="41ABE08F" w14:textId="5D2E0854" w:rsidR="5BC5C804" w:rsidRPr="000479E9" w:rsidRDefault="5BC5C804" w:rsidP="2B3481CE">
      <w:pPr>
        <w:spacing w:after="0" w:line="240" w:lineRule="auto"/>
        <w:jc w:val="both"/>
      </w:pPr>
      <w:r w:rsidRPr="000479E9">
        <w:rPr>
          <w:rFonts w:ascii="Times New Roman" w:eastAsia="Calibri" w:hAnsi="Times New Roman" w:cs="Times New Roman"/>
          <w:sz w:val="24"/>
          <w:szCs w:val="24"/>
        </w:rPr>
        <w:t>3. oznaku izdavatelja i oznaku vrijednosnog papira, povezanu s ISIN oznakom, kako je propisano stavkom 3. ovoga članka</w:t>
      </w:r>
    </w:p>
    <w:p w14:paraId="7D68DC33" w14:textId="116BD19F" w:rsidR="5BC5C804" w:rsidRPr="000479E9" w:rsidRDefault="5BC5C804" w:rsidP="2B3481CE">
      <w:pPr>
        <w:spacing w:after="0" w:line="240" w:lineRule="auto"/>
        <w:jc w:val="both"/>
      </w:pPr>
      <w:r w:rsidRPr="000479E9">
        <w:rPr>
          <w:rFonts w:ascii="Times New Roman" w:eastAsia="Calibri" w:hAnsi="Times New Roman" w:cs="Times New Roman"/>
          <w:sz w:val="24"/>
          <w:szCs w:val="24"/>
        </w:rPr>
        <w:t>4. datum prvog upisa u središnji depozitorij</w:t>
      </w:r>
    </w:p>
    <w:p w14:paraId="6D159F32" w14:textId="27DCCB14" w:rsidR="5BC5C804" w:rsidRPr="000479E9" w:rsidRDefault="5BC5C804" w:rsidP="2B3481CE">
      <w:pPr>
        <w:spacing w:after="0" w:line="240" w:lineRule="auto"/>
        <w:jc w:val="both"/>
      </w:pPr>
      <w:r w:rsidRPr="000479E9">
        <w:rPr>
          <w:rFonts w:ascii="Times New Roman" w:eastAsia="Calibri" w:hAnsi="Times New Roman" w:cs="Times New Roman"/>
          <w:sz w:val="24"/>
          <w:szCs w:val="24"/>
        </w:rPr>
        <w:t>5. poveznicu na podatak iz stavka 2. točke 3. ovoga članka o identitetu imatelja prvih deset računa u odnosu na izdavatelja o čijem se vrijednosnom papiru radi.</w:t>
      </w:r>
    </w:p>
    <w:p w14:paraId="32E20ED6" w14:textId="1521CDF5" w:rsidR="5BC5C804" w:rsidRPr="000479E9" w:rsidRDefault="5BC5C804" w:rsidP="2B3481CE">
      <w:pPr>
        <w:spacing w:after="0" w:line="240" w:lineRule="auto"/>
        <w:jc w:val="both"/>
      </w:pPr>
      <w:r w:rsidRPr="000479E9">
        <w:rPr>
          <w:rFonts w:ascii="Times New Roman" w:eastAsia="Calibri" w:hAnsi="Times New Roman" w:cs="Times New Roman"/>
          <w:sz w:val="24"/>
          <w:szCs w:val="24"/>
        </w:rPr>
        <w:lastRenderedPageBreak/>
        <w:t>(5) Središnji depozitorij dužan je na svojoj internetskoj stranici objaviti i dnevno obnavljati podatke iz stavka 2. točke 3. ovoga članka.</w:t>
      </w:r>
    </w:p>
    <w:p w14:paraId="03DD4F29" w14:textId="02FF3C42" w:rsidR="5BC5C804" w:rsidRPr="000479E9" w:rsidRDefault="5BC5C804" w:rsidP="2B3481CE">
      <w:pPr>
        <w:spacing w:after="0" w:line="240" w:lineRule="auto"/>
        <w:jc w:val="both"/>
      </w:pPr>
      <w:r w:rsidRPr="000479E9">
        <w:rPr>
          <w:rFonts w:ascii="Times New Roman" w:eastAsia="Calibri" w:hAnsi="Times New Roman" w:cs="Times New Roman"/>
          <w:sz w:val="24"/>
          <w:szCs w:val="24"/>
        </w:rPr>
        <w:t>(6) Središnji depozitorij u objavama iz stavka 6. ovoga članka u slučaju računa na kojima se vode vrijednosni papiri koji su stečeni kao financijsko osiguranje kod transakcija financiranja vrijednosnih papira obvezno uključuje informaciju da se radi o računima financijskog osiguranja.</w:t>
      </w:r>
    </w:p>
    <w:p w14:paraId="0C8F5D3E" w14:textId="7F5EB3A9" w:rsidR="5BC5C804" w:rsidRPr="000479E9" w:rsidRDefault="5BC5C804" w:rsidP="2B3481CE">
      <w:pPr>
        <w:spacing w:after="0" w:line="240" w:lineRule="auto"/>
        <w:jc w:val="both"/>
      </w:pPr>
      <w:r w:rsidRPr="000479E9">
        <w:rPr>
          <w:rFonts w:ascii="Times New Roman" w:eastAsia="Calibri" w:hAnsi="Times New Roman" w:cs="Times New Roman"/>
          <w:sz w:val="24"/>
          <w:szCs w:val="24"/>
        </w:rPr>
        <w:t>(7) Sudionici središnjeg depozitorija obvezni su vrijednosne papire koji su stečeni kao financijsko osiguranje kod transakcija financiranja vrijednosnih papira upisati na računu vrijednosnih papira – namijenjenog za financijsko osiguranje.</w:t>
      </w:r>
    </w:p>
    <w:p w14:paraId="1D616850" w14:textId="74893A7D" w:rsidR="5BC5C804" w:rsidRPr="000479E9" w:rsidRDefault="5BC5C804" w:rsidP="2B3481CE">
      <w:pPr>
        <w:spacing w:after="0" w:line="240" w:lineRule="auto"/>
        <w:jc w:val="both"/>
      </w:pPr>
      <w:r w:rsidRPr="000479E9">
        <w:rPr>
          <w:rFonts w:ascii="Times New Roman" w:eastAsia="Calibri" w:hAnsi="Times New Roman" w:cs="Times New Roman"/>
          <w:sz w:val="24"/>
          <w:szCs w:val="24"/>
        </w:rPr>
        <w:t>(8) Središnji depozitorij svojim će pravilima propisati mjere koje središnji depozitorij poduzima prema sudionicima kojima osigurava da se kod transakcija financiranja vrijednosnih papira iz stavka 7. ovoga članka vrijednosni papir koji je stečen kao financijsko osiguranje ne upisuje na osnovnom računu vrijednosnih papira primatelja instrumenta financijskog osiguranja.</w:t>
      </w:r>
    </w:p>
    <w:p w14:paraId="488123B9" w14:textId="3DD5751B" w:rsidR="5BC5C804" w:rsidRPr="000479E9" w:rsidRDefault="5BC5C804" w:rsidP="2B3481CE">
      <w:pPr>
        <w:spacing w:after="0" w:line="240" w:lineRule="auto"/>
        <w:jc w:val="both"/>
      </w:pPr>
      <w:r w:rsidRPr="000479E9">
        <w:rPr>
          <w:rFonts w:ascii="Times New Roman" w:eastAsia="Calibri" w:hAnsi="Times New Roman" w:cs="Times New Roman"/>
          <w:sz w:val="24"/>
          <w:szCs w:val="24"/>
        </w:rPr>
        <w:t>(9) Središnji depozitorij u objave iz stavka 6. ovoga članka, za svaki od računa koji čine prvih deset s najvećom količinom vrijednosnih papira određenog izdavatelja, uključuje sljedeće podatke:</w:t>
      </w:r>
    </w:p>
    <w:p w14:paraId="64F44299" w14:textId="2C43D005" w:rsidR="5BC5C804" w:rsidRPr="000479E9" w:rsidRDefault="5BC5C804" w:rsidP="2B3481CE">
      <w:pPr>
        <w:spacing w:after="0" w:line="240" w:lineRule="auto"/>
        <w:jc w:val="both"/>
      </w:pPr>
      <w:r w:rsidRPr="000479E9">
        <w:rPr>
          <w:rFonts w:ascii="Times New Roman" w:eastAsia="Calibri" w:hAnsi="Times New Roman" w:cs="Times New Roman"/>
          <w:sz w:val="24"/>
          <w:szCs w:val="24"/>
        </w:rPr>
        <w:t>1. ime i prezime, odnosno naziv vlasnika/nositelja računa</w:t>
      </w:r>
    </w:p>
    <w:p w14:paraId="53A64AC3" w14:textId="17733187" w:rsidR="5BC5C804" w:rsidRPr="000479E9" w:rsidRDefault="5BC5C804" w:rsidP="2B3481CE">
      <w:pPr>
        <w:spacing w:after="0" w:line="240" w:lineRule="auto"/>
        <w:jc w:val="both"/>
      </w:pPr>
      <w:r w:rsidRPr="000479E9">
        <w:rPr>
          <w:rFonts w:ascii="Times New Roman" w:eastAsia="Calibri" w:hAnsi="Times New Roman" w:cs="Times New Roman"/>
          <w:sz w:val="24"/>
          <w:szCs w:val="24"/>
        </w:rPr>
        <w:t>2. osobni identifikacijski broj (OIB) vlasnika/nositelja računa</w:t>
      </w:r>
    </w:p>
    <w:p w14:paraId="431CE1A2" w14:textId="67E97AED" w:rsidR="5BC5C804" w:rsidRPr="000479E9" w:rsidRDefault="5BC5C804" w:rsidP="2B3481CE">
      <w:pPr>
        <w:spacing w:after="0" w:line="240" w:lineRule="auto"/>
        <w:jc w:val="both"/>
      </w:pPr>
      <w:r w:rsidRPr="000479E9">
        <w:rPr>
          <w:rFonts w:ascii="Times New Roman" w:eastAsia="Calibri" w:hAnsi="Times New Roman" w:cs="Times New Roman"/>
          <w:sz w:val="24"/>
          <w:szCs w:val="24"/>
        </w:rPr>
        <w:t>3. ime i prezime, odnosno naziv suovlaštenika/imatelja vrijednosnih papira, kada je taj podatak dostupan središnjem depozitoriju</w:t>
      </w:r>
    </w:p>
    <w:p w14:paraId="71EEF862" w14:textId="2C7DB0AF" w:rsidR="5BC5C804" w:rsidRPr="000479E9" w:rsidRDefault="5BC5C804" w:rsidP="2B3481CE">
      <w:pPr>
        <w:spacing w:after="0" w:line="240" w:lineRule="auto"/>
        <w:jc w:val="both"/>
      </w:pPr>
      <w:r w:rsidRPr="000479E9">
        <w:rPr>
          <w:rFonts w:ascii="Times New Roman" w:eastAsia="Calibri" w:hAnsi="Times New Roman" w:cs="Times New Roman"/>
          <w:sz w:val="24"/>
          <w:szCs w:val="24"/>
        </w:rPr>
        <w:t>4. osobni identifikacijski broj (OIB) suovlaštenika/imatelja vrijednosnih papira, kada je taj podatak dostupan središnjem depozitoriju</w:t>
      </w:r>
    </w:p>
    <w:p w14:paraId="05F7D947" w14:textId="34714103" w:rsidR="5BC5C804" w:rsidRPr="000479E9" w:rsidRDefault="5BC5C804" w:rsidP="2B3481CE">
      <w:pPr>
        <w:spacing w:after="0" w:line="240" w:lineRule="auto"/>
        <w:jc w:val="both"/>
      </w:pPr>
      <w:r w:rsidRPr="000479E9">
        <w:rPr>
          <w:rFonts w:ascii="Times New Roman" w:eastAsia="Calibri" w:hAnsi="Times New Roman" w:cs="Times New Roman"/>
          <w:sz w:val="24"/>
          <w:szCs w:val="24"/>
        </w:rPr>
        <w:t>5. vrstu računa na kojem su vrijednosni papiri upisani</w:t>
      </w:r>
    </w:p>
    <w:p w14:paraId="01A6D555" w14:textId="703126A5" w:rsidR="5BC5C804" w:rsidRPr="000479E9" w:rsidRDefault="5BC5C804" w:rsidP="2B3481CE">
      <w:pPr>
        <w:spacing w:after="0" w:line="240" w:lineRule="auto"/>
        <w:jc w:val="both"/>
      </w:pPr>
      <w:r w:rsidRPr="000479E9">
        <w:rPr>
          <w:rFonts w:ascii="Times New Roman" w:eastAsia="Calibri" w:hAnsi="Times New Roman" w:cs="Times New Roman"/>
          <w:sz w:val="24"/>
          <w:szCs w:val="24"/>
        </w:rPr>
        <w:t>6. postotak vrijednosnih papira na predmetnom računu u odnosu na ukupnost vrijednosnih papira predmetnog izdavatelja.</w:t>
      </w:r>
    </w:p>
    <w:p w14:paraId="4001886F" w14:textId="0B07434B" w:rsidR="2B3481CE" w:rsidRPr="000479E9" w:rsidRDefault="2B3481CE" w:rsidP="2B3481CE">
      <w:pPr>
        <w:spacing w:after="0" w:line="240" w:lineRule="auto"/>
        <w:jc w:val="both"/>
        <w:rPr>
          <w:rFonts w:ascii="Times New Roman" w:eastAsia="Calibri" w:hAnsi="Times New Roman" w:cs="Times New Roman"/>
          <w:sz w:val="24"/>
          <w:szCs w:val="24"/>
        </w:rPr>
      </w:pPr>
    </w:p>
    <w:p w14:paraId="0F8FAE0C" w14:textId="77777777" w:rsidR="00A45A25" w:rsidRPr="000479E9" w:rsidRDefault="00A45A25" w:rsidP="00483C20">
      <w:pPr>
        <w:spacing w:after="0" w:line="240" w:lineRule="auto"/>
        <w:jc w:val="center"/>
        <w:rPr>
          <w:rFonts w:ascii="Times New Roman" w:eastAsia="Calibri" w:hAnsi="Times New Roman" w:cs="Times New Roman"/>
          <w:bCs/>
          <w:iCs/>
          <w:sz w:val="24"/>
          <w:szCs w:val="24"/>
        </w:rPr>
      </w:pPr>
      <w:r w:rsidRPr="000479E9">
        <w:rPr>
          <w:rFonts w:ascii="Times New Roman" w:eastAsia="Calibri" w:hAnsi="Times New Roman" w:cs="Times New Roman"/>
          <w:bCs/>
          <w:iCs/>
          <w:sz w:val="24"/>
          <w:szCs w:val="24"/>
        </w:rPr>
        <w:t>Financijski izvještaji središnjeg depozitorija</w:t>
      </w:r>
    </w:p>
    <w:p w14:paraId="1614C2F3" w14:textId="77777777" w:rsidR="00A45A25" w:rsidRPr="000479E9" w:rsidRDefault="00A45A25" w:rsidP="00483C20">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Članak 581.</w:t>
      </w:r>
    </w:p>
    <w:p w14:paraId="6F6D30BF" w14:textId="7341CBB1" w:rsidR="00A45A25" w:rsidRPr="000479E9" w:rsidRDefault="00A45A25" w:rsidP="00A45A25">
      <w:pPr>
        <w:spacing w:after="0" w:line="240" w:lineRule="auto"/>
        <w:jc w:val="both"/>
        <w:rPr>
          <w:rFonts w:ascii="Times New Roman" w:eastAsia="Calibri" w:hAnsi="Times New Roman" w:cs="Times New Roman"/>
          <w:sz w:val="24"/>
          <w:szCs w:val="24"/>
        </w:rPr>
      </w:pPr>
    </w:p>
    <w:p w14:paraId="4AF4052C"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Središnji depozitorij dužan je izraditi godišnje financijske izvještaje i godišnje izvješće u skladu s odredbama zakona kojim se uređuje osnivanje i ustroj trgovačkih društava, računovodstvo poduzetnika i primjena međunarodnih standarda financijskog izvještavanja te ih dostaviti Agenciji zajedno s revizorskim izvještajem te podacima u skladu s člankom 41. Delegirane uredbe (EU) br. 2017/392.</w:t>
      </w:r>
    </w:p>
    <w:p w14:paraId="0E775782"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Agencija može od revizora koji je obavio reviziju godišnjih financijskih izvještaja središnjeg depozitorija zatražiti dodatna obrazloženja u vezi s obavljenom revizijom i revizorskim izvještajem.</w:t>
      </w:r>
    </w:p>
    <w:p w14:paraId="1364C6A2"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(3) Ako godišnji financijski izvještaji i godišnje izvješće iz stavka 1. ovoga članka nisu izrađeni sukladno odredbama zakona kojim se uređuje osnivanje i ustroj trgovačkih društava, računovodstvo poduzetnika i primjena međunarodnih standarda financijskog izvještavanja te pravilima struke, Agencija može odbiti godišnje financijske izvještaje, a središnji depozitorij je dužan ponovo izraditi godišnje financijske izvještaje, osigurati obavljanje zakonske revizije tih izvještaja te revozirski izvještaj, uključujući i relevantne financijske izvještaje, dostaviti Agenciji u roku koji je svojim </w:t>
      </w:r>
      <w:r w:rsidRPr="000479E9">
        <w:rPr>
          <w:rFonts w:ascii="Times New Roman" w:eastAsia="Calibri" w:hAnsi="Times New Roman" w:cs="Times New Roman"/>
          <w:sz w:val="24"/>
          <w:szCs w:val="24"/>
        </w:rPr>
        <w:lastRenderedPageBreak/>
        <w:t>rješenjem odredila Agencija. Novu zakonsku reviziju ne smije obaviti revizor koji je izdao mišljenje o godišnjim financijskim izvještajima koji su odbijeni odnosno odbačeni. U tom slučaju, Agencija može javno objaviti podatak o odbijanju godišnjih financijskih izvještaja i razlozima toga odbijanja.</w:t>
      </w:r>
    </w:p>
    <w:p w14:paraId="1C24F55E"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Nakon što je jednom izabran isti revizor može revidirati najviše sedam uzastopnih godišnjih financijskih izvještaja središnjeg depozitorija. Isti revizor ne smije sljedeće četiri godine obavljati reviziju godišnjih financijskih izvještaja središnjeg depozitorija.</w:t>
      </w:r>
    </w:p>
    <w:p w14:paraId="50E5D9AF"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U slučaju raskida ugovora o obavljanju revizije, središnji depozitorij i revizor dužni su Agenciji u roku od 15 dana pisano obrazložiti razloge za sporazumni raskid ugovora odnosno ako je ugovor raskinula jedna ugovorna strana, obrazložiti razloge raskida, a druga ugovorna strana očitovati se o razlozima za raskid ugovora koje navodi druga ugovorna strana.</w:t>
      </w:r>
    </w:p>
    <w:p w14:paraId="1CDCF3CE"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Revizor koji obavlja reviziju godišnjih financijskih izvještaja središnjeg depozitorija ne smije pružati, izravno ili neizravno, središnjem depozitoriju bilo koje zabranjene nerevizorske usluge iz članka 5. stavka 1. Uredbe (EU) br. 537/2014 tijekom:</w:t>
      </w:r>
    </w:p>
    <w:p w14:paraId="6381E885"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razdoblja između početka razdoblja koje je predmet revizije i izdavanja revizorskog izvještaja i</w:t>
      </w:r>
    </w:p>
    <w:p w14:paraId="09C2297C"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poslovne godine koja prethodi razdoblju iz točke 1. ovoga stavka u vezi s uslugom osmišljavanja i provedbe postupaka unutarnje kontrole ili upravljanja rizikom povezanih s pripremom i/ili nadzorom financijskih informacija ili osmišljavanje i provedba tehnoloških sustava za financijske informacije.</w:t>
      </w:r>
    </w:p>
    <w:p w14:paraId="78BE347D"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Osim godišnjih financijskih izvještaja, središnji depozitorij obvezan je izrađivati financijske izvještaje i za izvještajna razdoblja tijekom poslovne godine.</w:t>
      </w:r>
    </w:p>
    <w:p w14:paraId="33F09353"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Agencija pravilnikom detaljnije propisuje strukturu, sadržaj i način te rokove dostave izvještaja iz stavaka 1. i 7. ovoga članka.</w:t>
      </w:r>
    </w:p>
    <w:p w14:paraId="2F50B0FE" w14:textId="77777777" w:rsidR="00A45A25" w:rsidRPr="000479E9" w:rsidRDefault="00A45A25" w:rsidP="00A45A25">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(9) Agencija pravilnikom propisuje kontni plan za središnji depozitorij.</w:t>
      </w:r>
    </w:p>
    <w:p w14:paraId="7220A3B5" w14:textId="77777777" w:rsidR="00A45A25" w:rsidRPr="000479E9" w:rsidRDefault="00A45A25" w:rsidP="2B3481CE">
      <w:pPr>
        <w:spacing w:after="0" w:line="240" w:lineRule="auto"/>
        <w:jc w:val="both"/>
        <w:rPr>
          <w:rFonts w:ascii="Times New Roman" w:eastAsia="Calibri" w:hAnsi="Times New Roman" w:cs="Times New Roman"/>
          <w:sz w:val="24"/>
          <w:szCs w:val="24"/>
        </w:rPr>
      </w:pPr>
    </w:p>
    <w:p w14:paraId="0B318B44" w14:textId="51814BD4" w:rsidR="10FDD9E9" w:rsidRPr="000479E9" w:rsidRDefault="10FDD9E9"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 xml:space="preserve">POGLAVLJE V.   </w:t>
      </w:r>
    </w:p>
    <w:p w14:paraId="04782781" w14:textId="51CD36DF" w:rsidR="2B3481CE" w:rsidRPr="000479E9" w:rsidRDefault="2B3481CE" w:rsidP="00F01D72">
      <w:pPr>
        <w:spacing w:after="0" w:line="240" w:lineRule="auto"/>
        <w:jc w:val="center"/>
        <w:rPr>
          <w:rFonts w:ascii="Times New Roman" w:eastAsia="Calibri" w:hAnsi="Times New Roman" w:cs="Times New Roman"/>
          <w:bCs/>
          <w:sz w:val="24"/>
          <w:szCs w:val="24"/>
        </w:rPr>
      </w:pPr>
    </w:p>
    <w:p w14:paraId="53335BD0" w14:textId="58D98A64" w:rsidR="10FDD9E9" w:rsidRPr="000479E9" w:rsidRDefault="10FDD9E9" w:rsidP="00F01D72">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STEČAJ I SANACIJA SREDIŠNJEG DEPOZITORIJA SA SJEDIŠTEM U REPUBLICI HRVATSKOJ</w:t>
      </w:r>
    </w:p>
    <w:p w14:paraId="41819F7F" w14:textId="6E32DD6D" w:rsidR="2B3481CE" w:rsidRPr="000479E9" w:rsidRDefault="2B3481CE" w:rsidP="2B3481CE">
      <w:pPr>
        <w:spacing w:after="0" w:line="240" w:lineRule="auto"/>
        <w:jc w:val="both"/>
        <w:rPr>
          <w:rFonts w:ascii="Times New Roman" w:eastAsia="Calibri" w:hAnsi="Times New Roman" w:cs="Times New Roman"/>
          <w:sz w:val="24"/>
          <w:szCs w:val="24"/>
        </w:rPr>
      </w:pPr>
    </w:p>
    <w:p w14:paraId="5DF4791A" w14:textId="3156577C" w:rsidR="10FDD9E9" w:rsidRPr="000479E9" w:rsidRDefault="10FDD9E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Pojmovi</w:t>
      </w:r>
    </w:p>
    <w:p w14:paraId="0E890AC8" w14:textId="1F8401A0" w:rsidR="10FDD9E9" w:rsidRPr="000479E9" w:rsidRDefault="10FDD9E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583.</w:t>
      </w:r>
    </w:p>
    <w:p w14:paraId="410857CA" w14:textId="5408E33A" w:rsidR="2B3481CE" w:rsidRPr="000479E9" w:rsidRDefault="2B3481CE" w:rsidP="2B3481CE">
      <w:pPr>
        <w:spacing w:after="0" w:line="240" w:lineRule="auto"/>
        <w:jc w:val="both"/>
        <w:rPr>
          <w:rFonts w:ascii="Times New Roman" w:eastAsia="Calibri" w:hAnsi="Times New Roman" w:cs="Times New Roman"/>
          <w:sz w:val="24"/>
          <w:szCs w:val="24"/>
        </w:rPr>
      </w:pPr>
    </w:p>
    <w:p w14:paraId="6E4A550B" w14:textId="4D4956A2"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Pojedini pojmovi, u smislu odredbi ovoga dijela Zakona, imaju sljedeće značenje:</w:t>
      </w:r>
    </w:p>
    <w:p w14:paraId="48961911" w14:textId="7560D070"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ključne funkcije jesu aktivnosti, usluge ili djelatnosti čiji bi prestanak pružanja u jednoj ili više država članica vjerojatno doveo do prekida usluga bitnih za realno gospodarstvo ili do poremećaja financijske stabilnosti zbog veličine, tržišnog udjela, vanjske i unutarnje međusobne povezanosti, složenosti ili prekograničnih aktivnosti institucije ili grupe, a osobito s obzirom na zamjenjivost tih aktivnosti, usluga ili djelatnosti</w:t>
      </w:r>
    </w:p>
    <w:p w14:paraId="001BD976" w14:textId="5EA46830"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instrument sanacije je uređen člankom 604. stavkom 1. ovoga Zakona</w:t>
      </w:r>
    </w:p>
    <w:p w14:paraId="60B13324" w14:textId="301762FC"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3. izvanredna javna financijska potpora je državna potpora u smislu članka 107. stavka 1. Ugovora o funkcioniranju Europske unije (u daljnjem tekstu: UFEU) ili bilo koja druga javna financijska potpora na nadnacionalnoj razini koja bi, da se dodjeljuje na nacionalnoj razini činila državnu potporu, a koja se dodjeljuje s ciljem očuvanja ili obnavljanja održivosti, likvidnosti ili solventnosti središnjeg depozitorija</w:t>
      </w:r>
    </w:p>
    <w:p w14:paraId="7D5C0296" w14:textId="5F68D110"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ovlast za sanaciju je uređena člankom 619. stavak 1. ovoga Zakona</w:t>
      </w:r>
    </w:p>
    <w:p w14:paraId="29816890" w14:textId="7DBBA356"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primatelj je subjekt na kojeg se prenosi dionica ili drugi vlasnički instrument, dužnički instrument, imovina, prava, obveze ili bilo koja kombinacija tih stavki s institucije u sanaciji</w:t>
      </w:r>
    </w:p>
    <w:p w14:paraId="529C74E9" w14:textId="49F2938A"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sanacija je primjena instrumenta sanacije kako bi se postigao barem jedan od ciljeva sanacije iz članka 599. ovoga Zakona</w:t>
      </w:r>
    </w:p>
    <w:p w14:paraId="1A6B8194" w14:textId="0C7469D3"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sanacijska mjera je odluka o otvaranju postupka sanacije središnjeg depozitorija u skladu s člankom 606. ovoga Zakona, primjena instrumenata sanacije u skladu s člankom 604. ovoga Zakona ili izvršavanje jedne ili više sanacijskih ovlasti iz članka 619. stavka 1. ovoga Zakona</w:t>
      </w:r>
    </w:p>
    <w:p w14:paraId="3A70F12C" w14:textId="23F2D18E"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sanacijski plan je plan sanacije središnjeg depozitorija sastavljen u skladu s člankom 604. ovoga Zakona</w:t>
      </w:r>
    </w:p>
    <w:p w14:paraId="0574BD75" w14:textId="58E9863E"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9. sanacijsko tijelo je tijelo koje je u državi članici ovlašteno primjenjivati instrumente sanacije i izvršavati sanacijske ovlasti, a u Republici Hrvatskoj, za središnje depozitorije, kako je definirano člankom 597. ovoga Zakona</w:t>
      </w:r>
    </w:p>
    <w:p w14:paraId="2B0D4FA6" w14:textId="642F7289"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10. sistemska kriza je poremećaj u financijskom sustavu koji potencijalno može imati ozbiljne negativne posljedice za unutarnje tržište i realno gospodarstvo</w:t>
      </w:r>
    </w:p>
    <w:p w14:paraId="3AAC499C" w14:textId="7E687E9A"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11. središnji depozitorij je središnji depozitorij iz članka 559. stavka 1. točke 1. ovoga Zakona</w:t>
      </w:r>
    </w:p>
    <w:p w14:paraId="73645219" w14:textId="12F720C7"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12. temeljne poslovne linije jesu poslovne linije i pripadajuće usluge koje čine bitne izvore prihoda, dobiti ili vrijednost franšize za središnji depozitorij ili grupu kojoj središnji depozitorij pripada</w:t>
      </w:r>
    </w:p>
    <w:p w14:paraId="7B393705" w14:textId="726F1823" w:rsidR="10FDD9E9" w:rsidRPr="000479E9" w:rsidRDefault="10FDD9E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13. uvjeti za sanaciju su uređeni člankom 606. stavcima 1. i 4. (Donošenje odluke o sanaciji ili stečaju) ovoga Zakona.</w:t>
      </w:r>
    </w:p>
    <w:p w14:paraId="39FD9DFF" w14:textId="1EB6F482" w:rsidR="2B3481CE" w:rsidRPr="000479E9" w:rsidRDefault="2B3481CE" w:rsidP="2B3481CE">
      <w:pPr>
        <w:spacing w:after="0" w:line="240" w:lineRule="auto"/>
        <w:jc w:val="both"/>
        <w:rPr>
          <w:rFonts w:ascii="Times New Roman" w:eastAsia="Calibri" w:hAnsi="Times New Roman" w:cs="Times New Roman"/>
          <w:sz w:val="24"/>
          <w:szCs w:val="24"/>
        </w:rPr>
      </w:pPr>
    </w:p>
    <w:p w14:paraId="1C60B2EF" w14:textId="77777777" w:rsidR="00E42050" w:rsidRPr="000479E9" w:rsidRDefault="00E42050" w:rsidP="000479E9">
      <w:pPr>
        <w:spacing w:after="0" w:line="240" w:lineRule="auto"/>
        <w:jc w:val="center"/>
        <w:rPr>
          <w:rFonts w:ascii="Times New Roman" w:eastAsia="Calibri" w:hAnsi="Times New Roman" w:cs="Times New Roman"/>
          <w:bCs/>
          <w:iCs/>
          <w:sz w:val="24"/>
          <w:szCs w:val="24"/>
        </w:rPr>
      </w:pPr>
      <w:r w:rsidRPr="000479E9">
        <w:rPr>
          <w:rFonts w:ascii="Times New Roman" w:eastAsia="Calibri" w:hAnsi="Times New Roman" w:cs="Times New Roman"/>
          <w:bCs/>
          <w:iCs/>
          <w:sz w:val="24"/>
          <w:szCs w:val="24"/>
        </w:rPr>
        <w:t>Ovlast Agencije za podnošenje prijedloga za otvaranje stečajnog postupka</w:t>
      </w:r>
    </w:p>
    <w:p w14:paraId="44BD436E" w14:textId="77777777" w:rsidR="00E42050" w:rsidRPr="000479E9" w:rsidRDefault="00E42050" w:rsidP="000479E9">
      <w:pPr>
        <w:spacing w:after="0" w:line="240" w:lineRule="auto"/>
        <w:jc w:val="center"/>
        <w:rPr>
          <w:rFonts w:ascii="Times New Roman" w:eastAsia="Calibri" w:hAnsi="Times New Roman" w:cs="Times New Roman"/>
          <w:bCs/>
          <w:sz w:val="24"/>
          <w:szCs w:val="24"/>
        </w:rPr>
      </w:pPr>
      <w:r w:rsidRPr="000479E9">
        <w:rPr>
          <w:rFonts w:ascii="Times New Roman" w:eastAsia="Calibri" w:hAnsi="Times New Roman" w:cs="Times New Roman"/>
          <w:bCs/>
          <w:sz w:val="24"/>
          <w:szCs w:val="24"/>
        </w:rPr>
        <w:t>Članak 585.</w:t>
      </w:r>
    </w:p>
    <w:p w14:paraId="6192A448" w14:textId="5B468326" w:rsidR="00E42050" w:rsidRPr="000479E9" w:rsidRDefault="00E42050" w:rsidP="00E42050">
      <w:pPr>
        <w:spacing w:after="0" w:line="240" w:lineRule="auto"/>
        <w:jc w:val="both"/>
        <w:rPr>
          <w:rFonts w:ascii="Times New Roman" w:eastAsia="Calibri" w:hAnsi="Times New Roman" w:cs="Times New Roman"/>
          <w:sz w:val="24"/>
          <w:szCs w:val="24"/>
        </w:rPr>
      </w:pPr>
    </w:p>
    <w:p w14:paraId="51B554C4" w14:textId="77777777" w:rsidR="00E42050" w:rsidRPr="000479E9" w:rsidRDefault="00E42050" w:rsidP="00E42050">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Prijedlog za otvaranje stečajnog postupka nad središnjim depozitorijem može podnijeti samo Agencija kao sanacijsko tijelo zbog razloga navedenih u članku 586. ovoga Zakona ako je donesenim sanacijskim planom utvrđeno da sanacija nije nužna u javnom interesu i ako je sanacijskim planom predviđeno da središnji depozitorij neće biti saniran u slučaju da su ispunjeni uvjeti iz članka 606. stavka 1. ovoga Zakona, već će se nad njom pokrenuti stečajni postupak odnosno postupak prisilne likvidacije.</w:t>
      </w:r>
    </w:p>
    <w:p w14:paraId="6BCEF085" w14:textId="08741EB7" w:rsidR="00E42050" w:rsidRPr="000479E9" w:rsidRDefault="00E42050" w:rsidP="2B3481CE">
      <w:pPr>
        <w:spacing w:after="0" w:line="240" w:lineRule="auto"/>
        <w:jc w:val="both"/>
        <w:rPr>
          <w:rFonts w:ascii="Times New Roman" w:eastAsia="Calibri" w:hAnsi="Times New Roman" w:cs="Times New Roman"/>
          <w:sz w:val="24"/>
          <w:szCs w:val="24"/>
        </w:rPr>
      </w:pPr>
    </w:p>
    <w:p w14:paraId="69CAFE3D" w14:textId="77777777" w:rsidR="00E42050" w:rsidRPr="000479E9" w:rsidRDefault="00E42050" w:rsidP="2B3481CE">
      <w:pPr>
        <w:spacing w:after="0" w:line="240" w:lineRule="auto"/>
        <w:jc w:val="both"/>
        <w:rPr>
          <w:rFonts w:ascii="Times New Roman" w:eastAsia="Calibri" w:hAnsi="Times New Roman" w:cs="Times New Roman"/>
          <w:sz w:val="24"/>
          <w:szCs w:val="24"/>
        </w:rPr>
      </w:pPr>
    </w:p>
    <w:p w14:paraId="2A12B3DC" w14:textId="78B8A31D" w:rsidR="3D3B92E4" w:rsidRPr="000479E9" w:rsidRDefault="3D3B92E4" w:rsidP="00F01D72">
      <w:pPr>
        <w:spacing w:before="72" w:after="72" w:line="240" w:lineRule="auto"/>
        <w:jc w:val="center"/>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Stečaj središnjeg depozitorija u sanaciji</w:t>
      </w:r>
    </w:p>
    <w:p w14:paraId="6D03DEE6" w14:textId="735C59F0" w:rsidR="3D3B92E4" w:rsidRPr="000479E9" w:rsidRDefault="3D3B92E4" w:rsidP="00F01D72">
      <w:pPr>
        <w:spacing w:before="72" w:after="72" w:line="240" w:lineRule="auto"/>
        <w:jc w:val="center"/>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Članak 594.</w:t>
      </w:r>
    </w:p>
    <w:p w14:paraId="365CE183" w14:textId="68C94352" w:rsidR="3D3B92E4" w:rsidRPr="000479E9" w:rsidRDefault="3D3B92E4"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lastRenderedPageBreak/>
        <w:t>(1) Prijedlog za otvaranje stečajnog postupka nad središnjim depozitorijom u sanaciji može podnijeti samo Agencija kao sanacijsko tijelo, iz razloga navedenih u članku 586. ovoga Zakona.</w:t>
      </w:r>
    </w:p>
    <w:p w14:paraId="4D4A516A" w14:textId="365AC475" w:rsidR="3D3B92E4" w:rsidRPr="000479E9" w:rsidRDefault="3D3B92E4"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(2) Iznimno od odredbi Stečajnoga zakona, ako je nad središnjim depozitorijem u sanaciji otvoren stečajni postupak pravne radnje prijenosa imovine, prava ili obveza sa središnjeg depozitorija u sanaciji na drugi subjekt koje su nastale primjenom instrumenta sanacije ili izvršavanjem ovlasti za sanaciju ili državnih instrumenata financijske stabilizacije, ne mogu se pobijati niti oglasiti ništetnim.</w:t>
      </w:r>
    </w:p>
    <w:p w14:paraId="103E47F5" w14:textId="4FEB331B" w:rsidR="3D3B92E4" w:rsidRPr="000479E9" w:rsidRDefault="3D3B92E4"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(3) Agencija može zahtijevati od stečajnog upravitelja središnjeg depozitorija koji je prije otvaranja stečajnog postupka bio u sanaciji, korištenje prostora i opreme te nastavak pružanja onih usluga koji su potrebni društvu primatelju za učinkovito obavljanje poslova koji su na njega preneseni u skladu s člankom 604. ovoga Zakona.</w:t>
      </w:r>
    </w:p>
    <w:p w14:paraId="4E0A55EF" w14:textId="7E469CE5" w:rsidR="3D3B92E4" w:rsidRPr="000479E9" w:rsidRDefault="3D3B92E4"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(4) Stečajni upravitelj dužan je stečajni postupak nad središnjim depozitorijem koji je prije otvaranja stečajnog postupka bio u sanaciji, provesti u razumnom roku, a u skladu s načelima sanacije iz članka 600. ovoga Zakona i na način da omogući društvu primatelju nastavak prenesenih aktivnosti u skladu sa stavkom 3. ovoga članka.</w:t>
      </w:r>
    </w:p>
    <w:p w14:paraId="14F73246" w14:textId="7D192BC7" w:rsidR="3D3B92E4" w:rsidRPr="000479E9" w:rsidRDefault="3D3B92E4"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(5) Agencija može od suda koji vodi stečajni postupak nad središnjim depozitorijem koji je prije otvaranja stečajnog postupka bio u sanaciji, zatražiti da na primjereni rok odredi mirovanje stečajnog postupka, ako je to potrebno radi učinkovitog provođenja sanacije.</w:t>
      </w:r>
    </w:p>
    <w:p w14:paraId="688DD928" w14:textId="5E78D7BF" w:rsidR="3D3B92E4" w:rsidRPr="000479E9" w:rsidRDefault="3D3B92E4" w:rsidP="00F01D72">
      <w:pPr>
        <w:spacing w:before="72" w:after="72" w:line="240" w:lineRule="auto"/>
        <w:jc w:val="both"/>
        <w:rPr>
          <w:rFonts w:ascii="Times New Roman" w:eastAsia="Calibri" w:hAnsi="Times New Roman" w:cs="Times New Roman"/>
          <w:sz w:val="24"/>
          <w:szCs w:val="24"/>
        </w:rPr>
      </w:pPr>
      <w:r w:rsidRPr="000479E9">
        <w:rPr>
          <w:rFonts w:ascii="Times New Roman" w:eastAsiaTheme="minorEastAsia" w:hAnsi="Times New Roman" w:cs="Times New Roman"/>
          <w:sz w:val="24"/>
          <w:szCs w:val="24"/>
        </w:rPr>
        <w:t>(6) Agencija može povući prijedlog za otvaranje stečajnog postupka.</w:t>
      </w:r>
    </w:p>
    <w:p w14:paraId="6A8D0A29" w14:textId="68E00E69" w:rsidR="3D3B92E4" w:rsidRPr="000479E9" w:rsidRDefault="3D3B92E4" w:rsidP="00F01D72">
      <w:pPr>
        <w:spacing w:before="72" w:after="72" w:line="240" w:lineRule="auto"/>
        <w:jc w:val="both"/>
        <w:rPr>
          <w:rFonts w:ascii="Times New Roman" w:eastAsia="Arial" w:hAnsi="Times New Roman" w:cs="Times New Roman"/>
        </w:rPr>
      </w:pPr>
      <w:r w:rsidRPr="000479E9">
        <w:rPr>
          <w:rFonts w:ascii="Times New Roman" w:eastAsia="Arial" w:hAnsi="Times New Roman" w:cs="Times New Roman"/>
        </w:rPr>
        <w:t xml:space="preserve"> </w:t>
      </w:r>
    </w:p>
    <w:p w14:paraId="0F98C4E1" w14:textId="5AE5FEF7"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Odluka o podnošenju ili povlačenju prijedloga za otvaranje stečajnog postupka nad središnjim depozitorijem u sanaciji</w:t>
      </w:r>
    </w:p>
    <w:p w14:paraId="549564C7" w14:textId="42006996"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595.</w:t>
      </w:r>
    </w:p>
    <w:p w14:paraId="7FA6EAA3" w14:textId="26B210E1"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Na odluku o podnošenju ili povlačenju prijedloga za otvaranje stečajnog postupka nad središnjim depozitorijem u sanaciji, na odgovarajući način primjenjuju se odredbe članka 587. ovoga Zakona.</w:t>
      </w:r>
    </w:p>
    <w:p w14:paraId="0962C7FA" w14:textId="6FA2FEBF"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048876D1" w14:textId="295D85DB"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Primjena ostalih odredaba na stečaj središnjeg depozitorija u sanaciji</w:t>
      </w:r>
    </w:p>
    <w:p w14:paraId="06588D47" w14:textId="28B6A404"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596.</w:t>
      </w:r>
    </w:p>
    <w:p w14:paraId="73E3054D" w14:textId="5C45FF43"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Na stečaj središnjeg depozitorija u sanaciji na odgovarajući se način primjenjuju odredbe članaka 584. do 593. ovoga Zakona.</w:t>
      </w:r>
    </w:p>
    <w:p w14:paraId="52457D27" w14:textId="61D86775"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0F174F71" w14:textId="75F91B63"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Sanacijsko tijelo i nadležno ministarstvo</w:t>
      </w:r>
    </w:p>
    <w:p w14:paraId="6CE2AB2A" w14:textId="60A16355"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597.</w:t>
      </w:r>
    </w:p>
    <w:p w14:paraId="7F60B998" w14:textId="2D34C17C"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Agencija je tijelo ovlašteno za izvršavanje ovlasti za sanaciju i primjenu sanacijskih instrumenata u Republici Hrvatskoj u odnosu na središnji depozitorij.</w:t>
      </w:r>
    </w:p>
    <w:p w14:paraId="6A09E97D" w14:textId="6A7199B7"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Ministarstvo nadležno za financije nadležno je ministarstvo za izvršavanje poslova u okviru ovoga poglavlja Zakona.</w:t>
      </w:r>
    </w:p>
    <w:p w14:paraId="7E8207E6" w14:textId="260E9741"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(3) Agencija je dužna obavještavati ministarstvo nadležno za financije o odlukama koje se odnose na stečaj ili sanaciju središnjeg depozitorija, koje su donesene u skladu s odredbama ovoga Zakona.</w:t>
      </w:r>
    </w:p>
    <w:p w14:paraId="2D410AB7" w14:textId="676FFB92"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Agencija je dužna osigurati operativnu i funkcionalnu neovisnost kako bi se izbjegao sukob interesa između sanacijskih ovlasti koje to tijelo obavlja u skladu s odredbama ovoga dijela Zakona i supervizorskih odnosno nadzornih funkcija koje obavlja u skladu s odredbama Uredbe (EU) br. 909/2014, te ostalih funkcija koje obavlja u skladu odredbama drugih propisa.</w:t>
      </w:r>
    </w:p>
    <w:p w14:paraId="5BE58B73" w14:textId="18C19FF1"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Agencija je dužna osigurati da su radnici koji obavljaju sanacijske poslove u skladu s odredbama ovoga Zakona strukturno i funkcionalno odvojeni od radnika koji obavljaju poslove u skladu s odredbama Uredbe (EU) br. 909/2014, te podliježu odvojenim linijama izvješta</w:t>
      </w:r>
      <w:r w:rsidRPr="000479E9">
        <w:rPr>
          <w:rFonts w:ascii="Times New Roman" w:hAnsi="Times New Roman" w:cs="Times New Roman"/>
        </w:rPr>
        <w:softHyphen/>
      </w:r>
      <w:r w:rsidRPr="000479E9">
        <w:rPr>
          <w:rFonts w:ascii="Times New Roman" w:eastAsiaTheme="minorEastAsia" w:hAnsi="Times New Roman" w:cs="Times New Roman"/>
          <w:sz w:val="24"/>
          <w:szCs w:val="24"/>
        </w:rPr>
        <w:t>vanja.</w:t>
      </w:r>
    </w:p>
    <w:p w14:paraId="2B3DFF1F" w14:textId="71DBEBDF"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(6) Radnici Agencije koji obavljaju sanacijske poslove u skladu s odredbama ovoga Zakona i radnici koji provode superviziju odnosno nadzor, dužni su u pripremi, planiranju i primjeni odluka u skladu s ovim Zakonom međusobno usko surađivati.</w:t>
      </w:r>
    </w:p>
    <w:p w14:paraId="50005453" w14:textId="6815FFD1"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(7) Agencija je ovlaštena u svrhu provedbe ovlasti iz ovoga poglavlja Zakona:</w:t>
      </w:r>
    </w:p>
    <w:p w14:paraId="6B183CC2" w14:textId="2527F7C5"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prikupljati i provjeravati potrebne informacije u prostorijama središnjeg depozitorija odnosno na temelju izvješća koje je središnji depozitorij dostavio i/ili</w:t>
      </w:r>
    </w:p>
    <w:p w14:paraId="2319E57C" w14:textId="3C9D938E"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središnjem depozitoriju nalagati mjere u cilju provedbe ovoga poglavlja Zakona.</w:t>
      </w:r>
    </w:p>
    <w:p w14:paraId="77F00270" w14:textId="28308663"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(8) Središnji depozitorij dužan je izvršavati mjere na način i u rokovima kako je to naloženo rješenjem Agencije.</w:t>
      </w:r>
    </w:p>
    <w:p w14:paraId="07B5245A" w14:textId="11D90E0E"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(9) Nadzor iz stavka 7. ovoga članka obavljaju radnici Agencije. Agencija za obavljanje pojedinih stručnih poslova iz stavka 7. ovoga članka može ovlastiti i druge osobe.</w:t>
      </w:r>
    </w:p>
    <w:p w14:paraId="389251BA" w14:textId="2630537A"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(10) Središnji depozitorij je dužan na zahtjev Agencije dostaviti izvješća i informacije o svim pitanjima važnim za provođenje ovoga poglavlja Zakona te omogućiti prikupljanje i provjeru informacija u prostorijama subjekta na način iz stavka 7. točke 1. ovoga članka.</w:t>
      </w:r>
    </w:p>
    <w:p w14:paraId="09332089" w14:textId="2C6AD90D"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(11) Agencija nad središnjim depozitorijem ima ovlasti rane intervencije, pri čemu se na odgovarajući način primjenjuju odredbe članaka 213. do 216. ovoga Zakona.</w:t>
      </w:r>
    </w:p>
    <w:p w14:paraId="0D9065AC" w14:textId="36D4B043"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(12) Agencija pravilnikom pobliže uređuje uvjete i način provedbe aktivnosti i način nalaganja mjera iz stavka 7. ovoga članka te obveze središnjeg depozitorija tijekom i nakon provedbe aktivnosti koje obavlja Agencija.</w:t>
      </w:r>
    </w:p>
    <w:p w14:paraId="77A6D307" w14:textId="4389C75A"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06C887E2" w14:textId="70441FCE"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Opće načelo za primjenu odredbi o sanaciji</w:t>
      </w:r>
    </w:p>
    <w:p w14:paraId="6D721FBF" w14:textId="4803CA14"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598.</w:t>
      </w:r>
    </w:p>
    <w:p w14:paraId="14FC141D" w14:textId="59CDDCBD"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Agencija će pri utvrđivanju i primjeni ovlasti propisanih ovim poglavljem Zakona i pri upotrebi različitih instrumenata kojima raspolaže u odnosu na središnji depozitorij, u skladu s posebnim odredbama, uzeti u obzir vrstu, opseg i složenost poslova koje središnji depozitorij obavlja, njegovu dioničarsku strukturu, pravni oblik, profil rizičnosti, veličinu i pravni status, povezanost s drugim institucijama i financijskim </w:t>
      </w:r>
      <w:r w:rsidRPr="000479E9">
        <w:rPr>
          <w:rFonts w:ascii="Times New Roman" w:eastAsiaTheme="minorEastAsia" w:hAnsi="Times New Roman" w:cs="Times New Roman"/>
          <w:sz w:val="24"/>
          <w:szCs w:val="24"/>
        </w:rPr>
        <w:lastRenderedPageBreak/>
        <w:t>sustavom u cjelini, te podatak o tome obavlja li subjekt investicijske usluge ili aktivnosti iz ovoga Zakona.</w:t>
      </w:r>
    </w:p>
    <w:p w14:paraId="5D8BFC09" w14:textId="7A0F8401"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285AD692" w14:textId="4D8C4035"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Ciljevi sanacije</w:t>
      </w:r>
    </w:p>
    <w:p w14:paraId="01C2BBDE" w14:textId="531DAF68"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599.</w:t>
      </w:r>
    </w:p>
    <w:p w14:paraId="7EB7B385" w14:textId="7BC8E2CD"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Pri primjeni sanacijskih instrumenata ili izvršavanja ovlasti za sanaciju, Agencija uzima u obzir ciljeve sanacije te odabire instrumente i ovlasti kojima se najbolje ostvaruju ciljevi koji su relevantni u okolnostima pojedinog slučaja.</w:t>
      </w:r>
    </w:p>
    <w:p w14:paraId="5E3BDAC7" w14:textId="7C95280D"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Ciljevi sanacije iz stavka 1. ovoga članka jesu:</w:t>
      </w:r>
    </w:p>
    <w:p w14:paraId="00B26DF2" w14:textId="05387AAD"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osiguravanje kontinuiteta ključnih funkcija</w:t>
      </w:r>
    </w:p>
    <w:p w14:paraId="77E0BC39" w14:textId="5BE15D23"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izbjegavanje većeg štetnog učinka na financijsku stabilnost, posebno sprječavanjem širenja štetnih učinaka na financijski sustav, uključujući i njihovo širenje na tržišnu infrastrukturu, te održavanje tržišne discipline i funkcioniranja sustava namire</w:t>
      </w:r>
    </w:p>
    <w:p w14:paraId="4C6B6B1C" w14:textId="562132DF"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zaštita javnih sredstava tako da se na najmanju moguću mjeru svede oslanjanje na izvanrednu javnu financijsku potporu</w:t>
      </w:r>
    </w:p>
    <w:p w14:paraId="4A151389" w14:textId="36138B34"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zaštita sredstava i imovine sudionika središnjeg depozitorija, njihovih klijenata i zakonitih imatelja u smislu članka 528. ovoga Zakona i</w:t>
      </w:r>
    </w:p>
    <w:p w14:paraId="7CB29D8E" w14:textId="2CA4F027"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osiguranje urednog funkcioniranja sustava namire u Republici Hrvatskoj.</w:t>
      </w:r>
    </w:p>
    <w:p w14:paraId="2FB47A11" w14:textId="259A407A"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762E3867" w14:textId="770F428B"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Opća načela sanacije</w:t>
      </w:r>
    </w:p>
    <w:p w14:paraId="24546EB0" w14:textId="05A7F139"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600.</w:t>
      </w:r>
    </w:p>
    <w:p w14:paraId="3F474F47" w14:textId="0AF441D5"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Agencija pri primjeni sanacijskih instrumenata i izvršavanju ovlasti za sanaciju osigurava da se sanacija provodi u skladu sa sljedećim načelima:</w:t>
      </w:r>
    </w:p>
    <w:p w14:paraId="5759FDBC" w14:textId="75779757"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dioničari središnjeg depozitorija u sanaciji prvi snose gubitke</w:t>
      </w:r>
    </w:p>
    <w:p w14:paraId="799A39B1" w14:textId="2B45D569"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vjerovnici središnjeg depozitorija u sanaciji snose gubitke nakon dioničara u skladu s redoslijedom prvenstva njihovih tražbina u skladu sa zakonom kojim se uređuje stečajni postupak</w:t>
      </w:r>
    </w:p>
    <w:p w14:paraId="5300E9B8" w14:textId="054E8BCB"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zamjenjuju se upravljačko tijelo i više rukovodstvo središnjeg depozitorija u sanaciji, osim u slučajevima kada je zadržavanje upravljačkog tijela ili višeg rukovodstva zbog pružanja sveobuhvatne potrebne pomoći nužno za postizanje ciljeva sanacije</w:t>
      </w:r>
    </w:p>
    <w:p w14:paraId="3B2CDDCA" w14:textId="72F89EB7"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upravljačko tijelo i više rukovodstvo središnjeg depozitorija u sanaciji dužno je pružiti svu pomoć u cilju postizanja ciljeva sanacije</w:t>
      </w:r>
    </w:p>
    <w:p w14:paraId="5B06D439" w14:textId="73266D5C"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fizičke i pravne osobe koje su odgovorne za propast središnjeg depozitorija snose odgovornost u skladu s odredbama važećih propisa iz područja građanskog ili kaznenog prava</w:t>
      </w:r>
    </w:p>
    <w:p w14:paraId="2E95FC3D" w14:textId="7C7D78BC"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6. vjerovnici u skladu sa zaštitnim mjerama iz članka 620. ovoga Zakona ne trpe veće gubitke od onih koje bi pretrpjeli ako bi nad središnjim depozitorijem bio otvoren stečajni postupak</w:t>
      </w:r>
    </w:p>
    <w:p w14:paraId="73FD7D96" w14:textId="6C6F1CD2"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7. imovina sudionika i njihovih klijenata, te zakonitih imatelja iz članka 592. ovoga Zakona u potpunosti je zaštićena</w:t>
      </w:r>
    </w:p>
    <w:p w14:paraId="1463026A" w14:textId="0EE5437C"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8. sanacijske mjere poduzimaju se u skladu s odredbama o zaštitnim mjerama iz članka 620. ovoga Zakona.</w:t>
      </w:r>
    </w:p>
    <w:p w14:paraId="452D98D9" w14:textId="4FC44755"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15DDECF1" w14:textId="750A3768"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Odgovornost za štetu</w:t>
      </w:r>
    </w:p>
    <w:p w14:paraId="57CEC0FC" w14:textId="00903CA7"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601.</w:t>
      </w:r>
    </w:p>
    <w:p w14:paraId="47782C5B" w14:textId="451C3405"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Agencija i ministarstvo nadležno za financije, njihovi radnici ili bilo koja osoba koju oni ovlaste ne odgovaraju za štetu koja nastane tijekom obavljanja dužnosti u okviru ovoga poglavlja Zakona i propisa donesenih u skladu s ovim poglavljem Zakona, osim ako se dokaže da su određenu radnju učinili ili propustili učiniti namjerno ili krajnjom nepažnjom.</w:t>
      </w:r>
    </w:p>
    <w:p w14:paraId="1C0695F0" w14:textId="7C5398DA"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08F3E094" w14:textId="599A629F"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Procjena mogućnosti stečaja odnosno sanacije središnjeg depozitorija</w:t>
      </w:r>
    </w:p>
    <w:p w14:paraId="2BB96F95" w14:textId="1C441779" w:rsidR="3D3B92E4" w:rsidRPr="000479E9" w:rsidRDefault="3D3B92E4"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Članak 602.</w:t>
      </w:r>
    </w:p>
    <w:p w14:paraId="68CF910C" w14:textId="6D8A80F2"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Za potrebe izrade i ažuriranja sanacijskog plana iz članka 603. ovoga Zakona, Agencija procjenjuje mogućnost provođenja stečajnog postupka odnosno mogućnost za sanaciju svakog središnjeg depozitorija.</w:t>
      </w:r>
    </w:p>
    <w:p w14:paraId="29DF3708" w14:textId="3C03E2E8"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Smatra se da je stečajni postupak moguć, ako je stečaj provediv i opravdan.</w:t>
      </w:r>
    </w:p>
    <w:p w14:paraId="7C456218" w14:textId="3556B38C"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Smatra se da je sanacija moguća ako je provediva i opravdana radi izbjegavanja štetnih posljedica na financijski sustav Republike Hrvatske, druge države članice ili Europske unije u cjelini i radi osiguranja kontinuiteta ključnih funkcija tog središnjeg depozitorija.</w:t>
      </w:r>
    </w:p>
    <w:p w14:paraId="18739A31" w14:textId="277E25F8"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Prilikom procjene iz stavka 1. ovoga članka Agencija je dužna procijeniti barem sljedeće:</w:t>
      </w:r>
    </w:p>
    <w:p w14:paraId="12D76790" w14:textId="3421193F"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u kojoj mjeri je moguće temeljne poslovne linije i ključne funkcije središnjeg depozitorija rasporediti po pravnim osobama</w:t>
      </w:r>
    </w:p>
    <w:p w14:paraId="5BB31981" w14:textId="6C39A8AC"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u kojoj mjeri pravna i korporativna struktura prati temeljne poslovne linije i ključne funkcije</w:t>
      </w:r>
    </w:p>
    <w:p w14:paraId="268882FF" w14:textId="2E6D9359"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u kojoj mjeri je osiguran nužan broj radnika, infrastruktura, financiranje, likvidnost i kapital za potporu temeljnih poslovnih linija i ključnih funkcija te njihovo održavanje</w:t>
      </w:r>
    </w:p>
    <w:p w14:paraId="1ABB1815" w14:textId="4B15F113"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ima li središnji depozitorij sklopljene ugovore o pružanju usluga, koliko su održivi, te u kojoj mjeri su ugovori o pružanju usluga u kojima je središnji depozitorij ugovorna strana provedivi u slučaju sanacije</w:t>
      </w:r>
    </w:p>
    <w:p w14:paraId="040D33B4" w14:textId="51D03803"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u kojoj mjeri središnji depozitorij u slučaju odvajanja ključnih funkcija ili temeljnih poslovnih linija ima utvrđen postupak prijenosa usluga koje su predmet ugovora o pružanju usluga trećim stranama</w:t>
      </w:r>
    </w:p>
    <w:p w14:paraId="283A1915" w14:textId="37BA388E"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6. u kojoj mjeri postoje planovi kontinuiteta poslovanja i mjere za postupanje u kriznim situacijama, a kojima se osigurava kontinuitet pristupa platnim sustavima i sustavima za namiru financijskih instrumenata</w:t>
      </w:r>
    </w:p>
    <w:p w14:paraId="3135B573" w14:textId="7E002E83"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7. u kojoj mjeri središnji depozitorij može osigurati kontinuitet svojih upravljačkih informacijskih sustava u njemu samom ili u novoj pravnoj osobi u slučaju da se ključne funkcije i temeljne poslovne linije odvoje od ostalih funkcija i linija poslovanja</w:t>
      </w:r>
    </w:p>
    <w:p w14:paraId="7BCF8D40" w14:textId="5A4C7B51"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8. je li središnji depozitorij uspostavio odgovarajući postupak kako bi osigurao pružanje ažurne i potpune informacije potrebne za utvrđivanje vjerovnika i informacije o tražbinama koje su zaštićene sustavom zaštite ulagatelja sukladno ovom Zakonu</w:t>
      </w:r>
    </w:p>
    <w:p w14:paraId="742400A3" w14:textId="05BBE514"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9. provedivost instrumenata sanacije kojima se postižu ciljevi sanacije s obzirom na njihovu raspoloživosti i strukturu središnjeg depozitorija</w:t>
      </w:r>
    </w:p>
    <w:p w14:paraId="11FCF11C" w14:textId="204FDD7E"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10. opravdanost uporabe instrumenta sanacije kojim se ispunjavaju ciljevi sanacije, s obzirom na mogući učinak tog instrumenta na vjerovnike, ugovorne strane, klijente i radnike</w:t>
      </w:r>
    </w:p>
    <w:p w14:paraId="5D0C8ED4" w14:textId="2B61E32D"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11. u kojoj mjeri bi sanacija središnjeg depozitorija mogla imati značajan izravan ili neizravan negativan učinak na financijski sustav, povjerenje u tržište ili gospodarstvo, te može li se taj učinak vrednovati</w:t>
      </w:r>
    </w:p>
    <w:p w14:paraId="7647B146" w14:textId="08BC2485"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12. u kojoj mjeri bi primjena instrumenata sanacije i ovlasti za sanaciju mogla spriječiti širenje negativnih učinaka na druge institucije ili na financijska tržišta i</w:t>
      </w:r>
    </w:p>
    <w:p w14:paraId="5A2866A8" w14:textId="05BEAEFF"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13. u kojoj mjeri bi sanacija središnjeg depozitorija mogla imati značajan utjecaj na funkcioniranje platnih sustava i sustava za namiru financijskih instrumenata.</w:t>
      </w:r>
    </w:p>
    <w:p w14:paraId="74BBBB32" w14:textId="2B5A46F0" w:rsidR="3D3B92E4" w:rsidRPr="000479E9" w:rsidRDefault="3D3B92E4"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Iznimno od stavka 4. ovoga članka Agencija može pojednostaviti procjenu mogućnosti provođenja stečajnog postupka odnosno mogućnosti za sanaciju na način da ne procjenjuju sve navedene elemente ako stečajni postupak odnosno sanacija tog središnjeg depozitorija zbog prirode, obuhvata i složenosti poslovanja, dioničarske strukture, profila rizičnosti, veličine, pravnog oblika i statusa, povezanosti s ostalim institucijama ili općenito s financijskim sustavom, neće imati negativan učinak na financijska tržišta, druge institucije ili na uvjete financiranja.</w:t>
      </w:r>
    </w:p>
    <w:p w14:paraId="4B233E69" w14:textId="77777777" w:rsidR="00A91B71" w:rsidRPr="000479E9" w:rsidRDefault="00A91B71" w:rsidP="006B4BB8">
      <w:pPr>
        <w:spacing w:after="0" w:line="240" w:lineRule="auto"/>
        <w:jc w:val="both"/>
        <w:rPr>
          <w:rFonts w:ascii="Times New Roman" w:hAnsi="Times New Roman" w:cs="Times New Roman"/>
          <w:sz w:val="24"/>
          <w:szCs w:val="24"/>
        </w:rPr>
      </w:pPr>
    </w:p>
    <w:p w14:paraId="2600DEEB"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Sanacijski plan</w:t>
      </w:r>
    </w:p>
    <w:p w14:paraId="0A74A1EF" w14:textId="183D5D84"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603.</w:t>
      </w:r>
    </w:p>
    <w:p w14:paraId="05393D04" w14:textId="77777777" w:rsidR="00B9155A" w:rsidRPr="000479E9" w:rsidRDefault="00B9155A" w:rsidP="006B4BB8">
      <w:pPr>
        <w:spacing w:after="0" w:line="240" w:lineRule="auto"/>
        <w:jc w:val="center"/>
        <w:rPr>
          <w:rFonts w:ascii="Times New Roman" w:hAnsi="Times New Roman" w:cs="Times New Roman"/>
          <w:sz w:val="24"/>
          <w:szCs w:val="24"/>
        </w:rPr>
      </w:pPr>
    </w:p>
    <w:p w14:paraId="3775090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Agencija izrađuje nacrt sanacijskog plana za svaki središnji depozitorij.</w:t>
      </w:r>
    </w:p>
    <w:p w14:paraId="1FE7CB5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Agencija dostavlja nacrt sanacijskog plana iz stavka 1. ovoga članka na mišljenje ministarstvu nadležnom za financije te određuje rok za dostavu mišljenja koji ne može biti kraći od mjesec dana. Pri izradi sanacijskog plana Agencija će razmotriti mišljenje ministarstva nadležnog za financije.</w:t>
      </w:r>
    </w:p>
    <w:p w14:paraId="1A70061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Po dobivanju mišljenja ministarstva nadležnog za financije ili nakon isteka roka iz stavka 2. ovoga članka, Upravno vijeće Agencije donosi sanacijski plan.</w:t>
      </w:r>
    </w:p>
    <w:p w14:paraId="56A5AEF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Sažetak ključnih elemenata donesenog sanacijskog plana dostavlja se središnjem depozitoriju na koji se plan odnosi.</w:t>
      </w:r>
    </w:p>
    <w:p w14:paraId="2D37009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Agencija je dužna preispitati i po potrebi izmijeniti sanacijski plan najmanje jednom godišnje te nakon svake značajne promjene pravne ili organizacijske strukture središnjeg depozitorija, njegova poslovanja ili financijskog položaja koji bi mogli značajno utjecati na učinkovitost plana te time stvoriti potrebu za njegovu izmjenu. Na postupak izmjene sanacijskog plana primjenjuje se postupak iz ovoga članka.</w:t>
      </w:r>
    </w:p>
    <w:p w14:paraId="7D5149E6" w14:textId="579FB3EB" w:rsidR="006B4BB8" w:rsidRPr="000479E9" w:rsidRDefault="006B4BB8" w:rsidP="003F14ED">
      <w:pPr>
        <w:spacing w:after="0" w:line="240" w:lineRule="auto"/>
        <w:jc w:val="both"/>
        <w:rPr>
          <w:rFonts w:ascii="Times New Roman" w:hAnsi="Times New Roman" w:cs="Times New Roman"/>
          <w:sz w:val="24"/>
          <w:szCs w:val="24"/>
        </w:rPr>
      </w:pPr>
    </w:p>
    <w:p w14:paraId="467FD1CA"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Sadržaj sanacijskog plana</w:t>
      </w:r>
    </w:p>
    <w:p w14:paraId="30A004BB" w14:textId="08DA583B"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604.</w:t>
      </w:r>
    </w:p>
    <w:p w14:paraId="3B779531" w14:textId="77777777" w:rsidR="00B9155A" w:rsidRPr="000479E9" w:rsidRDefault="00B9155A" w:rsidP="006B4BB8">
      <w:pPr>
        <w:spacing w:after="0" w:line="240" w:lineRule="auto"/>
        <w:jc w:val="center"/>
        <w:rPr>
          <w:rFonts w:ascii="Times New Roman" w:hAnsi="Times New Roman" w:cs="Times New Roman"/>
          <w:sz w:val="24"/>
          <w:szCs w:val="24"/>
        </w:rPr>
      </w:pPr>
    </w:p>
    <w:p w14:paraId="05E2455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Sanacijski plan iz članka 603. ovoga Zakona sadrži moguće sanacijske strategije i opcije za primjenu sanacijskih instrumenata, kao i ostale sanacijske mjere koje Agencija može poduzeti nakon donošenja odluke o otvaranju postupka sanacije nad tim središnjim depozitorijem.</w:t>
      </w:r>
    </w:p>
    <w:p w14:paraId="5489DD8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Nacrt sanacijskog plana uključuje i gdje god je to moguće iskazuje kvantitativno:</w:t>
      </w:r>
    </w:p>
    <w:p w14:paraId="4805AC7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sažetak ključnih elemenata plana</w:t>
      </w:r>
    </w:p>
    <w:p w14:paraId="1CB5175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sažetak bitnih promjena koje su nastupile nakon usvajanja prethodnog sanacijskog plana</w:t>
      </w:r>
    </w:p>
    <w:p w14:paraId="6A4CFF2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prikaz načina na koji bi se ključne funkcije i temeljne poslovne linije mogle pravno i ekonomski odvojiti od ostalih funkcija i poslovnih linija kako bi se osigurao njihov kontinuitet nakon otvaranja postupka sanacije nad institucijom</w:t>
      </w:r>
    </w:p>
    <w:p w14:paraId="26E47A5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procjenu rokova za provedbu svakog pojedinog značajnog dijela plana</w:t>
      </w:r>
    </w:p>
    <w:p w14:paraId="263738C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rezultat procjene iz članka 602. ovoga Zakona i njegovo obrazloženje</w:t>
      </w:r>
    </w:p>
    <w:p w14:paraId="2F89C87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opis postupaka određivanja vrijednosti i utrživosti ključnih funkcija, temeljnih poslovnih linija i imovine institucije</w:t>
      </w:r>
    </w:p>
    <w:p w14:paraId="53DD44F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detaljan opis postupaka kojima se osigurava da su Agenciji dostupne točne i ažurne informacije koje su potrebne za izradu i ažuriranje sanacijskog plana, te za primjenu sanacijskog plana</w:t>
      </w:r>
    </w:p>
    <w:p w14:paraId="6AABA49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opis mogućih načina financiranja različitih sanacijskih strategija</w:t>
      </w:r>
    </w:p>
    <w:p w14:paraId="55D67ED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opis različitih sanacijskih strategija koje bi se mogle primijeniti na različite moguće scenarije, kao i procjenu rokova za njihovu provedbu</w:t>
      </w:r>
    </w:p>
    <w:p w14:paraId="20CDB2B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opis ključnih međuovisnosti</w:t>
      </w:r>
    </w:p>
    <w:p w14:paraId="0E4EB6F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opis mogućih načina zadržavanja pristupa platnim sustavima, sustavima za poravnanje i ostaloj potrebnoj infrastrukturi, te procjenu prenosivosti pozicija klijenata</w:t>
      </w:r>
    </w:p>
    <w:p w14:paraId="7CCD949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 analizu utjecaja provedbe plana na radnike institucije, uključujući procjenu bilo kakvih povezanih troškova i opis predviđenih postupaka savjetovanja s radnicima tijekom postupka sanacije, uzimajući u obzir dijalog sa socijalnim partnerima gdje je to primjereno</w:t>
      </w:r>
    </w:p>
    <w:p w14:paraId="75CB536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plan komunikacije s medijima i javnošću</w:t>
      </w:r>
    </w:p>
    <w:p w14:paraId="144B86B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opis bitnih postupaka i sustava za održavanje kontinuiteta operativnih procesa institucije i</w:t>
      </w:r>
    </w:p>
    <w:p w14:paraId="307CBEE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 mišljenje institucije vezano za sanacijski plan, ako je primjenjivo.</w:t>
      </w:r>
    </w:p>
    <w:p w14:paraId="3CB561C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Iznimno od stavka 1. ovoga članka, Agencija može pojednostaviti sadržaj sanacijskog plana ako provođenje stečajnog postupka odnosno sanacija tog središnjeg depozitorija zbog prirode, obuhvata i složenosti posla koji taj središnji depozitorij obavlja, njegove dioničarske strukture, profila rizičnosti, veličine, pravnog oblika i statusa, međusobne povezanosti s ostalim institucijama ili općenito s financijskim sustavom, taj središnji depozitorij neće imati negativan učinak na financijska tržišta ili druge institucije.</w:t>
      </w:r>
    </w:p>
    <w:p w14:paraId="1574639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Sanacijski instrumenti su:</w:t>
      </w:r>
    </w:p>
    <w:p w14:paraId="2D1E357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instrument prodaje</w:t>
      </w:r>
    </w:p>
    <w:p w14:paraId="7AF6996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instrument prijelazne institucije</w:t>
      </w:r>
    </w:p>
    <w:p w14:paraId="61680FE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instrument odvajanja imovine</w:t>
      </w:r>
    </w:p>
    <w:p w14:paraId="7038260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instrument unutarnje sanacije (»bail in«)</w:t>
      </w:r>
    </w:p>
    <w:p w14:paraId="3518C5F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u slučaju sistemske krize, državni instrumenti financijske stabilizacije i</w:t>
      </w:r>
    </w:p>
    <w:p w14:paraId="126EAD4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drugi instrumenti koji su usklađeni s člancima 599. i 600. ovoga Zakona.</w:t>
      </w:r>
    </w:p>
    <w:p w14:paraId="3AF9765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Agencija pravilnikom detaljnije propisuje izradu i rokove donošenja plana sanacije, kao i sadržaj plana sanacije i sanacijske instrumente koji se mogu primijeniti na središnji depozitorij u sanaciji.</w:t>
      </w:r>
    </w:p>
    <w:p w14:paraId="470B9BF1" w14:textId="7579BCA3" w:rsidR="2B3481CE" w:rsidRPr="000479E9" w:rsidRDefault="2B3481CE" w:rsidP="2B3481CE">
      <w:pPr>
        <w:spacing w:after="0" w:line="240" w:lineRule="auto"/>
        <w:jc w:val="both"/>
        <w:rPr>
          <w:rFonts w:ascii="Times New Roman" w:hAnsi="Times New Roman" w:cs="Times New Roman"/>
          <w:sz w:val="24"/>
          <w:szCs w:val="24"/>
        </w:rPr>
      </w:pPr>
    </w:p>
    <w:p w14:paraId="2312EE18" w14:textId="35A462BC"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Informacije potrebne za izradu sanacijskih planova</w:t>
      </w:r>
    </w:p>
    <w:p w14:paraId="03872600" w14:textId="222DD808"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605.</w:t>
      </w:r>
    </w:p>
    <w:p w14:paraId="53C566C6" w14:textId="77777777" w:rsidR="002B26AF" w:rsidRPr="000479E9" w:rsidRDefault="002B26AF" w:rsidP="00F01D72">
      <w:pPr>
        <w:spacing w:before="72" w:after="72" w:line="240" w:lineRule="auto"/>
        <w:jc w:val="center"/>
        <w:rPr>
          <w:rFonts w:ascii="Times New Roman" w:eastAsiaTheme="minorEastAsia" w:hAnsi="Times New Roman" w:cs="Times New Roman"/>
          <w:sz w:val="24"/>
          <w:szCs w:val="24"/>
        </w:rPr>
      </w:pPr>
    </w:p>
    <w:p w14:paraId="74236454" w14:textId="5E15F58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Središnji depozitorij je dužan na zahtjev Agencije:</w:t>
      </w:r>
    </w:p>
    <w:p w14:paraId="77E048FB" w14:textId="392B689F"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dostaviti sve informacije potrebne za izradu, izmjenu i provedbu sanacijskog plana i</w:t>
      </w:r>
    </w:p>
    <w:p w14:paraId="346EFC63" w14:textId="08B30CA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surađivati i, ako je to potrebno, pomoći pri izradi i ažuriranju sanacijskog plana.</w:t>
      </w:r>
    </w:p>
    <w:p w14:paraId="20E8E95A" w14:textId="07BA718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Središnji depozitorij je dužan obavijestiti Agenciju o svakoj promjeni pravne ili organizacijske strukture središnjeg depozitorija, njegova poslovanja ili financijskog položaja te o svakoj drugoj promjeni koja bi mogla stvoriti potrebu za izmjenom sanacijskog plana, a osobito ako značajno utječe na učinkovitost tog plana.</w:t>
      </w:r>
    </w:p>
    <w:p w14:paraId="551C33BF" w14:textId="41D7AD7D"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Agencija pravilnikom detaljnije propisuje sadržaj izvješća, rokove i način izvješćivanja o informacijama potrebnim za izradu i izmjenu sanacijskog plana iz stavka 1. točke 1. ovoga članka.</w:t>
      </w:r>
    </w:p>
    <w:p w14:paraId="7CFD0453" w14:textId="678B47A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0C60EC2C" w14:textId="0241A363"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Donošenje odluke o sanaciji ili stečaju</w:t>
      </w:r>
    </w:p>
    <w:p w14:paraId="7C3285A0" w14:textId="282F04F8"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606.</w:t>
      </w:r>
    </w:p>
    <w:p w14:paraId="2EDE535F" w14:textId="77777777" w:rsidR="002B26AF" w:rsidRPr="000479E9" w:rsidRDefault="002B26AF" w:rsidP="00F01D72">
      <w:pPr>
        <w:spacing w:before="72" w:after="72" w:line="240" w:lineRule="auto"/>
        <w:jc w:val="center"/>
        <w:rPr>
          <w:rFonts w:ascii="Times New Roman" w:hAnsi="Times New Roman" w:cs="Times New Roman"/>
          <w:sz w:val="24"/>
          <w:szCs w:val="24"/>
        </w:rPr>
      </w:pPr>
    </w:p>
    <w:p w14:paraId="4D6A3748" w14:textId="028C0E9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Agencija, kao nadležno tijelo, utvrđuje da središnji depozitorij propada ili će vjerojatno propasti ako je ispunjen jedan ili više sljedećih uvjeta:</w:t>
      </w:r>
    </w:p>
    <w:p w14:paraId="21982712" w14:textId="6B609436"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postoje razlozi za ukidanje odobrenja za rad središnjeg depozitorija ili postoje objektivne okolnosti koje upućuju da će nastupiti razlozi za ukidanje odobrenja za rad, uključujući i okolnosti koje upućuju da je središnji depozitorij ostvario ili će vjerojatno ostvariti gubitke koji prelaze značajan dio ili cijeli iznos regulatornog kapitala ili</w:t>
      </w:r>
    </w:p>
    <w:p w14:paraId="22D42E2D" w14:textId="643E311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imovina središnjeg depozitorija je manja od njegovih obveza ili postoje objektivne okolnosti na temelju kojih se utvrđuje da će imovina središnjeg depozitorija uskoro biti manja od njegovih obveza ili</w:t>
      </w:r>
    </w:p>
    <w:p w14:paraId="418973E0" w14:textId="5104FBAC"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središnji depozitorij nije u mogućnosti ispunjavati svoje obveze o njihovu dospijeću ili postoje objektivne okolnosti koje upućuju da ih uskoro neće moći ispunjavati ili</w:t>
      </w:r>
    </w:p>
    <w:p w14:paraId="3252ED2F" w14:textId="4D33CE6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4. je nužna izvanredna javna financijska potpora, osim ako se, kako bi se otklonila ozbiljna smetnja u gospodarstvu i održala financijska stabilnost, ta izvanredna javna financijska potpora daje u nekom od sljedećih oblika:</w:t>
      </w:r>
    </w:p>
    <w:p w14:paraId="7FB35B15" w14:textId="3EB9DD3F"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a) kada središnji depozitorij ima odobrenje za rad kao kreditna institucija sukladno zakonu kojim se uređuje osnivanje i poslovanje kreditnih institucija, državno jamstvo za likvidnosnu potporu koju daje Hrvatska narodna banka u skladu s uvjetima koje je sama odredila</w:t>
      </w:r>
    </w:p>
    <w:p w14:paraId="192CB4D4" w14:textId="682F932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b) državno jamstvo za novoizdane obveze institucije ili</w:t>
      </w:r>
    </w:p>
    <w:p w14:paraId="09921352" w14:textId="3C358CF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c) ulaganje u regulatorni kapital ili kupnja instrumenata kapitala po tržišnim cijenama i pod tržišnim uvjetima, ako u vrijeme odobrenja javne potpore ne postoje ni okolnosti utvrđene u točkama 1., 2. i 3. ovoga stavka niti okolnosti za smanjenje vrijednosti kapitala.</w:t>
      </w:r>
    </w:p>
    <w:p w14:paraId="36D40CCE" w14:textId="23D54B9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Izvanredna javna financijska potpora iz stavka 1. točke 4. ovoga članka mora ispunjavati sljedeće uvjete:</w:t>
      </w:r>
    </w:p>
    <w:p w14:paraId="21F9098C" w14:textId="4DA176E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odnosi se na potpore solventnoj instituciji odobrene u skladu s pravnim okvirom Europske unije za državne potpore</w:t>
      </w:r>
    </w:p>
    <w:p w14:paraId="2DB9802D" w14:textId="4B4ED7CC"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poduzete mjere su privremenog karaktera i razmjerne su otklanjanju posljedica ozbiljnog financijskog poremećaja i</w:t>
      </w:r>
    </w:p>
    <w:p w14:paraId="763E10A6" w14:textId="78C98259"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poduzete mjere ne koriste se radi nadoknade gubitaka koje je institucija ostvarila ili je vjerojatno da će ih uskoro ostvariti.</w:t>
      </w:r>
    </w:p>
    <w:p w14:paraId="35293913" w14:textId="31EE89ED"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Izvanredna javna financijska potpora iz stavka 1. točke 4. ovoga članka koja se daje u obliku ulaganja u regulatorni kapital ili kupnje instrumenata kapitala odnosi se na ulaganja potrebna radi nadoknađivanja manjka regulatornog kapitala utvrđenog u procjenama koje provodi Agencija.</w:t>
      </w:r>
    </w:p>
    <w:p w14:paraId="741CC7CE" w14:textId="4826F02D"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Upravno vijeće Agencije donosi odluku o otvaranju postupka sanacije nad središnjim depozitorijem ako je utvrđeno da su ispunjeni svi sljedeći uvjeti:</w:t>
      </w:r>
    </w:p>
    <w:p w14:paraId="1FA73E49" w14:textId="57F327C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središnji depozitorij propada ili će vjerojatno propasti</w:t>
      </w:r>
    </w:p>
    <w:p w14:paraId="2D8926E1" w14:textId="777529C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nije razumno očekivati da bi druge mjere privatnog sektora ili nadzorne mjere spriječile njegovu propast u razumnom vremenskom razdoblju i</w:t>
      </w:r>
    </w:p>
    <w:p w14:paraId="3C3F55A8" w14:textId="34CCE4E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sanacijskim planom je bilo predviđeno da je sanacija nužna u javnom interesu.</w:t>
      </w:r>
    </w:p>
    <w:p w14:paraId="3A99A539" w14:textId="23699CD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Odluka iz stavka 4. ovoga članka sadrži obrazloženje ispunjenja uvjeta iz stavka 1. ovoga članka.</w:t>
      </w:r>
    </w:p>
    <w:p w14:paraId="32F5D8E6" w14:textId="06E462C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(6) Za središnji depozitorij za koji u skladu sa stavkom 4. ovoga članka utvrdi da propada ili će vjerojatno propasti, Agencija može podnijeti prijedlog za otvaranje stečajnog postupka nadležnom sudu odnosno donijeti odluku o pokretanju prisilne likvidacije ako je donesenim sanacijskim planom utvrđeno da sanacija nije nužna u javnom interesu, te je predviđeno da u slučaju da su uvjeti iz stavka 1. ovoga članka ispunjeni institucija neće biti sanirana već će se nad njom pokrenuti stečajni postupak odnosno postupak prisilne likvidacije.</w:t>
      </w:r>
    </w:p>
    <w:p w14:paraId="5EC0A317" w14:textId="187D6A2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(7) O odluci iz stavka 1. ovoga članka Agencija je dužna bez odgađanja obavijestiti ministarstvo nadležno za financije i vijeće nadležno za financijsku stabilnost.</w:t>
      </w:r>
    </w:p>
    <w:p w14:paraId="1667326D" w14:textId="6786031E"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 xml:space="preserve"> </w:t>
      </w:r>
    </w:p>
    <w:p w14:paraId="2827B623" w14:textId="702FA397"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Javna objava i dostava odluka u postupku sanacije</w:t>
      </w:r>
    </w:p>
    <w:p w14:paraId="58C7CB4A" w14:textId="2508711A"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607.</w:t>
      </w:r>
    </w:p>
    <w:p w14:paraId="4FE7B4AE" w14:textId="77777777" w:rsidR="002B26AF" w:rsidRPr="000479E9" w:rsidRDefault="002B26AF" w:rsidP="00F01D72">
      <w:pPr>
        <w:spacing w:before="72" w:after="72" w:line="240" w:lineRule="auto"/>
        <w:jc w:val="center"/>
        <w:rPr>
          <w:rFonts w:ascii="Times New Roman" w:hAnsi="Times New Roman" w:cs="Times New Roman"/>
          <w:sz w:val="24"/>
          <w:szCs w:val="24"/>
        </w:rPr>
      </w:pPr>
    </w:p>
    <w:p w14:paraId="373880FC" w14:textId="39BA2177"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Agencija je dužna na svojim internetskim stranicama objaviti odluku o otvaranju postupka sanacije i sve naknadne odluke kojima se provodi odluka o otvaranju postupka sanacije.</w:t>
      </w:r>
    </w:p>
    <w:p w14:paraId="3DF90242" w14:textId="7FEF2A3D"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Središnji depozitorij nad kojim se provodi sanacija dužan je na svojim internetskim stranicama objaviti odluku o otvaranju postupka sanacije i sve naknadne odluke kojima se provodi odluka o otvaranju postupka sanacije.</w:t>
      </w:r>
    </w:p>
    <w:p w14:paraId="31755C7A" w14:textId="1942343F"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Agencija je dužna bez odgode središnjem depozitoriju u sanaciji dostaviti sve odluke koje donosi radi provedbe odluke o otvaranju postupka sanacije, a središnjim depozitorij u sanaciji dužan je bez odgađanja o tome obavijestiti osobe na koje se odluka odnosi u dijelu u kojem se odluka na njih odnosi.</w:t>
      </w:r>
    </w:p>
    <w:p w14:paraId="4DDE38E9" w14:textId="19FB7A67"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Pravni učinci odluka iz stavka 3. ovoga članka nastupaju danom donošenja odluke i primjenjuje se pravo na pravni lijek propisan člankom 608. ovoga Zakona.</w:t>
      </w:r>
    </w:p>
    <w:p w14:paraId="2B89B551" w14:textId="126B90EB"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6C1E9041" w14:textId="3900E068"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Pravo na pobijanje odluke o otvaranju postupka sanacije</w:t>
      </w:r>
    </w:p>
    <w:p w14:paraId="4F39F5F2" w14:textId="14C25917"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608.</w:t>
      </w:r>
    </w:p>
    <w:p w14:paraId="7EE08205" w14:textId="77777777" w:rsidR="002B26AF" w:rsidRPr="000479E9" w:rsidRDefault="002B26AF" w:rsidP="00F01D72">
      <w:pPr>
        <w:spacing w:before="72" w:after="72" w:line="240" w:lineRule="auto"/>
        <w:jc w:val="center"/>
        <w:rPr>
          <w:rFonts w:ascii="Times New Roman" w:hAnsi="Times New Roman" w:cs="Times New Roman"/>
          <w:sz w:val="24"/>
          <w:szCs w:val="24"/>
        </w:rPr>
      </w:pPr>
    </w:p>
    <w:p w14:paraId="07B1AF7D" w14:textId="4C80D03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Protiv odluke o otvaranju postupka sanacije iz članka 606. stavka 1. ovoga Zakona odnosno svih odluka koje Agencija donosi u cilju provedbe odluke o otvaranju postupka sanacije, nije dopuštena žalba, ali fizička i pravna osoba čija su prava i pravni interesi povrijeđeni donošenjem takve odluke može podnijeti tužbu nadležnom upravnom sudu u roku od 30 dana od dana dostave navedene odluke.</w:t>
      </w:r>
    </w:p>
    <w:p w14:paraId="1AD76150" w14:textId="2DB4DDF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Osobama kojima se odluka o otvaranju postupka sanacije iz članka 606. stavka 1. ovoga Zakona dostavlja javnom objavom rok iz stavka 1. ovoga članka počinje teći istekom osmog dana od dana javne objave iz članka 607. stavka 1. ovoga Zakona.</w:t>
      </w:r>
    </w:p>
    <w:p w14:paraId="5443C0D6" w14:textId="32CDD6C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Podnošenje tužbe iz stavka 1. ovoga članka ne odgađa izvršenje odluke o otvaranju postupka sanacije odnosno ostalih odluka koje Agencija donosi u cilju provedbe odluke o otvaranju postupka sanacije niti sud može izreći privremenu mjeru odgode izvršenja.</w:t>
      </w:r>
    </w:p>
    <w:p w14:paraId="62758F59" w14:textId="6FAAB0D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Nadležni upravni sud o tužbi iz stavka 1. ovoga članka odlučuje hitno, a najkasnije u roku od 90 dana od dana njezina primitka.</w:t>
      </w:r>
    </w:p>
    <w:p w14:paraId="6D296C28" w14:textId="49D6497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Nadležni upravni sud pri odlučivanju o tužbi uzet će u obzir detaljnu i sveobuhvatnu procjenu financijskog stanja središnjeg depozitorija koju je provela Agencija.</w:t>
      </w:r>
    </w:p>
    <w:p w14:paraId="64C85DB2" w14:textId="7C1B7216"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(6) Ako upravni sud donese odluku kojom u cijelosti ili djelomično poništava ili oglašava ništavom odluku o sanaciji ili drugu pojedinačnu odluku donesenu na temelju odluke o sanaciji, učinci takve odluke ostat će na snazi do donošenja nove odluke </w:t>
      </w:r>
      <w:r w:rsidRPr="000479E9">
        <w:rPr>
          <w:rFonts w:ascii="Times New Roman" w:eastAsiaTheme="minorEastAsia" w:hAnsi="Times New Roman" w:cs="Times New Roman"/>
          <w:sz w:val="24"/>
          <w:szCs w:val="24"/>
        </w:rPr>
        <w:lastRenderedPageBreak/>
        <w:t>koja će zamijeniti odluku koja je poništena ili oglašena ništavnom. Agencija po primitku odluke upravnog suda može odrediti mjere radi umanjenja štete koja bi nastala daljnjom primjenom odluke koja je poništena ili oglašena ništavom.</w:t>
      </w:r>
    </w:p>
    <w:p w14:paraId="46F749D5" w14:textId="5005DC43"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49EE6433" w14:textId="59933C99"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Obveza obavještavanja</w:t>
      </w:r>
    </w:p>
    <w:p w14:paraId="18E7E5E3" w14:textId="5B4F4D69"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609.</w:t>
      </w:r>
    </w:p>
    <w:p w14:paraId="0C599355" w14:textId="77777777" w:rsidR="002B26AF" w:rsidRPr="000479E9" w:rsidRDefault="002B26AF" w:rsidP="00F01D72">
      <w:pPr>
        <w:spacing w:before="72" w:after="72" w:line="240" w:lineRule="auto"/>
        <w:jc w:val="center"/>
        <w:rPr>
          <w:rFonts w:ascii="Times New Roman" w:hAnsi="Times New Roman" w:cs="Times New Roman"/>
          <w:sz w:val="24"/>
          <w:szCs w:val="24"/>
        </w:rPr>
      </w:pPr>
    </w:p>
    <w:p w14:paraId="29C6BC35" w14:textId="412FF4BD"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Središnji depozitorij sa sjedištem u Republici Hrvatskoj dužan je odmah obavijestiti Agenciju kada smatra da ispunjava neki od uvjeta iz članka 606. stavka 1. ovoga Zakona.</w:t>
      </w:r>
    </w:p>
    <w:p w14:paraId="78850C5E" w14:textId="005D942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2E03FA32" w14:textId="7B29093F"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Sanacijska uprava</w:t>
      </w:r>
    </w:p>
    <w:p w14:paraId="095B2301" w14:textId="65360352"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610.</w:t>
      </w:r>
    </w:p>
    <w:p w14:paraId="642A3D53" w14:textId="77777777" w:rsidR="002B26AF" w:rsidRPr="000479E9" w:rsidRDefault="002B26AF" w:rsidP="00F01D72">
      <w:pPr>
        <w:spacing w:before="72" w:after="72" w:line="240" w:lineRule="auto"/>
        <w:jc w:val="center"/>
        <w:rPr>
          <w:rFonts w:ascii="Times New Roman" w:hAnsi="Times New Roman" w:cs="Times New Roman"/>
          <w:sz w:val="24"/>
          <w:szCs w:val="24"/>
        </w:rPr>
      </w:pPr>
    </w:p>
    <w:p w14:paraId="738D82BF" w14:textId="013DD5B3"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Agencija će unutar odluke iz članka 606. stavka 1. ovoga Zakona imenovati sanacijsku upravu središnjeg depozitorija u sanaciji.</w:t>
      </w:r>
    </w:p>
    <w:p w14:paraId="008669BD" w14:textId="5DFF5092"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Pravni učinci imenovanja sanacijske uprave stupaju na snagu trenutkom navedenim u izrijeci odluke o otvaranju postupka sanacije.</w:t>
      </w:r>
    </w:p>
    <w:p w14:paraId="6CBECF32" w14:textId="27346B2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Sanacijska uprava mora imati najmanje dva člana, od kojih je jedan predsjednik sanacijske uprave. Član sanacijske uprave može biti samo osoba koja ima odgovarajuća stručna znanja, sposobnost i iskustvo potrebne za vođenje poslova institucije, te koja ispunjava uvjete za člana uprave prema odredbama zakona kojim se uređuje osnivanje i ustroj trgovačkih društava.</w:t>
      </w:r>
    </w:p>
    <w:p w14:paraId="66A3121D" w14:textId="69FDFE9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Na imenovanje sanacijske uprave ne primjenjuju se odredbe o uvjetima za imenovanje i davanje prethodne suglasnosti članovima uprave središnjeg depozitorija na način kako je uređeno propisima koji uređuju poslovanje središnjeg depozitorija.</w:t>
      </w:r>
    </w:p>
    <w:p w14:paraId="0DE611EB" w14:textId="7E8B6C76"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2850218E" w14:textId="369B349E"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Ovlasti sanacijske uprave</w:t>
      </w:r>
    </w:p>
    <w:p w14:paraId="2D4ED38D" w14:textId="780B822A"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611.</w:t>
      </w:r>
    </w:p>
    <w:p w14:paraId="6C8D732D" w14:textId="77777777" w:rsidR="002B26AF" w:rsidRPr="000479E9" w:rsidRDefault="002B26AF" w:rsidP="00F01D72">
      <w:pPr>
        <w:spacing w:before="72" w:after="72" w:line="240" w:lineRule="auto"/>
        <w:jc w:val="center"/>
        <w:rPr>
          <w:rFonts w:ascii="Times New Roman" w:hAnsi="Times New Roman" w:cs="Times New Roman"/>
          <w:sz w:val="24"/>
          <w:szCs w:val="24"/>
        </w:rPr>
      </w:pPr>
    </w:p>
    <w:p w14:paraId="78A73133" w14:textId="09537C2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Sanacijska uprava dužna je poduzimati sve potrebne mjere za ostvarivanje ciljeva sanacije iz članka 599. ovoga Zakona i provođenja sanacijskih mjera u skladu s odlukom o otvaranju postupka sanacije. Te mjere mogu uključivati povećanje kapitala, promjenu vlasničke strukture institucije ili preuzimanje njezine imovine, prava ili obveza od strane institucija koje su financijski i organizacijski stabilne, a u skladu s odabranim sanacijskim instrumentom.</w:t>
      </w:r>
    </w:p>
    <w:p w14:paraId="36D5D370" w14:textId="4E4A22A9"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Obveze iz stavka 1. ovoga članka, ako se razlikuju, imaju prednost u odnosu na sve druge obveze koje proizlaze iz propisa ili internih akata središnjeg depozitorija.</w:t>
      </w:r>
    </w:p>
    <w:p w14:paraId="732D5FCB" w14:textId="2169795F"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(3) Obveze iz stavka 2. ovoga članka, a koje proizlaze iz drugih propisa odnosno internih akata, sanacijska uprava dužna je izvršiti odmah po prestanku razloga zbog </w:t>
      </w:r>
      <w:r w:rsidRPr="000479E9">
        <w:rPr>
          <w:rFonts w:ascii="Times New Roman" w:eastAsiaTheme="minorEastAsia" w:hAnsi="Times New Roman" w:cs="Times New Roman"/>
          <w:sz w:val="24"/>
          <w:szCs w:val="24"/>
        </w:rPr>
        <w:lastRenderedPageBreak/>
        <w:t>kojeg je njihovo izvršavanje ugrozilo ili moglo ugroziti ispunjavanje obveza iz stavka 1. ovoga članka.</w:t>
      </w:r>
    </w:p>
    <w:p w14:paraId="4BD7B7F7" w14:textId="64014CA9"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672858A4" w14:textId="061A33A8"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Imenovanje sanacijske uprave</w:t>
      </w:r>
    </w:p>
    <w:p w14:paraId="277679E5" w14:textId="11BD773E"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612.</w:t>
      </w:r>
    </w:p>
    <w:p w14:paraId="2C943062" w14:textId="77777777" w:rsidR="0035144A" w:rsidRPr="000479E9" w:rsidRDefault="0035144A" w:rsidP="00F01D72">
      <w:pPr>
        <w:spacing w:before="72" w:after="72" w:line="240" w:lineRule="auto"/>
        <w:jc w:val="center"/>
        <w:rPr>
          <w:rFonts w:ascii="Times New Roman" w:hAnsi="Times New Roman" w:cs="Times New Roman"/>
          <w:sz w:val="24"/>
          <w:szCs w:val="24"/>
        </w:rPr>
      </w:pPr>
    </w:p>
    <w:p w14:paraId="7B70B092" w14:textId="60F5081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Odluka o otvaranju postupka sanacije u dijelu kojim se imenuje sanacijska uprava sadrži najmanje:</w:t>
      </w:r>
    </w:p>
    <w:p w14:paraId="52407299" w14:textId="5C77681C"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imenovanje predsjednika i članova sanacijske uprave</w:t>
      </w:r>
    </w:p>
    <w:p w14:paraId="770639D2" w14:textId="4370F2DC"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imenovanje pomoćnika sanacijske uprave</w:t>
      </w:r>
    </w:p>
    <w:p w14:paraId="447429E4" w14:textId="15CCCB9E"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određenje razdoblja trajanja mandata sanacijske uprave i</w:t>
      </w:r>
    </w:p>
    <w:p w14:paraId="56D3C1E1" w14:textId="7FD887A9"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određenje sadržaja i rokova za dostavu izvješća Agenciji u vezi s ekonomskim i financijskim stanjem središnjeg depozitorija i mjerama koje je sanacijska uprava provela prilikom izvršavanja svojih dužnosti i to u redovitim vremenskim intervalima koje odredi Agencija te na početku i na kraju svojeg mandata.</w:t>
      </w:r>
    </w:p>
    <w:p w14:paraId="21B4AF58" w14:textId="72F42E9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Pomoćnici sanacijske uprave obavljaju pomoćne, administrativne i tehničke poslove po nalogu sanacijske uprave. Pomoćnici sanacijske uprave nisu članovi sanacijske uprave</w:t>
      </w:r>
    </w:p>
    <w:p w14:paraId="30728262" w14:textId="5302FB8C"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Sanacijska uprava i njezini pomoćnici imenuju se na razdoblje koje ne može biti duže od 12 mjeseci. To razdoblje Agencija može iznimno produžiti jednom ili više puta na razdoblje koje ne može biti duže od 12 mjeseci ako utvrdi da i dalje postoje razlozi za imenovanje sanacijske uprave.</w:t>
      </w:r>
    </w:p>
    <w:p w14:paraId="16A471D6" w14:textId="69E756CB"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7EE06EAE" w14:textId="36D1F499"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Prava i obveze članova sanacijske uprave</w:t>
      </w:r>
    </w:p>
    <w:p w14:paraId="08963A1A" w14:textId="3780BA6B"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613.</w:t>
      </w:r>
    </w:p>
    <w:p w14:paraId="607C67BF" w14:textId="77777777" w:rsidR="0035144A" w:rsidRPr="000479E9" w:rsidRDefault="0035144A" w:rsidP="00F01D72">
      <w:pPr>
        <w:spacing w:before="72" w:after="72" w:line="240" w:lineRule="auto"/>
        <w:jc w:val="center"/>
        <w:rPr>
          <w:rFonts w:ascii="Times New Roman" w:hAnsi="Times New Roman" w:cs="Times New Roman"/>
          <w:sz w:val="24"/>
          <w:szCs w:val="24"/>
        </w:rPr>
      </w:pPr>
    </w:p>
    <w:p w14:paraId="2124A768" w14:textId="35FD0F9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Tijekom razdoblja mandata sanacijske uprave Agencija će razriješiti imenovanog člana ili pomoćnika sanacijske uprave ako on ne obavlja svoju dužnost ili je ne obavlja na zadovoljavajući način, kao i zbog drugih opravdanih razloga te imenovati novoga člana ili pomoćnika sanacijske uprave, čiji mandat može trajati najduže do isteka započetog mandata sanacijske uprave.</w:t>
      </w:r>
    </w:p>
    <w:p w14:paraId="39523854" w14:textId="6BE2930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Prava i obveze članova sanacijske uprave počinju danom donošenja odluke o otvaranju postupka sanacije bez obzira na upis u sudski registar.</w:t>
      </w:r>
    </w:p>
    <w:p w14:paraId="437E0318" w14:textId="0A08540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Članovi sanacijske uprave zastupaju središnji depozitorij u sanaciji pojedinačno i samostalno.</w:t>
      </w:r>
    </w:p>
    <w:p w14:paraId="1FD61B2D" w14:textId="35D6A4D6"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Članovi i pomoćnici sanacijske uprave imaju pravo na naknadu za svoj rad, koju isplaćuje središnji depozitorij u sanaciji.</w:t>
      </w:r>
    </w:p>
    <w:p w14:paraId="45AC8798" w14:textId="47AE308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(5) Mandat sanacijske uprave prestaje:</w:t>
      </w:r>
    </w:p>
    <w:p w14:paraId="1A2455F9" w14:textId="4AA3A5E2"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danom dostave odluke o okončanju postupka sanacije</w:t>
      </w:r>
    </w:p>
    <w:p w14:paraId="13145084" w14:textId="1EB1ED22"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istekom roka na koji je imenovana</w:t>
      </w:r>
    </w:p>
    <w:p w14:paraId="60A4CEF8" w14:textId="71E40560"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3. danom donošenja odluke o otvaranju stečajnog postupka ili</w:t>
      </w:r>
    </w:p>
    <w:p w14:paraId="29B44ACC" w14:textId="716E869B"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danom dostave odluke o imenovanju likvidatora.</w:t>
      </w:r>
    </w:p>
    <w:p w14:paraId="59060C59" w14:textId="6499A0A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(6) Danom prestanka mandata sanacijske uprave prestaje i mandat pomoćnika sanacijske uprave.</w:t>
      </w:r>
    </w:p>
    <w:p w14:paraId="7483BEB1" w14:textId="48328727"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013BDFD7" w14:textId="5271A72C"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Upis u sudski registar i objavljivanje odluke imenovanja sanacijske uprave</w:t>
      </w:r>
    </w:p>
    <w:p w14:paraId="25794080" w14:textId="2D19ED5A"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614.</w:t>
      </w:r>
    </w:p>
    <w:p w14:paraId="56B36CCC" w14:textId="77777777" w:rsidR="0035144A" w:rsidRPr="000479E9" w:rsidRDefault="0035144A" w:rsidP="00F01D72">
      <w:pPr>
        <w:spacing w:before="72" w:after="72" w:line="240" w:lineRule="auto"/>
        <w:jc w:val="center"/>
        <w:rPr>
          <w:rFonts w:ascii="Times New Roman" w:hAnsi="Times New Roman" w:cs="Times New Roman"/>
          <w:sz w:val="24"/>
          <w:szCs w:val="24"/>
        </w:rPr>
      </w:pPr>
    </w:p>
    <w:p w14:paraId="552B7205" w14:textId="75787686"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Imenovanje sanacijske uprave upisuje se u sudski registar. Istodobno se u sudski registar upisuje promjena osoba ovlaštenih za zastupanje središnjeg depozitorija u sanaciji.</w:t>
      </w:r>
    </w:p>
    <w:p w14:paraId="32E5C5BF" w14:textId="425846AF"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Prijavu za upis podataka iz stavka 1. ovoga članka podnosi sanacijska uprava u roku od tri radna dana od dana donošenja odluke o otvaranju postupka sanacije. Ta odluka prilaže se prijavi.</w:t>
      </w:r>
    </w:p>
    <w:p w14:paraId="749BE7B4" w14:textId="4F4042DE"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51BE0723" w14:textId="54D4C318"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Pravne posljedice imenovanja sanacijske uprave</w:t>
      </w:r>
    </w:p>
    <w:p w14:paraId="125DB09A" w14:textId="580F5526"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615.</w:t>
      </w:r>
    </w:p>
    <w:p w14:paraId="5F427D6D" w14:textId="77777777" w:rsidR="0035144A" w:rsidRPr="000479E9" w:rsidRDefault="0035144A" w:rsidP="00F01D72">
      <w:pPr>
        <w:spacing w:before="72" w:after="72" w:line="240" w:lineRule="auto"/>
        <w:jc w:val="center"/>
        <w:rPr>
          <w:rFonts w:ascii="Times New Roman" w:hAnsi="Times New Roman" w:cs="Times New Roman"/>
          <w:sz w:val="24"/>
          <w:szCs w:val="24"/>
        </w:rPr>
      </w:pPr>
    </w:p>
    <w:p w14:paraId="30E910FD" w14:textId="065BABB2"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Danom donošenja odluke o otvaranju postupka sanacije prestaju sve ovlasti dotadašnjih članova uprave, nadzornog odbora institucije te ovlasti glavne skupštine.</w:t>
      </w:r>
    </w:p>
    <w:p w14:paraId="60223982" w14:textId="62C75B47"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Sanacijska uprava ima sve ovlasti uprave odnosno izvršnih direktora upravnog odbora središnjeg depozitorija u sanaciji. Ovlasti nadzornog odbora odnosno neizvršnih direktora upravnog odbora središnjeg depozitorija u sanaciji i glavne skupštine središnjeg depozitorija u sanaciji izvršava Agencija te se u tom slučaju na nju ne primjenjuju odredbe o uvjetima za imenovanje i davanje prethodne suglasnosti članovima nadzornog odbora središnjeg depozitorija na način kako je uređeno ovim Zakonom.</w:t>
      </w:r>
    </w:p>
    <w:p w14:paraId="2396B05B" w14:textId="636C1DD3"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Danom donošenja odluke o otvaranju postupka sanacije prestaju svi ugovori na temelju kojih su dotadašnji članovi uprave bili zaposleni u tom središnjem depozitoriju.</w:t>
      </w:r>
    </w:p>
    <w:p w14:paraId="7DBE0081" w14:textId="08B3085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U slučaju iz stavka 3. ovoga članka dotadašnji članovi uprave ne ostvaruju pravo na isplatu otpremnine i varijabilnih primitaka, neovisno o tome je li ostvarivanje takvih prava bilo ugovoreno sa središnjim depozitorijem ili je proizlazilo iz drugog akta središnjeg depozitorija te su ugovorene odredbe o takvom pravu na isplatu ništetne.</w:t>
      </w:r>
    </w:p>
    <w:p w14:paraId="5F8D945A" w14:textId="2287C06C"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377FE52C" w14:textId="20FC38FD"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Nalozi i upute sanacijskoj upravi</w:t>
      </w:r>
    </w:p>
    <w:p w14:paraId="3AF38491" w14:textId="0FADB6CB"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616.</w:t>
      </w:r>
    </w:p>
    <w:p w14:paraId="164A30DD" w14:textId="77777777" w:rsidR="0035144A" w:rsidRPr="000479E9" w:rsidRDefault="0035144A" w:rsidP="00F01D72">
      <w:pPr>
        <w:spacing w:before="72" w:after="72" w:line="240" w:lineRule="auto"/>
        <w:jc w:val="center"/>
        <w:rPr>
          <w:rFonts w:ascii="Times New Roman" w:hAnsi="Times New Roman" w:cs="Times New Roman"/>
          <w:sz w:val="24"/>
          <w:szCs w:val="24"/>
        </w:rPr>
      </w:pPr>
    </w:p>
    <w:p w14:paraId="51D5BA38" w14:textId="5B591E4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Agencija je ovlaštena davati sanacijskoj upravi pisane naloge i upute.</w:t>
      </w:r>
    </w:p>
    <w:p w14:paraId="19465DCB" w14:textId="20272F9C"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lastRenderedPageBreak/>
        <w:t>(2) Sanacijska uprava dužna je postupati po nalozima i uputama Agencije i redovito je izvještavati o izvršenju naloga i uputa, a posebice o ekonomskom i financijskom stanju središnjeg depozitorija i mjerama koje je provela prilikom izvršavanja svojih dužnosti, a u rokovima određenim odlukom o otvaranju postupka sanacije.</w:t>
      </w:r>
    </w:p>
    <w:p w14:paraId="418F7436" w14:textId="2F8D9063"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Sanacijska uprava dužna je bez odgode obavijestiti Agenciju o svim okolnostima koje mogu negativno utjecati na ostvarenje ciljeva sanacije iz članka 599. ovoga Zakona i provođenje sanacijskih mjera u skladu s odlukom o otvaranju postupka sanacije.</w:t>
      </w:r>
    </w:p>
    <w:p w14:paraId="262BE840" w14:textId="587B8F3D"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0A5B71FD" w14:textId="5C34E364" w:rsidR="2783EFDF" w:rsidRPr="000479E9" w:rsidRDefault="2783EFDF" w:rsidP="00F01D72">
      <w:pPr>
        <w:spacing w:before="72" w:after="72"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Odgovornost za štetu sanacijske uprave i pomoćnika sanacijske uprave</w:t>
      </w:r>
    </w:p>
    <w:p w14:paraId="1A594782" w14:textId="6168D1EB" w:rsidR="2783EFDF" w:rsidRPr="000479E9" w:rsidRDefault="2783EFDF" w:rsidP="00F01D72">
      <w:pPr>
        <w:spacing w:before="72" w:after="72"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617.</w:t>
      </w:r>
    </w:p>
    <w:p w14:paraId="0D49FC57" w14:textId="77777777" w:rsidR="0035144A" w:rsidRPr="000479E9" w:rsidRDefault="0035144A" w:rsidP="00F01D72">
      <w:pPr>
        <w:spacing w:before="72" w:after="72" w:line="240" w:lineRule="auto"/>
        <w:jc w:val="center"/>
        <w:rPr>
          <w:rFonts w:ascii="Times New Roman" w:hAnsi="Times New Roman" w:cs="Times New Roman"/>
          <w:sz w:val="24"/>
          <w:szCs w:val="24"/>
        </w:rPr>
      </w:pPr>
    </w:p>
    <w:p w14:paraId="3EDE6D43" w14:textId="7D519845"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Odgovornost za štetu koju sanacijska uprava ili pomoćnici sanacijske uprave prouzroče pri obavljanju dužnosti u okviru ovoga Zakona postoji samo ako je šteta prouzročena namjerno ili iz krajnje nepažnje.</w:t>
      </w:r>
    </w:p>
    <w:p w14:paraId="0A50F943" w14:textId="562A1A38"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Za štetu iz stavka 1. ovoga članka odgovara Agencija, a pod uvjetom iz članka 601. ovoga Zakona.</w:t>
      </w:r>
    </w:p>
    <w:p w14:paraId="7E6FACA8" w14:textId="0CAA14C4"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 xml:space="preserve"> </w:t>
      </w:r>
    </w:p>
    <w:p w14:paraId="69CB626C" w14:textId="4C76B949" w:rsidR="2783EFDF" w:rsidRPr="000479E9" w:rsidRDefault="2783EFDF" w:rsidP="00F01D72">
      <w:pPr>
        <w:spacing w:after="0" w:line="240" w:lineRule="auto"/>
        <w:jc w:val="center"/>
        <w:rPr>
          <w:rFonts w:ascii="Times New Roman" w:hAnsi="Times New Roman" w:cs="Times New Roman"/>
          <w:sz w:val="24"/>
          <w:szCs w:val="24"/>
        </w:rPr>
      </w:pPr>
      <w:r w:rsidRPr="000479E9">
        <w:rPr>
          <w:rFonts w:ascii="Times New Roman" w:eastAsiaTheme="minorEastAsia" w:hAnsi="Times New Roman" w:cs="Times New Roman"/>
          <w:sz w:val="24"/>
          <w:szCs w:val="24"/>
        </w:rPr>
        <w:t>Dužnost suradnje dosadašnjih članova uprave i drugih radnika središnjeg depozitorija</w:t>
      </w:r>
    </w:p>
    <w:p w14:paraId="7D0FF881" w14:textId="12657FE3" w:rsidR="2783EFDF" w:rsidRPr="000479E9" w:rsidRDefault="2783EFDF" w:rsidP="00F01D72">
      <w:pPr>
        <w:spacing w:after="0" w:line="240" w:lineRule="auto"/>
        <w:jc w:val="center"/>
        <w:rPr>
          <w:rFonts w:ascii="Times New Roman" w:eastAsiaTheme="minorEastAsia" w:hAnsi="Times New Roman" w:cs="Times New Roman"/>
          <w:sz w:val="24"/>
          <w:szCs w:val="24"/>
        </w:rPr>
      </w:pPr>
      <w:r w:rsidRPr="000479E9">
        <w:rPr>
          <w:rFonts w:ascii="Times New Roman" w:eastAsiaTheme="minorEastAsia" w:hAnsi="Times New Roman" w:cs="Times New Roman"/>
          <w:sz w:val="24"/>
          <w:szCs w:val="24"/>
        </w:rPr>
        <w:t>Članak 618.</w:t>
      </w:r>
    </w:p>
    <w:p w14:paraId="5AE7CFDA" w14:textId="77777777" w:rsidR="0035144A" w:rsidRPr="000479E9" w:rsidRDefault="0035144A" w:rsidP="00F01D72">
      <w:pPr>
        <w:spacing w:after="0" w:line="240" w:lineRule="auto"/>
        <w:jc w:val="center"/>
        <w:rPr>
          <w:rFonts w:ascii="Times New Roman" w:hAnsi="Times New Roman" w:cs="Times New Roman"/>
          <w:sz w:val="24"/>
          <w:szCs w:val="24"/>
        </w:rPr>
      </w:pPr>
    </w:p>
    <w:p w14:paraId="7320AE41" w14:textId="6A56C421"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(1) Dosadašnji članovi uprave i druge ovlaštene osobe s posebnim ovlaštenjima i odgovornostima središnjeg depozitorija dužni su sanacijskoj upravi i pomoćnicima sanacijske uprave odmah omogućiti pristup cjelokupnoj poslovnoj i ostaloj dokumentaciji središnjeg depozitorija te sastaviti izvješće o primopredaji poslovanja.</w:t>
      </w:r>
    </w:p>
    <w:p w14:paraId="49D73BE5" w14:textId="0F98E912"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(2) Dosadašnji članovi uprave središnjeg depozitorija dužni su sanacijskoj upravi ili pojedinom članu sanacijske uprave dati sva obrazloženja ili dodatna izvješća o poslovanju središnjeg depozitorija.</w:t>
      </w:r>
    </w:p>
    <w:p w14:paraId="2647AF4F" w14:textId="38239B19"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(3) Svi radnici središnjeg depozitorija dužni su surađivati sa sanacijskom upravom i pomoćnicima sanacijske uprave.</w:t>
      </w:r>
    </w:p>
    <w:p w14:paraId="6C0C91C5" w14:textId="04AD568D" w:rsidR="2783EFDF" w:rsidRPr="000479E9" w:rsidRDefault="2783EFDF" w:rsidP="00F01D72">
      <w:pPr>
        <w:spacing w:before="72" w:after="72" w:line="240" w:lineRule="auto"/>
        <w:jc w:val="both"/>
        <w:rPr>
          <w:rFonts w:ascii="Times New Roman" w:hAnsi="Times New Roman" w:cs="Times New Roman"/>
          <w:sz w:val="24"/>
          <w:szCs w:val="24"/>
        </w:rPr>
      </w:pPr>
      <w:r w:rsidRPr="000479E9">
        <w:rPr>
          <w:rFonts w:ascii="Times New Roman" w:eastAsiaTheme="minorEastAsia" w:hAnsi="Times New Roman" w:cs="Times New Roman"/>
          <w:sz w:val="24"/>
          <w:szCs w:val="24"/>
        </w:rPr>
        <w:t>(4) Član sanacijske uprave ima pravo udaljiti osobu koja onemogućuje njegov rad te, ovisno o okolnostima pojedinog slučaja, zatražiti pomoć nadležnog tijela unutarnjih poslova.</w:t>
      </w:r>
    </w:p>
    <w:p w14:paraId="384EC8C8" w14:textId="347E05C2" w:rsidR="2B3481CE" w:rsidRPr="000479E9" w:rsidRDefault="2B3481CE" w:rsidP="2B3481CE">
      <w:pPr>
        <w:spacing w:after="0" w:line="240" w:lineRule="auto"/>
        <w:jc w:val="both"/>
        <w:rPr>
          <w:rFonts w:ascii="Times New Roman" w:hAnsi="Times New Roman" w:cs="Times New Roman"/>
          <w:sz w:val="24"/>
          <w:szCs w:val="24"/>
        </w:rPr>
      </w:pPr>
    </w:p>
    <w:p w14:paraId="0F3EF999" w14:textId="77777777" w:rsidR="006B4BB8" w:rsidRPr="000479E9" w:rsidRDefault="006B4BB8" w:rsidP="006B4BB8">
      <w:pPr>
        <w:spacing w:after="0" w:line="240" w:lineRule="auto"/>
        <w:jc w:val="both"/>
        <w:rPr>
          <w:rFonts w:ascii="Times New Roman" w:hAnsi="Times New Roman" w:cs="Times New Roman"/>
          <w:sz w:val="24"/>
          <w:szCs w:val="24"/>
        </w:rPr>
      </w:pPr>
    </w:p>
    <w:p w14:paraId="6358350D"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Primjena odredbi zakona kojim je uređena sanacija kreditnih institucija i investicijskih društava</w:t>
      </w:r>
    </w:p>
    <w:p w14:paraId="49F8150E" w14:textId="531AC616"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619.</w:t>
      </w:r>
    </w:p>
    <w:p w14:paraId="452E1BD9" w14:textId="77777777" w:rsidR="00B9155A" w:rsidRPr="000479E9" w:rsidRDefault="00B9155A" w:rsidP="006B4BB8">
      <w:pPr>
        <w:spacing w:after="0" w:line="240" w:lineRule="auto"/>
        <w:jc w:val="center"/>
        <w:rPr>
          <w:rFonts w:ascii="Times New Roman" w:hAnsi="Times New Roman" w:cs="Times New Roman"/>
          <w:sz w:val="24"/>
          <w:szCs w:val="24"/>
        </w:rPr>
      </w:pPr>
    </w:p>
    <w:p w14:paraId="4D4C920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Na postupak sanacije središnjeg depozitorija i ovlasti Agencije kao sanacijskog tijela na odgovarajući način primjenjuju se odredbe glave V. (Procjena vrijednosti), </w:t>
      </w:r>
      <w:r w:rsidRPr="000479E9">
        <w:rPr>
          <w:rFonts w:ascii="Times New Roman" w:hAnsi="Times New Roman" w:cs="Times New Roman"/>
          <w:sz w:val="24"/>
          <w:szCs w:val="24"/>
        </w:rPr>
        <w:lastRenderedPageBreak/>
        <w:t>glave VI. (Smanjenje vrijednosti ili pretvaranje relevantnih instrumenata kapitala), glave IX. (Sanacijski instrumenti), glave X. (Ovlasti za sanaciju) zakona kojim je uređena sanacija kreditnih institucija i investicijskih društava, pri čemu u smislu ovoga Zakona ovlasti i obveze koje su navedenim glavama zakona kojim je uređena sanacija kreditnih institucija i investicijskih društava previđene za sanacijska tijela pripadaju isključivo Agenciji, a izraz »institucija« na odgovarajući način zamjenjuje s izrazom »središnji depozitorij«.</w:t>
      </w:r>
    </w:p>
    <w:p w14:paraId="0D8BE00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je isto potrebno radi ostvarenja ciljeva sanacije, Agencija je ovlaštena sudionike središnjeg depozitorija pozvati na jednokratnu uplatu novčanih sredstava, s ograničenjem da takva uplata ne smije prelaziti iznos od 390.000,00 eura, a koji se raspoređuje među sudionicima proporcionalno iznosu instrukcija za namiru koje su u sustavu središnjeg depozitorija provedene od strane svakog sudionika u razdoblju od godine dana koje je prethodilo danu otvaranja postupka sanacije.</w:t>
      </w:r>
    </w:p>
    <w:p w14:paraId="4A1D53B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Agencija će naložiti središnjem depozitoriju da izda ili prenese vlasničke instrumente svim sudionicima koji su platili iznos iz stavka 2. ovoga članka, osim kada procjeni da bi primjerenije bilo da se članove obešteti uporabom drugih instrumenata, primjerice iz budućih prihoda središnjeg depozitorija ili prebojem budućih trenutnih i/ili budućih tražbina.</w:t>
      </w:r>
    </w:p>
    <w:p w14:paraId="6220722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Broj izdanih ili prenesenih vlasničkih instrumenata bit će proporcionalan iznosima koje su sudionici platili sukladno stavku 2. ovoga članka, a uzimat će u obzir bilo kakve nepodmirene ugovorne obveze koje sudionik ima prema središnjem depozitoriju.</w:t>
      </w:r>
    </w:p>
    <w:p w14:paraId="11C865F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Na postupak sanacije središnjeg depozitorija na odgovarajući način primjenjuju se odredbe glave XII. (Zaštitne mjere) zakona kojim je uređena sanacija kreditnih institucija i investicijskih društava, osim u dijelu zaštitnih mjera koje se odnose na dioničare i vjerovnike u slučaju djelomičnih prijenosa i primjene instrumenata unutarnje sanacije, a koje su propisane člankom 620. ovoga Zakona.</w:t>
      </w:r>
    </w:p>
    <w:p w14:paraId="4FFC6AC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Na postupak sanacije središnjeg depozitorija na odgovarajući način primjenjuju se odredbe glave III. o ovlasti rješavanja ili uklanjanja prepreka mogućnosti provođenja stečajnog postupka odnosno sanacije zakona kojim je uređena sanacija kreditnih institucija i investicijskih društava.</w:t>
      </w:r>
    </w:p>
    <w:p w14:paraId="2198468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Agencija pravilnikom pobliže uređuje način izračuna iznosa jednokratne uplate iz stavka 2. ovoga članka, način izračuna doprinosa sudionika te način i rokove uplate iznosa od strane sudionika.</w:t>
      </w:r>
    </w:p>
    <w:p w14:paraId="39A47EB8" w14:textId="0860E024" w:rsidR="2B3481CE" w:rsidRPr="000479E9" w:rsidRDefault="2B3481CE" w:rsidP="2B3481CE">
      <w:pPr>
        <w:spacing w:after="0" w:line="240" w:lineRule="auto"/>
        <w:jc w:val="both"/>
        <w:rPr>
          <w:rFonts w:ascii="Times New Roman" w:hAnsi="Times New Roman" w:cs="Times New Roman"/>
          <w:sz w:val="24"/>
          <w:szCs w:val="24"/>
        </w:rPr>
      </w:pPr>
    </w:p>
    <w:p w14:paraId="56C885B1" w14:textId="66981870" w:rsidR="00F772A9" w:rsidRPr="000479E9" w:rsidRDefault="00F772A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Zaštitne mjere za dioničare i vjerovnike</w:t>
      </w:r>
    </w:p>
    <w:p w14:paraId="3127D9BD" w14:textId="04C41727" w:rsidR="00F772A9" w:rsidRPr="000479E9" w:rsidRDefault="00F772A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620.</w:t>
      </w:r>
    </w:p>
    <w:p w14:paraId="762DDB2F" w14:textId="3A57FFAF"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Ako Agencija, primjenjujući jedan ili više instrumenata sanacije, prenese samo dio prava, imovine i obveza središnjeg depozitorija u sanaciji, dužna je, primjenjujući stavak 3. ovoga članka, osigurati da dioničari i oni vjerovnici čije tražbine nisu prenesene dobiju kao namirenje svojih tražbina barem onaj iznos u kojem bi bili namireni da je u vrijeme kada je donesena odluka iz članka 606. ovoga Zakona nad središnjim depozitorijem u sanaciji proveden stečajni postupak.</w:t>
      </w:r>
    </w:p>
    <w:p w14:paraId="22955C82" w14:textId="48916342"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(2) Ako Agencija primjenjuje instrument unutarnje sanacije, dužna je, primjenjujući stavak 3. ovoga članka, osigurati da dioničari i vjerovnici za tražbine čija je vrijednost </w:t>
      </w:r>
      <w:r w:rsidRPr="000479E9">
        <w:rPr>
          <w:rFonts w:ascii="Times New Roman" w:eastAsia="Calibri" w:hAnsi="Times New Roman" w:cs="Times New Roman"/>
          <w:sz w:val="24"/>
          <w:szCs w:val="24"/>
        </w:rPr>
        <w:lastRenderedPageBreak/>
        <w:t>smanjena ili pretvorena u instrument kapitala ne snose gubitak veći od gubitka koji bi snosili da je u vrijeme kada je donesena odluka iz članka 606. ovoga Zakona nad središnjim depozitorijem u sanaciji proveden stečajni postupak.</w:t>
      </w:r>
    </w:p>
    <w:p w14:paraId="3DC3B40E" w14:textId="183846F9"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Nakon što provede prijenos dijela prava, imovine i obveza ili nakon što primijeni instrument unutarnje sanacije, Agencija je dužna bez odgađanja za potrebu primjene stavaka 1. i 2. ovoga članka, osigurati da neovisni procjenitelj provede procjenu vrijednosti, koja se razlikuje od procjene vrijednosti iz članka 619. ovoga Zakona, i kojom se utvrđuje sljedeće:</w:t>
      </w:r>
    </w:p>
    <w:p w14:paraId="7FB432FB" w14:textId="180AE191"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učinak koji bi na dioničare i vjerovnike imao stečajni postupak da je pokrenut u vrijeme kada je donesena odluka iz članka 606. ovoga Zakona</w:t>
      </w:r>
    </w:p>
    <w:p w14:paraId="6D507515" w14:textId="14518FBC"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učinak koji je na dioničare i vjerovnike imala sanacija središnjeg depozitorija i</w:t>
      </w:r>
    </w:p>
    <w:p w14:paraId="46B50C6C" w14:textId="6F5CA7B7"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razlika između učinaka iz točaka 1. i 2. ovoga stavka.</w:t>
      </w:r>
    </w:p>
    <w:p w14:paraId="63274C26" w14:textId="2FA3EE78"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Neovisni procjenitelj dužan je provesti procjenu vrijednosti na temelju sljedećih pretpostavki:</w:t>
      </w:r>
    </w:p>
    <w:p w14:paraId="71372CB8" w14:textId="00C44111"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da je za središnji depozitorij u sanaciji pokrenut stečajni postupak u vrijeme kada je donesena odluka iz članka 606. ovoga Zakona</w:t>
      </w:r>
    </w:p>
    <w:p w14:paraId="230FDE3D" w14:textId="60E096DE"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da sanacijske mjere nisu poduzete i</w:t>
      </w:r>
    </w:p>
    <w:p w14:paraId="3ED9CD73" w14:textId="5D8C390E"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3. da nije pružena izvanredna javna financijska potpora središnjem depozitoriju u sanaciji.</w:t>
      </w:r>
    </w:p>
    <w:p w14:paraId="477C6EB7" w14:textId="1656D34A"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Ako je procjenom vrijednosti izvršenom u skladu sa stavkom 3. ovoga članka utvrđeno da je bilo koji dioničar ili vjerovnik iz stavaka 1. i 2. ovoga članka snosio veći gubitak od gubitka koji bi snosili da je u vrijeme kada je donesena odluka o sanaciji nad središnjim depozitorijem u sanaciji proveden stečajni postupak, dioničar ili vjerovnik imaju pravo na naknadu razlike.</w:t>
      </w:r>
    </w:p>
    <w:p w14:paraId="230216FD" w14:textId="3012B914"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Naknada razlike iz stavka 3. ovoga članke isplaćuje se iz sredstava iz stavka 7. ovoga članka.</w:t>
      </w:r>
    </w:p>
    <w:p w14:paraId="1132BD66" w14:textId="10EAF6DA"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Agencija, kao sanacijsko tijelo ima pravo na povrat svih razumnih troškova koji su nastali vezano za korištenje sanacijskih instrumenata ili ovlasti, kao i državnih instrumenata financijske stabilizacije, na bilo koji od sljedećih načina:</w:t>
      </w:r>
    </w:p>
    <w:p w14:paraId="07555E00" w14:textId="779D1E13"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a) od središnjeg depozitorija u sanaciji, kao vjerovnik višeg isplatnog reda</w:t>
      </w:r>
    </w:p>
    <w:p w14:paraId="30740737" w14:textId="728A5F9B"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b) umanjenjem bilo koje naknade koju je primatelj platio središnjem depozitoriju ili dioničarima</w:t>
      </w:r>
    </w:p>
    <w:p w14:paraId="06BE0357" w14:textId="72EB6D54"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c) iz svih prihoda kao rezultata prestanka statusa prijelazne institucije odnosno likvidacijom ili stečajem prijelazne institucije ili nositelja upravljanja imovinom, kao vjerovnik višeg isplatnog reda.</w:t>
      </w:r>
    </w:p>
    <w:p w14:paraId="2BFE03D5" w14:textId="28F518FB"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 xml:space="preserve"> </w:t>
      </w:r>
    </w:p>
    <w:p w14:paraId="28C69BD1" w14:textId="4A662DD9" w:rsidR="00F772A9" w:rsidRPr="000479E9" w:rsidRDefault="00F772A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Tražbine stečajnih vjerovnika viših isplatnih redova</w:t>
      </w:r>
    </w:p>
    <w:p w14:paraId="55276272" w14:textId="31CE27CF" w:rsidR="00F772A9" w:rsidRPr="000479E9" w:rsidRDefault="00F772A9" w:rsidP="00F01D72">
      <w:pPr>
        <w:spacing w:after="0" w:line="240" w:lineRule="auto"/>
        <w:jc w:val="center"/>
        <w:rPr>
          <w:rFonts w:ascii="Times New Roman" w:eastAsia="Calibri" w:hAnsi="Times New Roman" w:cs="Times New Roman"/>
          <w:sz w:val="24"/>
          <w:szCs w:val="24"/>
        </w:rPr>
      </w:pPr>
      <w:r w:rsidRPr="000479E9">
        <w:rPr>
          <w:rFonts w:ascii="Times New Roman" w:eastAsia="Calibri" w:hAnsi="Times New Roman" w:cs="Times New Roman"/>
          <w:sz w:val="24"/>
          <w:szCs w:val="24"/>
        </w:rPr>
        <w:t>Članak 621.</w:t>
      </w:r>
    </w:p>
    <w:p w14:paraId="1B34AD64" w14:textId="0BEBECEE" w:rsidR="2B3481CE" w:rsidRPr="000479E9" w:rsidRDefault="2B3481CE" w:rsidP="2B3481CE">
      <w:pPr>
        <w:spacing w:after="0" w:line="240" w:lineRule="auto"/>
        <w:jc w:val="both"/>
        <w:rPr>
          <w:rFonts w:ascii="Times New Roman" w:eastAsia="Calibri" w:hAnsi="Times New Roman" w:cs="Times New Roman"/>
          <w:sz w:val="24"/>
          <w:szCs w:val="24"/>
        </w:rPr>
      </w:pPr>
    </w:p>
    <w:p w14:paraId="299753E3" w14:textId="5C76B6FD"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U tražbine prvog višeg isplatnog reda ulaze tražbine radnika i prijašnjih radnika središnjeg depozitorija nastale do dana otvaranja stečajnog postupka iz radnog odnosa u brutoiznosu, otpremnine do iznosa propisanog zakonom odnosno kolektivnim ugovorom i tražbine s osnove naknade štete pretrpljene zbog ozljede na radu ili profesionalne bolesti.</w:t>
      </w:r>
    </w:p>
    <w:p w14:paraId="73931155" w14:textId="329CDA26"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U tražbine drugog višeg isplatnog reda ulaze tražbine Agencije.</w:t>
      </w:r>
    </w:p>
    <w:p w14:paraId="2CBC71D9" w14:textId="2F9F5E60"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lastRenderedPageBreak/>
        <w:t>(3) U tražbine trećeg višeg isplatnog reda ulaze tražbine Hrvatske narodne banke i tražbine Fonda za zaštitu ulagatelja.</w:t>
      </w:r>
    </w:p>
    <w:p w14:paraId="23F730D1" w14:textId="43797CBA"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(4) U tražbine četvrtog višeg isplatnog reda ulaze sve ostale tražbine prema središnjem depozitoriju, osim onih:</w:t>
      </w:r>
    </w:p>
    <w:p w14:paraId="3DF30BCD" w14:textId="51931410"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koje su razvrstane u niže isplatne redove i</w:t>
      </w:r>
    </w:p>
    <w:p w14:paraId="5776A6B8" w14:textId="1508AEEE"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kod kojih je između vjerovnika i središnjeg depozitorija ugovoreno da će se vjerovnik u stečajnom postupku namirivati nakon svih drugih vjerovnika viših i nižih isplatnih redova i na način kako je ugovoreno.</w:t>
      </w:r>
    </w:p>
    <w:p w14:paraId="06D0FA6B" w14:textId="18A4EAEF"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(5) Nakon namirenja tražbina vjerovnika iz stavaka 1. i 2. ovoga članka, stečajni upravitelj dužan je bez odgađanja provesti djelomičnu diobu u korist vjerovnika iz stavka 3. ovoga članka.</w:t>
      </w:r>
    </w:p>
    <w:p w14:paraId="61388F88" w14:textId="56529E7A"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(6) Djelomična dioba za tražbine vjerovnika iz stavka 3. ovoga članka provodi se za iznos koji je na ispitnom ročištu priznao stečajni upravitelj, na način da se gotovinska sredstva s računa stečajnog dužnika uplate</w:t>
      </w:r>
    </w:p>
    <w:p w14:paraId="11AEF198" w14:textId="22D2EC95"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za tražbine Hrvatske narodne banke, u korist računa koji u tu svrhu doznači Hrvatska narodna banka</w:t>
      </w:r>
    </w:p>
    <w:p w14:paraId="169F0706" w14:textId="32CDF5D1"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za tražbine Fonda za zaštitu ulagatelja, u korist računa Fonda za zaštitu ulagatelja. Isplate u korist tih računa stečajni upravitelj dužan je izvršavati najmanje jednom mjesečno sve do trenutka isplate cjelokupnog iznosa njezine tražbine ili do trenutka zaključenja stečajnog postupka, a za sve pravne i druge radnje kojima bi se odgodila ta isplata, stečajni upravitelj dužan je dobiti prethodnu suglasnost Agencije.</w:t>
      </w:r>
    </w:p>
    <w:p w14:paraId="5903D887" w14:textId="5AF43788"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(7) Ako pri prvoj djelomičnoj diobi kojom je obuhvaćena tražbina vjerovnika stavka 3. ovoga članka ista nije isplaćena u cijelosti, za kasnije mjesečne djelomične diobe nije potrebna suglasnost odbora vjerovnika odnosno suglasnost stečajnog suca.</w:t>
      </w:r>
    </w:p>
    <w:p w14:paraId="45A8BE57" w14:textId="4FADC5DF"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(8) Stečajni upravitelj dužan je pri diobi iz stavka 6. ovoga članka voditi računa o tome da se iz stečajne mase:</w:t>
      </w:r>
    </w:p>
    <w:p w14:paraId="151CF120" w14:textId="1C5C6E5A"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1. osiguraju sredstva potrebna za namirenje predvidivih obveza stečajne mase i za tu svrhu izdvojiti sredstva potrebna za pokriće onih takvih obveza za koje se osnovano može pretpostaviti da bi ih trebalo namiriti u budućnosti i</w:t>
      </w:r>
    </w:p>
    <w:p w14:paraId="1DCC93FF" w14:textId="6091F632" w:rsidR="00F772A9" w:rsidRPr="000479E9" w:rsidRDefault="00F772A9" w:rsidP="00F01D72">
      <w:pPr>
        <w:spacing w:after="0" w:line="240" w:lineRule="auto"/>
        <w:jc w:val="both"/>
        <w:rPr>
          <w:rFonts w:ascii="Times New Roman" w:eastAsia="Calibri" w:hAnsi="Times New Roman" w:cs="Times New Roman"/>
          <w:sz w:val="24"/>
          <w:szCs w:val="24"/>
        </w:rPr>
      </w:pPr>
      <w:r w:rsidRPr="000479E9">
        <w:rPr>
          <w:rFonts w:ascii="Times New Roman" w:eastAsia="Calibri" w:hAnsi="Times New Roman" w:cs="Times New Roman"/>
          <w:sz w:val="24"/>
          <w:szCs w:val="24"/>
        </w:rPr>
        <w:t>2. izdvoje sredstva za osporene tražbine za koje je vjerovnik tražbine iz stavaka 1. i 2. ovoga članka stečajnom upravitelju podnio dokaz o podnesenoj tužbi radi utvrđenja te tražbine odnosno da je preuzeo prije pokrenutu parnicu.</w:t>
      </w:r>
    </w:p>
    <w:p w14:paraId="171FF1CB" w14:textId="4BDC0A59" w:rsidR="2B3481CE" w:rsidRPr="000479E9" w:rsidRDefault="2B3481CE" w:rsidP="00F01D72">
      <w:pPr>
        <w:spacing w:after="0" w:line="240" w:lineRule="auto"/>
        <w:jc w:val="both"/>
        <w:rPr>
          <w:rFonts w:ascii="Times New Roman" w:eastAsia="Calibri" w:hAnsi="Times New Roman" w:cs="Times New Roman"/>
          <w:sz w:val="24"/>
          <w:szCs w:val="24"/>
        </w:rPr>
      </w:pPr>
    </w:p>
    <w:p w14:paraId="36FE5AE4" w14:textId="77777777" w:rsidR="004D0E22" w:rsidRPr="000479E9" w:rsidRDefault="004D0E22" w:rsidP="00483C20">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DIO SEDMI</w:t>
      </w:r>
      <w:r w:rsidRPr="000479E9">
        <w:rPr>
          <w:rFonts w:ascii="Times New Roman" w:hAnsi="Times New Roman" w:cs="Times New Roman"/>
          <w:bCs/>
          <w:sz w:val="24"/>
          <w:szCs w:val="24"/>
        </w:rPr>
        <w:br/>
        <w:t>PREKRŠAJNE ODREDBE</w:t>
      </w:r>
    </w:p>
    <w:p w14:paraId="56F1B9AA" w14:textId="77777777" w:rsidR="004D0E22" w:rsidRPr="000479E9" w:rsidRDefault="004D0E22" w:rsidP="00483C20">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POGLAVLJE I.</w:t>
      </w:r>
      <w:r w:rsidRPr="000479E9">
        <w:rPr>
          <w:rFonts w:ascii="Times New Roman" w:hAnsi="Times New Roman" w:cs="Times New Roman"/>
          <w:bCs/>
          <w:sz w:val="24"/>
          <w:szCs w:val="24"/>
        </w:rPr>
        <w:br/>
        <w:t>OPĆE ODREDBE</w:t>
      </w:r>
    </w:p>
    <w:p w14:paraId="126C8A9F" w14:textId="77777777" w:rsidR="004D0E22" w:rsidRPr="000479E9" w:rsidRDefault="004D0E22" w:rsidP="00483C20">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Opće odredbe kod utvrđivanja prekršaja</w:t>
      </w:r>
    </w:p>
    <w:p w14:paraId="690EC3C3" w14:textId="77777777" w:rsidR="004D0E22" w:rsidRPr="000479E9" w:rsidRDefault="004D0E22" w:rsidP="00483C20">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Članak 698.</w:t>
      </w:r>
    </w:p>
    <w:p w14:paraId="7FD22940" w14:textId="77777777" w:rsidR="004D0E22" w:rsidRPr="000479E9" w:rsidRDefault="004D0E22" w:rsidP="004D0E22">
      <w:pPr>
        <w:spacing w:after="0" w:line="240" w:lineRule="auto"/>
        <w:jc w:val="both"/>
        <w:rPr>
          <w:rFonts w:ascii="Times New Roman" w:hAnsi="Times New Roman" w:cs="Times New Roman"/>
          <w:sz w:val="24"/>
          <w:szCs w:val="24"/>
        </w:rPr>
      </w:pPr>
    </w:p>
    <w:p w14:paraId="16722629" w14:textId="0289E992"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Pojedini pojmovi, u smislu ovoga dijela Zakona, imaju sljedeće značenje:</w:t>
      </w:r>
    </w:p>
    <w:p w14:paraId="342EB881"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 godišnji financijski izvještaji su godišnji financijski izvještaji koje pravni subjekt sastavlja i objavljuje sukladno nacionalnom propisu kojim se uređuje računovodstvo poduzetnika i primjena standarda financijskog izvještavanja, koje je odobrilo upravljačko tijelo pravnog subjekta, za godinu u kojoj je pravni subjekt počinio prekršaj, a </w:t>
      </w:r>
      <w:r w:rsidRPr="000479E9">
        <w:rPr>
          <w:rFonts w:ascii="Times New Roman" w:hAnsi="Times New Roman" w:cs="Times New Roman"/>
          <w:sz w:val="24"/>
          <w:szCs w:val="24"/>
        </w:rPr>
        <w:lastRenderedPageBreak/>
        <w:t>ako oni nisu dostupni u trenutku izricanja novčane kazne, posljednji godišnji financijski izvještaji koje je odobrilo upravljačko tijelo pravnog subjekta za godinu koja je prethodila toj godini</w:t>
      </w:r>
    </w:p>
    <w:p w14:paraId="7F68FCE2"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ukupni prihod je ukupni godišnji prihod koji je pravni subjekt ostvario od obavljanja svih gospodarskih djelatnosti utvrđen na temelju godišnjih financijskih izvještaja koje je odobrilo upravljačko tijelo pravnog subjekta, uključujući brutoprihod koji se sastoji od kamatnih i srodnih prihoda, prihoda od dionica i drugih vrijednosnih papira s varijabilnim i fiksnim prihodom i prihoda od naknada i provizija</w:t>
      </w:r>
    </w:p>
    <w:p w14:paraId="79BA6A00"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je počinitelj prekršaja, u smislu zakona kojim se uređuje računovodstvo poduzetnika i primjena standarda financijskog izvještavanja, matično društvo ili ovisno društvo matičnog društva koje ima obvezu izrade konsolidiranih financijskih izvještaja, ukupni prihod iz stavka 1. točke 2. ovoga članka određuje se na temelju konsolidiranih financijskih izvještaja koje je odobrilo upravljačko tijelo krajnjeg matičnog društva.</w:t>
      </w:r>
    </w:p>
    <w:p w14:paraId="7F818499"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godišnji financijski izvještaji za godinu u kojoj je počinjen prekršaj nisu dostupni u trenutku izricanja novčane kazne, za osnovicu izračuna visine kazne za prekršaje iz ovoga dijela primijenit će se posljednja godišnja financijska izvješća koja su prethodila toj godini.</w:t>
      </w:r>
    </w:p>
    <w:p w14:paraId="26C8D280"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Kod odlučivanja o podnošenju optužnih prijedloga za prekršaje iz ovoga dijela Agencija kao ovlašteni tužitelj obvezna je u obzir uzeti sve relevantne okolnosti, uključujući gdje je to primjereno:</w:t>
      </w:r>
    </w:p>
    <w:p w14:paraId="01404827"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ozbiljnost i trajanje kršenja</w:t>
      </w:r>
    </w:p>
    <w:p w14:paraId="1A1CB6DE"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stupanj odgovornosti fizičke ili pravne osobe odgovorne za kršenje</w:t>
      </w:r>
    </w:p>
    <w:p w14:paraId="5AA02D0D"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financijsku snagu odgovorne fizičke ili pravne osobe, posebno izraženu kao ukupni prihod odgovorne pravne osobe ili godišnji dohodak i netoimovinu odgovorne fizičke osobe</w:t>
      </w:r>
    </w:p>
    <w:p w14:paraId="4DED3F39"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značaj ostvarene dobiti ili spriječenog gubitka odgovorne fizičke osobe ili pravne osobe, u mjeri u kojoj je to moguće utvrditi</w:t>
      </w:r>
    </w:p>
    <w:p w14:paraId="219F5AA8"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gubitke za treće strane prouzročene kršenjem, u mjeri u kojoj je to moguće utvrditi</w:t>
      </w:r>
    </w:p>
    <w:p w14:paraId="7965968D"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razinu suradnje odgovorne fizičke osobe ili pravne osobe s Agencijom i ostalim nadležnim tijelima, ne dovodeći pritom u pitanje potrebu da se osigura povrat ostvarene dobiti ili izbjegnutog gubitka te osobe</w:t>
      </w:r>
    </w:p>
    <w:p w14:paraId="494D8FEA"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prethodna kršenja odgovorne fizičke osobe ili pravne osobe</w:t>
      </w:r>
    </w:p>
    <w:p w14:paraId="3F96E50A" w14:textId="77777777" w:rsidR="004D0E22" w:rsidRPr="000479E9" w:rsidRDefault="004D0E22" w:rsidP="004D0E22">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potencijalni sistemski utjecaj kršenja.</w:t>
      </w:r>
    </w:p>
    <w:p w14:paraId="01D88EA8" w14:textId="14690D01" w:rsidR="2B3481CE" w:rsidRPr="000479E9" w:rsidRDefault="2B3481CE" w:rsidP="2B3481CE">
      <w:pPr>
        <w:spacing w:after="0" w:line="240" w:lineRule="auto"/>
        <w:jc w:val="both"/>
        <w:rPr>
          <w:rFonts w:ascii="Times New Roman" w:hAnsi="Times New Roman" w:cs="Times New Roman"/>
          <w:sz w:val="24"/>
          <w:szCs w:val="24"/>
        </w:rPr>
      </w:pPr>
    </w:p>
    <w:p w14:paraId="24C61597" w14:textId="410606A9" w:rsidR="006B4BB8" w:rsidRPr="000479E9" w:rsidRDefault="006B4BB8" w:rsidP="003F14ED">
      <w:pPr>
        <w:spacing w:after="0" w:line="240" w:lineRule="auto"/>
        <w:jc w:val="both"/>
        <w:rPr>
          <w:rFonts w:ascii="Times New Roman" w:hAnsi="Times New Roman" w:cs="Times New Roman"/>
          <w:sz w:val="24"/>
          <w:szCs w:val="24"/>
        </w:rPr>
      </w:pPr>
    </w:p>
    <w:p w14:paraId="06E415D5" w14:textId="77777777" w:rsidR="006B4BB8" w:rsidRPr="000479E9" w:rsidRDefault="006B4BB8" w:rsidP="006B4BB8">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Teški prekršaji pravnih osoba</w:t>
      </w:r>
    </w:p>
    <w:p w14:paraId="7726446C" w14:textId="6B5A5B70" w:rsidR="006B4BB8" w:rsidRPr="000479E9" w:rsidRDefault="006B4BB8" w:rsidP="006B4BB8">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700.</w:t>
      </w:r>
    </w:p>
    <w:p w14:paraId="0472D3B3" w14:textId="77777777" w:rsidR="00B9155A" w:rsidRPr="000479E9" w:rsidRDefault="00B9155A" w:rsidP="006B4BB8">
      <w:pPr>
        <w:spacing w:after="0" w:line="240" w:lineRule="auto"/>
        <w:jc w:val="center"/>
        <w:rPr>
          <w:rFonts w:ascii="Times New Roman" w:hAnsi="Times New Roman" w:cs="Times New Roman"/>
          <w:sz w:val="24"/>
          <w:szCs w:val="24"/>
        </w:rPr>
      </w:pPr>
    </w:p>
    <w:p w14:paraId="121BDE5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prekršaj kaznit će se pravna osoba novčanom kaznom u iznosu koji je višekratnik broja 1000, a koja ne može biti manja od 5 % ni veća od 10 % ukupnog prihoda koji je ostvarila u godini kada je počinjen prekršaj, utvrđen službenim financijskim izvještajima za tu godinu, ako:</w:t>
      </w:r>
    </w:p>
    <w:p w14:paraId="522D9A3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kao investicijsko društvo Agenciju ne izvijesti u roku iz članka 26. stavka 5. ovoga Zakona o prestanku mandata člana uprave ili nadzornog odbora</w:t>
      </w:r>
    </w:p>
    <w:p w14:paraId="3A828F1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kao investicijsko društvo nije osigurala da zahtjev za izdavanje suglasnosti iz članka 29. stavka 1. ovoga Zakona bude podnesen najmanje tri mjeseca prije isteka mandata pojedinom članu uprave u skladu s člankom 29. stavkom 6. ovoga Zakona</w:t>
      </w:r>
    </w:p>
    <w:p w14:paraId="3DB948E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kao investicijsko društvo nije osigurala da novi zahtjev za izdavanje suglasnosti za imenovanje bude podnesen Agenciji najkasnije u roku od 30 dana od dana primitka obavijesti o ukidanju, prestanku ili odbijanju izdavanja suglasnosti za imenovanje, u skladu s člankom 29. stavkom 7. ovoga Zakona</w:t>
      </w:r>
    </w:p>
    <w:p w14:paraId="082E284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kao investicijsko društvo nije osigurala da novi zahtjev za izdavanje suglasnosti za imenovanje bude podnesen Agenciji najkasnije u roku od 30 dana od dana u situaciji kada investicijsko društvo ne ispunjava uvjet o najmanjem potrebnom broju članova uprave u skladu s odredbama ovoga Zakona, u skladu s člankom 29. stavkom 7. ovoga Zakona</w:t>
      </w:r>
    </w:p>
    <w:p w14:paraId="6DCAD56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kao investicijsko društvo ili burza u skladu s člankom 16. stavkom 1. ovoga Zakona ne obavijesti bez odgode Agenciju o saznanju o stjecanju ili otpuštanju udjela u tom investicijskom društvu ili burzi koji predstavlja kvalificirani udjel ili koji će izazvati prelazak ili smanjenje ispod 10 %, 20 %, 30 % ili 50 % u tom investicijskom društvu</w:t>
      </w:r>
    </w:p>
    <w:p w14:paraId="196A769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kao investicijsko društvo ili kreditna institucija ili društvo za upravljanje, u skladu s obvezom iz članka 21. stavka 3. Delegirane uredbe (EU) br. 2017/565, primjerenim i proporcionalnim sustavima, sredstvima i postupcima ne osigura neprekidno i redovito obavljanje investicijskih usluga i aktivnosti protivno članku 51. stavku 6. ovoga Zakona</w:t>
      </w:r>
    </w:p>
    <w:p w14:paraId="2454372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kao investicijsko društvo, kreditna institucija ili društvo za upravljanje postupi protivno odredbi članka 54. stavka 1. ovoga Zakona odnosno nije propisala, ili ne primjenjuje, ne ažurira redovito, ne procjenjuje niti ne nadzire primjerene politike i postupke koji osiguravaju da investicijsko društvo i relevantne osobe društva postupaju u skladu sa svojim obvezama propisanima ovim Zakonom, Uredbom (EU) br. 596/2014, Uredbom (EU) br. 600/2014 i pravilnicima koje na temelju njih donosi Agencija</w:t>
      </w:r>
    </w:p>
    <w:p w14:paraId="4DD3B04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kao investicijsko društvo, kreditna institucija ili društvo za upravljanje nije ustrojila trajnu i učinkovitu funkciju usklađenosti, u skladu s člankom 22. stavcima 2. i 3. Delegirane uredbe (EU) br. 2017/565 i člankom 54. stavkom 3. ovoga Zakona</w:t>
      </w:r>
    </w:p>
    <w:p w14:paraId="4D1E4B9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kao investicijsko društvo nije propisalo ili ne primjenjuje politiku primitaka koja je u skladu s uvjetima iz članka 27. Delegirane uredbe (EU) br. 2017/565 ili članka 56. ovoga Zakona</w:t>
      </w:r>
    </w:p>
    <w:p w14:paraId="1E47AC3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kao investicijsko društvo, kreditna institucija ili društvo za upravljanje nije uspostavila ili ne provodi primjerene postupke u cilju praćenja sprječavanja aktivnosti propisanih u skladu s člankom 57. stavkom 1. ovoga Zakona i u vezi s člankom 29. Delegirane uredbe (EU) br. 2017/565</w:t>
      </w:r>
    </w:p>
    <w:p w14:paraId="3EA770B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kao investicijsko društvo, kreditna institucija, društvo za upravljanje ili tržišni posrednik, protivno članku 58. stavku 4. ovoga Zakona, nije usvojila ili nije implementirala ili ne provodi učinkovitu pisanu politiku upravljanja sukobima interesa u skladu s primjenjivim uvjetima iz članaka 34. do 43. Delegirane uredbe (EU) br. 2017/565</w:t>
      </w:r>
    </w:p>
    <w:p w14:paraId="389BB3B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12. kao investicijsko društvo, kreditna institucija ili društvo za upravljanje ne izdvoji ključne operativne funkcije u smislu članka 30. Delegirane Uredbe (EU) br. </w:t>
      </w:r>
      <w:r w:rsidRPr="000479E9">
        <w:rPr>
          <w:rFonts w:ascii="Times New Roman" w:hAnsi="Times New Roman" w:cs="Times New Roman"/>
          <w:sz w:val="24"/>
          <w:szCs w:val="24"/>
        </w:rPr>
        <w:lastRenderedPageBreak/>
        <w:t>2017/565, na treću osobu, u skladu s člankom 59. stavkom 1. ovoga Zakona i u vezi s uvjetima iz članaka 31. i 32. Delegirane uredbe (EU) br. 2017/565</w:t>
      </w:r>
    </w:p>
    <w:p w14:paraId="484A0C6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kao investicijsko društvo ili kreditna institucija koja je proizvođač u smislu članka 60. stavka 1. ovoga Zakona ne omogući svim distributerima pristup svim potrebnim podacima, u skladu s člankom 60. stavkom 3. ovoga Zakona</w:t>
      </w:r>
    </w:p>
    <w:p w14:paraId="5BCBC47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kao investicijsko društvo ili kreditna institucija koja je proizvođač u smislu članka 60. stavka 1. ovoga Zakona nije osigurala da postupak upravljanja proizvodima bude usklađen s uvjetima relevantnih propisa koji se odnose na upravljanje sukobima interesa, uključujući primitke od rada relevantnih osoba, u skladu s člankom 61. stavkom 3. ovoga Zakona</w:t>
      </w:r>
    </w:p>
    <w:p w14:paraId="333C96F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 kao investicijsko društvo ili kreditna institucija koja je proizvođač u smislu članka 60. stavka 1. ovoga Zakona nije poduzela sve primjerene mjere u slučaju realizacije ključnih događaja, u skladu s člankom 66. stavkom 2. ovoga Zakona</w:t>
      </w:r>
    </w:p>
    <w:p w14:paraId="36777E9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 kao investicijsko društvo ili kreditna institucija koja je distributer u smislu članka 67. stavka 1. ovoga Zakona nije uspostavila odgovarajuće mehanizme upravljanja proizvodom, pa zbog toga proizvodi i usluge koje nudi ili preporučuje nisu u skladu s potrebama, obilježjima i ciljevima utvrđenog ciljanog tržišta, u skladu s člankom 68. stavkom 4. ovoga Zakona</w:t>
      </w:r>
    </w:p>
    <w:p w14:paraId="2140DF1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 kao investicijsko društvo ili kreditna institucija koja je distributer u smislu članka 67. stavka 1. ovog Zakona nije usvojila distribucijsku strategiju ili je usvojila distribucijsku strategiju koja nije usklađena s utvrđenim ciljanim tržištem, u skladu s člankom 68. stavkom 4. ovoga Zakona</w:t>
      </w:r>
    </w:p>
    <w:p w14:paraId="50BB6CF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 kao investicijsko društvo, kreditna institucija, društvo za upravljanje ili tržišni operater ne vodi evidencije i/ili poslovnu dokumentaciju, u skladu s člancima 72. do 76. Uredbe (EU) br. 2017/565 i prilozima I. i IV. Delegirane uredbe (EU) br. 2017/565 i člankom 75. stavkom 2. ovoga Zakona, tako da su Agenciji dovoljne za ocjenu pridržava li se investicijsko društvo svih obveza koje na temelju propisa iz članka 75. stavka 1. ovoga Zakona ima prema klijentima ili potencijalnim klijentima te poštuje li odredbe koje se odnose na očuvanje integriteta tržišta</w:t>
      </w:r>
    </w:p>
    <w:p w14:paraId="414F2F7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 kao investicijsko društvo, kreditna institucija, društvo za upravljanje ili tržišni posrednik nije u roku iz članka 76. stavka 4. ovoga Zakona čuvala svu dokumentaciju i podatke o svim poslovima s financijskim instrumentima</w:t>
      </w:r>
    </w:p>
    <w:p w14:paraId="15DDDBB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 kao investicijsko društvo ili kreditna institucija nije poduzela sve korake za evidentiranje komunikacije iz članka 77. stavaka 1. i 2. ovoga Zakona, u skladu s člankom 77. stavkom 3 ovoga Zakona</w:t>
      </w:r>
    </w:p>
    <w:p w14:paraId="7B43381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21. kao investicijsko društvo ili kreditna institucija nije usvojila, implementirala ili ne održava učinkovitu politiku o evidentiranju komunikacije iz članka 77. ovoga Zakona u skladu s uvjetima iz članka 79. ovoga Zakona i članka 76. Delegirane uredbe (EU) br. 2017/565</w:t>
      </w:r>
    </w:p>
    <w:p w14:paraId="5CCB120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22. kao investicijsko društvo ili kreditna institucija nije poduzela sve razumne korake za sprječavanje komunikacije iz članka 77. ovoga Zakona privatnom opremom zaposlenika ili druge relevantne osobe u skladu s člankom 79. stavkom 2. ovoga Zakona</w:t>
      </w:r>
    </w:p>
    <w:p w14:paraId="757EC02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23. kao investicijsko društvo, kreditna institucija ili društvo za upravljanje koje drži novčana sredstva i/ili financijske instrumente klijenta ne vodi evidencije i račune tako da u svakom trenutku i bez odgađanja može razlikovati imovinu koju drži za jednog </w:t>
      </w:r>
      <w:r w:rsidRPr="000479E9">
        <w:rPr>
          <w:rFonts w:ascii="Times New Roman" w:hAnsi="Times New Roman" w:cs="Times New Roman"/>
          <w:sz w:val="24"/>
          <w:szCs w:val="24"/>
        </w:rPr>
        <w:lastRenderedPageBreak/>
        <w:t>klijenta od imovine koju drži za bilo kojeg drugog klijenta i od svoje vlastite imovine, u skladu s člankom 80. stavkom 4. točkom 1. ovoga Zakona</w:t>
      </w:r>
    </w:p>
    <w:p w14:paraId="1A9E617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24. kao investicijsko društvo, kreditna institucija ili društvo za upravljanje koje drži novčana sredstva ili financijske instrumente klijenta ne vodi evidencije i račune tako da se mogu upotrijebiti za revizijski trag, u skladu s člankom 80. stavkom 4. točkom 2. ovoga Zakona</w:t>
      </w:r>
    </w:p>
    <w:p w14:paraId="490D452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25. kao investicijsko društvo, kreditna institucija ili društvo za upravljanje koje drži novčana sredstva ili financijske instrumente nije na odgovarajući način organizacijski ustrojena kako bi se rizik gubitka ili smanjenja imovine klijenta ili prava u vezi s tom imovinom, nastao kao rezultat zlouporabe imovine, prijevare, lošeg administriranja, neprimjerenog vođenja evidencije ili nemara, sveo na najmanju moguću mjeru, u skladu s člankom 80. stavkom 4. točkom 6. ovoga Zakona</w:t>
      </w:r>
    </w:p>
    <w:p w14:paraId="1D21E05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26. kao investicijsko društvo ne postupa pažnjom dobrog stručnjaka pri odabiru, imenovanju ili ugovaranju uvjeta deponiranja novčanih sredstava klijenta u skladu s člankom 81. stavkom 4. ovoga Zakona i pravilnikom iz članka 80. stavka 10. ovoga Zakona</w:t>
      </w:r>
    </w:p>
    <w:p w14:paraId="37A89C9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27. kao investicijsko društvo ili kreditna institucija koja koristi algoritamsko trgovanje ne uspostavi djelotvorne sustave i mjere za kontrolu rizika u skladu s odredbama Delegirane uredbe (EU) br. 2017/589 i članka 82. stavaka 1. do 4. ovoga Zakona</w:t>
      </w:r>
    </w:p>
    <w:p w14:paraId="5A8CE43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28. kao investicijsko društvo ili kreditna institucija koja koristi algoritamsko trgovanje provodi strategiju održavanja tržišta u smislu članka 83. stavka 2. ovoga Zakona, a ne ispunjava uvjete propisane Delegiranom uredbom (EU) br. 2017/578 i člankom 83. stavkom 3. ovoga Zakona</w:t>
      </w:r>
    </w:p>
    <w:p w14:paraId="6A1AE54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29. kao investicijsko društvo ili kreditna institucija koja klijentima omogućuje izravan elektronički pristup mjestu trgovanja ne uspostavi djelotvorne sustave i kontrolne mehanizme koji osiguravaju ispravnu procjenu primjerenosti klijenta koji koristi uslugu te odgovarajuću kontrolu te procjene, u skladu s člankom 84. stavkom 2. točkom 1. ovoga Zakona</w:t>
      </w:r>
    </w:p>
    <w:p w14:paraId="24DA6E1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30. kao investicijsko društvo ili kreditna institucija koja klijentima omogućuje izravan elektronički pristup mjestu trgovanja ne uspostavi ili ne uspostavi djelotvorne sustave i kontrolne mehanizme koji onemogućuje klijentu da prekorači primjerene, unaprijed postavljene pragove trgovanja i ograničenja kredita za trgovanje, u skladu s člankom 84. stavkom 2. točkom 2. ovoga Zakona</w:t>
      </w:r>
    </w:p>
    <w:p w14:paraId="6ABF5DD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31. kao investicijsko društvo ili kreditna institucija koja klijentima omogućuje izravan elektronički pristup mjestu trgovanja ne uspostavi djelotvorne sustave i kontrolne mehanizme koji osiguravaju primjeren nadzor trgovanja klijenata koji tu uslugu koriste, u skladu s člankom 84. stavkom 2. točkom 3. ovoga Zakona</w:t>
      </w:r>
    </w:p>
    <w:p w14:paraId="4A81203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32. kao investicijsko društvo ili kreditna institucija koja klijentima omogućuje izravan elektronički pristup mjestu trgovanja ne uspostavi djelotvorne sustave i kontrolne mehanizme koji sprječavaju da putem sustava izravnog elektroničkog pristupa dođe do trgovanja koje predstavlja rizik za samo investicijsko društvo, stvara ili doprinosi stvaranju neurednog tržišta, koje bi moglo biti suprotno Uredbi (EU) br. 596/2014 ili pravilima mjesta trgovanja, u skladu s člankom 84. stavkom 2. točkom 4. ovoga Zakona</w:t>
      </w:r>
    </w:p>
    <w:p w14:paraId="56BD762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33. kao investicijsko društvo ili kreditna institucija koja klijentima omogućuje izravan elektronički pristup mjestu trgovanja nije osigurala da klijenti tu mogućnost koriste u skladu s uvjetima iz ovoga Zakona i pravilima mjesta trgovanja, u skladu s člankom 84. stavkom 7. ovoga Zakona</w:t>
      </w:r>
    </w:p>
    <w:p w14:paraId="3D6BB64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34. kao investicijsko društvo, kreditna institucija, društvo za upravljanje ili tržišni posrednik tijekom pružanja investicijskih i pomoćnih usluga kontinuirano ili učestalo ne postupa u najboljem interesu klijenta, u skladu s člankom 86. stavcima 1. do 4. ovoga Zakona</w:t>
      </w:r>
    </w:p>
    <w:p w14:paraId="683B928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35. kao investicijsko društvo, kreditna institucija, društvo za upravljanje ili tržišni posrednik klijentima i/ili potencijalnim klijentima kontinuirano ili učestalo pruža podatke koji nisu korektni, jasni i koji dovode ili bi mogli dovesti u zabludu, u skladu s člankom 44. Delegirane uredbe (EU) br. 2017/565 i člankom 87. ovoga Zakona</w:t>
      </w:r>
    </w:p>
    <w:p w14:paraId="5071711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36. kao investicijsko društvo, kreditna institucija, društvo za upravljanje ili tržišni posrednik klijentima i/ili potencijalnim klijentima učestalo ne dostavlja pravodobno podatke iz stavka 2. članka 88. ovoga Zakona, u skladu s člankom 88. stavkom 1. ovoga Zakona</w:t>
      </w:r>
    </w:p>
    <w:p w14:paraId="2B0BE7E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37. kao investicijsko društvo kreditna institucija, društvo za upravljanje ili tržišni posrednik klijentima i/ili potencijalnim klijentima podatke iz članka 88. stavka 2. ovoga Zakona učestalo dostavlja u obliku koji nije u skladu s člankom 50. Delegirane uredbe (EU) br. 2017/565 i člankom 88. stavkom 3. ovoga Zakona</w:t>
      </w:r>
    </w:p>
    <w:p w14:paraId="02CC686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38. kao investicijsko društvo, kreditna institucija, društvo za upravljanje ili tržišni posrednik u komunikaciji s klijentima/potencijalnim klijentima učestalo ističe da je investicijski savjet koji nudi neovisan, a nisu ispunjeni uvjeti iz članka 53. Delegirane uredbe (EU) br. 2017/565 i članka 90. stavka 1. ovoga Zakona</w:t>
      </w:r>
    </w:p>
    <w:p w14:paraId="76CD147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39. kao investicijsko društvo, kreditna institucija, društvo za upravljanje ili tržišni posrednik koji klijentima pruža uslugu investicijskog savjetovanja i/ili upravljanja portfeljem učestalo ne prikuplja ili učestalo prikuplja manjkave podatke iz članka 54. Delegirane uredbe (EU) br. 2017/565, u skladu s člankom 105. stavkom 3. ovoga Zakona</w:t>
      </w:r>
    </w:p>
    <w:p w14:paraId="349656F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40. kao investicijsko društvo ili kreditna institucija klijentima pruža investicijske usluge u smislu članka 107. stavka 1. ovoga Zakona, učestalo ne prikuplja ili učestalo prikuplja manjkave podatke o znanju i iskustvu klijenta na području ulaganja iz članka 54. Delegirane uredbe (EU) br. 2017/565, u skladu s člankom 107. stavkom 3. ovoga Zakona</w:t>
      </w:r>
    </w:p>
    <w:p w14:paraId="06944FA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41. kao investicijsko društvo ili kreditna institucija klijentima učestalo pruža investicijske usluge bez prikupljanja podataka iz članka 107. ovoga Zakona, a nisu ispunjeni svi uvjeti iz članka 110. stavka 1. ovoga Zakona, u skladu s člankom 110. stavkom 1. ovoga Zakona</w:t>
      </w:r>
    </w:p>
    <w:p w14:paraId="02C16DE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42. kao investicijsko društvo ili kreditna institucija ne vodi evidencije o procjeni prikladnosti u skladu s člankom 56. Delegirane uredbe EU br. 2017/565 i člankom 108. ovoga Zakona</w:t>
      </w:r>
    </w:p>
    <w:p w14:paraId="51A2DAE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43. kao investicijsko društvo ili kreditna institucija pri izvršavanju naloga ne poduzme sve korake dovoljne za postizanje najpovoljnijeg ishoda za klijenta uzimajući u obzir cijene, troškove, brzinu, vjerojatnost izvršenja i namire, veličinu, vrstu te sve </w:t>
      </w:r>
      <w:r w:rsidRPr="000479E9">
        <w:rPr>
          <w:rFonts w:ascii="Times New Roman" w:hAnsi="Times New Roman" w:cs="Times New Roman"/>
          <w:sz w:val="24"/>
          <w:szCs w:val="24"/>
        </w:rPr>
        <w:lastRenderedPageBreak/>
        <w:t>druge okolnosti relevantne za izvršavanje naloga, u skladu s člankom 121. stavkom 1. ovoga Zakona</w:t>
      </w:r>
    </w:p>
    <w:p w14:paraId="6FB5173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43.a kao investicijsko društvo ili kreditna institucija nije bez odgode nakon izvršenja naloga, kada je riječ o financijskim instrumentima koji podliježu obvezama trgovanja utvrđenima u člancima 23. i 28. Uredbe (EU) br. 600/2014, obavijestila klijenta o mjestu izvršenja naloga, u skladu s člankom 121. stavkom 5. ovoga Zakona</w:t>
      </w:r>
    </w:p>
    <w:p w14:paraId="1149033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44. se kao investicijsko društvo ili kreditna institucija koja izvršava naloge malih ulagatelja učestalo ne pridržava obveze utvrđivanja najpovoljnijeg ishoda u skladu s člankom 122. stavcima 1. i 2. ovoga Zakona</w:t>
      </w:r>
    </w:p>
    <w:p w14:paraId="390CDAE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45. kao investicijsko društvo ili kreditna institucija koja izvršava naloge klijenata ne donese ili učestalo ne primjenjuje politiku izvršavanja naloga koja mu omogućava postizanje najpovoljnijeg ishoda pri izvršavanju naloga klijenta, u skladu s člankom 123. stavkom 1. ovoga Zakona</w:t>
      </w:r>
    </w:p>
    <w:p w14:paraId="3D3690C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46. kao investicijsko društvo ili kreditna institucija koja izvršava naloge klijenata nema propisane ili učestalo ne primjenjuje primjerene mjere i postupke koje jamče promptno, korektno i ažurno izvršavanje naloga u skladu s uvjetima iz članaka 67. do 69. Delegirane uredbe (EU) br. 2017/565, u skladu s člankom 119. stavkom 1. ovoga Zakona</w:t>
      </w:r>
    </w:p>
    <w:p w14:paraId="715E143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47. kao investicijsko društvo ili kreditna institucija koja izvršava naloge klijenata zloupotrijebi podatak u vezi s neizvršenim nalogom klijenta, u skladu s člankom 119. stavkom 4. ovoga Zakona</w:t>
      </w:r>
    </w:p>
    <w:p w14:paraId="413A529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48. kao investicijsko društvo ili kreditna institucija učestalo limitirane naloge klijenta ne izvršava u skladu s uvjetima iz članka 70. Delegirane uredbe (EU) br. 2017/565, u skladu s člankom 120. stavkom 2. ovoga Zakona</w:t>
      </w:r>
    </w:p>
    <w:p w14:paraId="757FC8D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49. kao investicijsko društvo, kreditna institucija ili društvo za upravljanje poslove iz članka 126. stavka 1. ovoga Zakona povjeri osobi koja ne ispunjava uvjete iz članka 127. ovoga Zakona odnosno ako poslove iz članka 126. stavka 1. ovoga Zakona za račun investicijskog društva obavlja osoba koja nije upisana u registar vezanog zastupnika ili nije ovlaštena obavljati investicijske usluge i aktivnosti, u skladu s člankom 126. ovoga Zakona</w:t>
      </w:r>
    </w:p>
    <w:p w14:paraId="4249CE3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50. kao investicijsko društvo, kreditna institucija ili društvo za upravljanje koje je imenovalo vezanog zastupnika ne nadzire ili ne nadzire adekvatno pridržava li se vezani zastupnik ovoga Zakona i relevantnih propisa prilikom obavljanja poslova iz članka 126. stavka 1. ovoga Zakona, u skladu s člankom 128. stavkom 2. točkom 1. ovoga Zakona</w:t>
      </w:r>
    </w:p>
    <w:p w14:paraId="24788DE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51. kao subjekt nadzora Agencije iz članka 191. stavka 2. ovoga Zakona ne postupi u skladu s rješenjem o nadzornim mjerama Agencije, izrečenim sukladno članku 201. ovoga Zakona, na način i u roku koji odredi Agencija</w:t>
      </w:r>
    </w:p>
    <w:p w14:paraId="3FE9088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52. kao investicijsko društvo ili kreditna institucija ne objavljuje ponude u skladu s člankom 14. stavkom 1. Uredbe (EU) br. 600/2014</w:t>
      </w:r>
    </w:p>
    <w:p w14:paraId="69F7DCB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53. kao investicijsko društvo ili kreditna institucija kao sistematski internalizator ne objavljuje ponude u skladu s člankom 15. stavkom 1. Uredbe (EU) br. 600/2014</w:t>
      </w:r>
    </w:p>
    <w:p w14:paraId="64DAED2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54. kao investicijsko društvo ili kreditna institucija kao sistematski internalizator ne provodi transparentna i nediskriminirajuća pravila i objektivne kriterije za učinkovito </w:t>
      </w:r>
      <w:r w:rsidRPr="000479E9">
        <w:rPr>
          <w:rFonts w:ascii="Times New Roman" w:hAnsi="Times New Roman" w:cs="Times New Roman"/>
          <w:sz w:val="24"/>
          <w:szCs w:val="24"/>
        </w:rPr>
        <w:lastRenderedPageBreak/>
        <w:t>izvršavanje naloga u skladu s člankom 15. stavkom 1. podstavkom 3. Uredbe (EU) br. 600/2014</w:t>
      </w:r>
    </w:p>
    <w:p w14:paraId="3DC91CD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55. kao investicijsko društvo ili kreditna institucija kao sistematski internalizator učestalo izvršava naloge klijenata prema cijenama različitima od onih propisanih člankom 15. stavkom 2. Uredbe (EU) br. 600/2014</w:t>
      </w:r>
    </w:p>
    <w:p w14:paraId="6763D02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56. kao investicijsko društvo ili kreditna institucija kao sistematski internalizator koji objavljuje ponude za različite veličine učestalo izvršava naloge klijenata protivno uvjetima iz članka 15. stavka 4. Uredbe (EU) br. 600/2014</w:t>
      </w:r>
    </w:p>
    <w:p w14:paraId="7B361C0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57. kao investicijsko društvo ili kreditna institucija kao sistematski internalizator nema jasne standarde koji uređuju pristup ponudama, u skladu s člankom 17. stavkom 1. Uredbe (EU) br. 600/2014</w:t>
      </w:r>
    </w:p>
    <w:p w14:paraId="65DEE00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58. kao investicijsko društvo ili kreditna institucija kao sistematski internalizator nije uskladila ponude, poboljšanja cijena tih ponuda ili cijene izvršenja s pomacima cijene utvrđenima u skladu s člankom 49. Direktive 2014/65/EU, u skladu s člankom 17.a Uredbe (EU) br. 600/2014</w:t>
      </w:r>
    </w:p>
    <w:p w14:paraId="3246884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59. kao investicijsko društvo ili kreditna institucija nije uskladila informacije objavljene u skladu s člankom 21. stavkom 1. Uredbe (EU) br. 600/2014 sa zahtjevima iz članka 21. stavka 3. Uredbe (EU) br. 600/2014</w:t>
      </w:r>
    </w:p>
    <w:p w14:paraId="56E6C3B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60. kao investicijsko društvo ili kreditna institucija nije osigurala da se transakcije dionicama koje imaju međunarodni identifikacijski broj vrijednosnog papira (ISIN) izdan u Europskom gospodarskom prostoru (EGP) i kojima se trguje na mjestu trgovanja koje ono izvršava odvija na odgovarajućem mjestu trgovanja, u skladu s člankom 23. stavkom 1. Uredbe (EU) br. 600/2014</w:t>
      </w:r>
    </w:p>
    <w:p w14:paraId="6DEE241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61. kao investicijsko društvo ili kreditna institucija upravlja unutarnjim sustavom za uparivanje naloga, a nema odobrenje Agencije za pružanje usluge upravljanja MTP-om u skladu s člankom 23. stavkom 2. Uredbe (EU) br. 600/2014</w:t>
      </w:r>
    </w:p>
    <w:p w14:paraId="63EC129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62. kao investicijsko društvo ili kreditna institucija ne čuva podatke o nalozima i transakcijama u skladu s člankom 25. stavkom 1. Uredbe (EU) br. 600/2014</w:t>
      </w:r>
    </w:p>
    <w:p w14:paraId="72925BE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63. kao investicijsko društvo ili kreditna institucija ne objavljuje podatke o transakciji u skladu s uvjetima iz članka 20. stavka 1. Uredbe (EU) br. 600/2014</w:t>
      </w:r>
    </w:p>
    <w:p w14:paraId="73DCDBC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64. kao investicijsko društvo ili kreditna institucija ne objavljuje sve pojedinačne transakcije preko jednog APA-e u skladu s člankom 20. stavkom 2. Uredbe (EU) br. 600/2014</w:t>
      </w:r>
    </w:p>
    <w:p w14:paraId="7AE91F8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65. kao investicijsko društvo ili kreditna institucija ne objavljuje transakcije u skladu s uvjetima iz članka 21. stavka 1. Uredbe (EU) br. 600/2014</w:t>
      </w:r>
    </w:p>
    <w:p w14:paraId="5C6ACEE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66. kao investicijsko društvo ili kreditna institucija učestalo ne objavljuje sve pojedinačne transakcije preko jednog APA-e u skladu s člankom 21. stavkom 2. Uredbe (EU) br. 600/2014</w:t>
      </w:r>
    </w:p>
    <w:p w14:paraId="0890B74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67. kao središnja druga ugovorna strana ne prihvati poravnanje financijskih instrumenata suprotno uvjetima propisanima člankom 35. stavkom 1. Uredbe (EU) br. 600/2014</w:t>
      </w:r>
    </w:p>
    <w:p w14:paraId="32D3270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68. kao središnja druga ugovorna strana uskrati pristup mjestu trgovanja protivno članku 35. stavku 3. Uredbe (EU) br. 600/2014</w:t>
      </w:r>
    </w:p>
    <w:p w14:paraId="698E3A3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69. kao središnja druga ugovorna strana ne prihvati poravnanje financijskih instrumenata suprotno uvjetima propisanima člankom 36. stavkom 1. Uredbe (EU) br. 600/2014</w:t>
      </w:r>
    </w:p>
    <w:p w14:paraId="105D6DE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70. kao središnja druga ugovorna strana uskrati pristup mjestu trgovanja protivno članku 36. stavku 3. Uredbe (EU) br. 600/2014</w:t>
      </w:r>
    </w:p>
    <w:p w14:paraId="6B4D5FA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71. je kao središnja druga ugovorna strana, tržišni operater, investicijsko društvo ili kreditna institucija koja upravlja mjestom trgovanja ili povezani subjekt sklopila sporazum s ponuditeljem referentne vrijednosti u suprotnosti s člankom 37. stavkom 3. Uredbe (EU) br. 600/2014</w:t>
      </w:r>
    </w:p>
    <w:p w14:paraId="125A65E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72. na tržište stavi, distribuira ili prodaje određene financijske instrumente ili strukturirane depozite ili financijske instrumente ili strukturirane depozite s određenim naznačenim obilježjima protivno zabrani ESMA-e, EBA-e ili Agencije u skladu s člancima 40., 41. i 42. Uredbe (EU) br. 600/2014</w:t>
      </w:r>
    </w:p>
    <w:p w14:paraId="310319D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73. obavlja određene vrste financijskih aktivnosti ili praksi protivno zabrani ESMA-e, EBA-e ili Agencije u skladu s člancima 40., 41. i 42. Uredbe (EU) br. 600/2014</w:t>
      </w:r>
    </w:p>
    <w:p w14:paraId="5F023FC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74. kao financijska druga ugovorna strana ili nefinancijska druga ugovorna strana koja podliježe obvezi poravnanja na temelju glave II. Uredbe (EU) br. 648/2012 učestalo zaključuje transakcije protivno članku 28. stavku 1. Uredbe (EU) br. 600/2014</w:t>
      </w:r>
    </w:p>
    <w:p w14:paraId="7456128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75. kao središnja druga ugovorna strana, tržišni operater, investicijsko društvo ili kreditna institucija koja upravlja mjestom trgovanja ili investicijsko društvo ili kreditna institucija koja djeluje kao član poravnanja u skladu s člankom 2. stavkom 14. Uredbe (EU) br. 648/2012 nije uspostavila djelotvorne sustave, postupke i/ili mehanizme u odnosu na poravnane izvedenice u skladu s člankom 29. stavkom 2. Uredbe (EU) br. 600/2014</w:t>
      </w:r>
    </w:p>
    <w:p w14:paraId="2512BA3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76. kao investicijsko društvo, kreditna institucija ili tržišni operater koji je pružatelj usluga smanjenja rizika nakon trgovanja ne vodi potpunu i točnu evidenciju transakcija iz članka 31. stavka 1. Uredbe (EU) br. 600/2014 ili ne pruža Agenciji ili ESMA-i pristup tim evidencijama, u skladu s člankom 31. stavkom 3. Uredbe (EU) br. 600/2014</w:t>
      </w:r>
    </w:p>
    <w:p w14:paraId="5A7D8CC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77. kao osoba koja ima vlasnička prava na referentnu vrijednost nije osigurala pristup središnjoj drugoj ugovornoj strani i/ili mjestu trgovanja podacima u skladu s člankom 37. stavkom 1. Uredbe (EU) br. 600/2014</w:t>
      </w:r>
    </w:p>
    <w:p w14:paraId="1D8F1AE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78. kao investicijsko društvo ili kreditna institucija učestalo ne izvještava Agenciju o detaljima izvršenih transakcija iz članka 26. stavka 1. Uredbe (EU) br. 600/2014, na načine propisane člankom 26. stavkom 7. Uredbe (EU) br. 600/2014 i u rokovima propisanim člankom 26. stavkom 1. Uredbe (EU) br. 600/2014</w:t>
      </w:r>
    </w:p>
    <w:p w14:paraId="160874A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79. kao investicijsko društvo ili kreditna institucija učestalo dostavlja Agenciji izvještaj o izvršenim transakcijama iz članka 26. stavka 1. Uredbe (EU) br. 600/2014 koji nije ispunjen podacima propisanim člankom 26. stavkom 3. Uredbe (EU) br. 600/2014 ili isti izvještaj učestalo ne ispunjava ispravno</w:t>
      </w:r>
    </w:p>
    <w:p w14:paraId="5D70D96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80. kao investicijsko društvo ili kreditna institucija iz članka 26. stavka 4. Uredbe (EU) br. 600/2014 učestalo ne navodi u prenesenom nalogu sve pojedinosti navedene u članku 26. stavcima 1. i 3. Uredbe (EU) br. 600/2014 ili učestalo sama ne izvještava Agenciju o detaljima izvršenih transakcija</w:t>
      </w:r>
    </w:p>
    <w:p w14:paraId="4D50317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81. kao investicijsko društvo ili kreditna institucija koja upravlja mjestom trgovanja učestalo ne izvještava Agenciju sukladno članku 26. stavcima 1. i 3. Uredbe (EU) br. 600/2014 o detaljima transakcija koje su izvršene preko njegova sustava na temelju naloga osobe na koju se ne odnose odredbe Uredbe (EU) br. 600/2014, a sukladno članku 26. stavku 4. Uredbe (EU) br. 600/2014</w:t>
      </w:r>
    </w:p>
    <w:p w14:paraId="1887345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82. kao investicijsko društvo ili kreditna institucija koja upravlja mjestom trgovanja i koja u ime investicijskog društva dostavlja Agenciji izvještaj o izvršenim transakcijama sukladno članku 26. stavku 7. podstavku 1. Uredbe (EU) br. 600/2014, nema uspostavljene i ne primjenjuje organizacijske zahtjeve propisane člankom 26. stavkom 7. podstavkom 5. Uredbe (EU) br. 600/2014</w:t>
      </w:r>
    </w:p>
    <w:p w14:paraId="15EEF23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83. kao investicijsko društvo ili kreditna institucija učestalo ne podnosi ispravljeno izvješće o izvršenim transakcijama iz članka 26. stavka 1. Uredbe (EU) br. 600/2014, sukladno članku 26. stavku 7. podstavku 8. Uredbe (EU) br. 600/2014</w:t>
      </w:r>
    </w:p>
    <w:p w14:paraId="0ACE622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84. kao investicijsko društvo ili kreditna institucija učestalo ne dostavlja Agenciji potpunu specifikaciju pozicija iz članka 383. stavaka 1. i 2. ovoga Zakona, protivno članku 381. stavku 1. točki 1. ovoga Zakona, ili istu specifikaciju ne dostavlja Agenciji u rokovima i u obliku propisanom pravilnikom iz članka 383. stavka 5. ovoga Zakona ili istu specifikaciju učestalo ne ispunjava ispravno</w:t>
      </w:r>
    </w:p>
    <w:p w14:paraId="2A981A8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85. kao investicijsko društvo ili kreditna institucija učestalo ne dostavlja drugom ili središnjem nadležnom tijelu potpunu specifikaciju pozicija iz članka 383. stavaka 1. i 2. ovoga Zakona, protivno članku 381. stavku 1. točkama 1., 2. i 3. ovoga Zakona, ili istu specifikaciju ne dostavlja drugom ili središnjem nadležnom tijelu u obliku propisanom Provedbenom uredbom (EU) br. 2017/1093 ili istu specifikaciju učestalo ne ispunjava ispravno</w:t>
      </w:r>
    </w:p>
    <w:p w14:paraId="283F8FC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86. kao investicijsko društvo ili kreditna institucija koji su članovi uređenog tržišta ili MTP-a ili klijenti OTP-a učestalo ne izvještava investicijska društva, kreditne institucije ili tržišne operatere tih mjesta trgovanja o detaljima vlastitih pozicija, kao i detaljima pozicija konačnih klijenata koje drži putem ugovora kojima se trguje na tom mjestu trgovanja u skladu s člankom 382. ovoga Zakona ili o detaljima pozicija učestalo izvještava neispravno</w:t>
      </w:r>
    </w:p>
    <w:p w14:paraId="297AB49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87. kao investicijsko društvo ili kreditna institucija kao sistematski internalizator ponude daje protivno uvjetima iz članka 14. stavka 3. Uredbe (EU) br. 600/2014 u pogledu cijene i/ili minimalne količine</w:t>
      </w:r>
    </w:p>
    <w:p w14:paraId="636F81D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88. kao burza ne obavlja zadaće vezane uz organizaciju i poslovanje uređenog tržišta u skladu s člankom 284. stavkom 3. ovoga Zakona, vodeći se načelima zaštite javnog interesa i stabilnosti tržišta kapitala u skladu sa stavkom 5. istoga članka</w:t>
      </w:r>
    </w:p>
    <w:p w14:paraId="47D3EAC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89. kao burza ne osigura da uređeno tržište ispunjava uvjete iz dijela prvoga glave III. ovoga Zakona, u skladu s člankom 284. stavkom 2. ovoga Zakona</w:t>
      </w:r>
    </w:p>
    <w:p w14:paraId="27E34C9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90. kao burza nije osigurala da članovi uprave burze u svakom trenutku ispunjavaju svaki od zahtjeva iz članka 288. stavka 4. ovoga Zakona</w:t>
      </w:r>
    </w:p>
    <w:p w14:paraId="55FEAE8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91. kao burza značajna u smislu veličine, unutarnje organizacije i prirode, područja djelovanja i složenosti aktivnosti nije uspostavila odbor za imenovanja, u skladu s odredbama članka 289. stavka 10. ovoga Zakona</w:t>
      </w:r>
    </w:p>
    <w:p w14:paraId="2679365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92. kao burza ako članovi nadzornog odbora burze nemaju pristup informacijama i/ili dokumentima koji su potrebni za nadgledanje i praćenje odlučivanja uprave burze kako je propisano člankom 289. stavkom 16. ovoga Zakona</w:t>
      </w:r>
    </w:p>
    <w:p w14:paraId="1325CF1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93. kao burza Agenciju ne obavijesti u roku iz članka 295. stavka 1. ovoga Zakona o prestanku mandata člana uprave ili nadzornog odbora</w:t>
      </w:r>
    </w:p>
    <w:p w14:paraId="2C8777E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94. kao burza Agenciji ne dostavi podatke na temelju kojih je moguće procijeniti da su ispunjeni svi zahtjevi propisani odredbama članka 288. i odredbama članka 289. ovoga Zakona ili Agenciju ne obavijesti o značajnijim promjenama u načinu izvršenja zahtjeva propisanih odredbama članaka 288. i 289. ovoga Zakona, a sukladno članku 295. stavku 2. ovoga Zakona</w:t>
      </w:r>
    </w:p>
    <w:p w14:paraId="640EE59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95. kao burza nije osigurala da novi zahtjev za izdavanje suglasnosti za imenovanje bude podnesen Agenciji najkasnije u roku od 30 dana od dana primitka obavijesti o ukidanju, prestanku ili odbijanju izdavanja suglasnosti za imenovanje, u skladu s člankom 292. stavkom 7. ovoga Zakona</w:t>
      </w:r>
    </w:p>
    <w:p w14:paraId="2A8B303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96. kao burza nije dostavila Agenciji podatke o vlasničkoj strukturi, imateljima kvalificiranih udjela, kao i o identitetu i iznosu udjela svih osoba koje imaju mogućnost vršiti značajan utjecaj na upravljanje uređenim tržištem kako je propisano člankom 293. stavkom 2. ovoga Zakona</w:t>
      </w:r>
    </w:p>
    <w:p w14:paraId="38C6988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97. kao burza nije obavijestila Agenciju o svim značajnim promjenama u poslovanju burze u skladu s člankom 287. stavkom 8. ovoga Zakona</w:t>
      </w:r>
    </w:p>
    <w:p w14:paraId="35D77E3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98. kao burza nije o padu vlastitih financijskih sredstava obavijestila Agenciju sukladno članku 287. stavku 7. ovoga Zakona</w:t>
      </w:r>
    </w:p>
    <w:p w14:paraId="2711DCC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99. kao burza nije uspostavila ili nije primjenjivala mjere i postupke za funkcioniranje trgovinskog sustava sukladno članku 296. stavku 1. točki 11. ovoga Zakona</w:t>
      </w:r>
    </w:p>
    <w:p w14:paraId="734F54C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100. kao burza nije usvojila ili nije primjenjivala sigurnosne mjere za eventualne poremećaje u sustavu sukladno članku 296. stavku 1. točki 11. ovoga Zakona</w:t>
      </w:r>
    </w:p>
    <w:p w14:paraId="4573F64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101. kao burza nije usvojila ili nije primjenjivala pravila i postupke koji omogućuju korektno i uredno trgovanje sukladno članku 296. stavku 1. točki 12. ovoga Zakona</w:t>
      </w:r>
    </w:p>
    <w:p w14:paraId="0CBC3DF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102. kao burza nije usvojila ili nije primjenjivala objektivne kriterije za djelotvorno izvršavanje naloga sukladno članku 296. stavku 1. točki 12. ovoga Zakona</w:t>
      </w:r>
    </w:p>
    <w:p w14:paraId="2CA0FDD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103. kao burza nije usvojila ili nije primjenjivala mjere koje olakšavaju zaključivanje transakcija sukladno članku 296. stavku 1. točki 13. ovoga Zakona</w:t>
      </w:r>
    </w:p>
    <w:p w14:paraId="3737499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103.a kao burza nije uspostavila mehanizme kojima se osigurava da ispunjava standarde kvalitete podataka na temelju članka 22.b Uredbe (EU) br. 600/2014, u skladu s člankom 296. stavkom 1. točkom 14. ovoga Zakona</w:t>
      </w:r>
    </w:p>
    <w:p w14:paraId="5F101FC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103.b kao burza nije osigurala da ima najmanje tri značajno aktivna člana ili korisnika, od kojih svaki ima mogućnost interakcije s ostalima u vezi s formiranjem cijena, u skladu s člankom 296. stavkom 1. točkom 15. ovoga Zakona</w:t>
      </w:r>
    </w:p>
    <w:p w14:paraId="08A0901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104. je kao burza izdvojila poslovne procese koji su bitni za njezino poslovanje ili rad uređenog tržišta suprotno članku 296. stavku 3. ovoga Zakona</w:t>
      </w:r>
    </w:p>
    <w:p w14:paraId="12C4273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105. kao burza ili operater MTP-a ili operater OTP-a nije uspostavila učinkovite mehanizme sukladno odredbi članka 298. stavka 2. ovoga Zakona i odredbama Delegirane uredbe (EU) br. 2017/584</w:t>
      </w:r>
    </w:p>
    <w:p w14:paraId="0A21E5B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106. kao burza ili operater MTP-a ili operater OTP-a nije osigurala otpornost trgovinskog sustava, sukladno članku 298. stavku 1. točki 1. ovoga Zakona i odredbi Delegirane uredbe (EU) br. 2017/584</w:t>
      </w:r>
    </w:p>
    <w:p w14:paraId="51766AC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107. kao burza ili operater MTP-a ili operater OTP-a nije osigurala dovoljan kapacitet trgovinskog sustava za obradu velikog broja naloga i poruka, sukladno članku 298. stavku 1. točki 2. ovoga Zakona i odredbi Delegirane uredbe (EU) br. 2017/584</w:t>
      </w:r>
    </w:p>
    <w:p w14:paraId="46EC4C0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108. kao burza ili operater MTP-a ili operater OTP-a nije osigurala uredno trgovanje u uvjetima tržišnog stresa, sukladno članku 298. stavku 1. točki 3. ovoga Zakona i odredbi Delegirane uredbe (EU) br. 2017/584</w:t>
      </w:r>
    </w:p>
    <w:p w14:paraId="722EB28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109. kao burza ili operater MTP-a ili operater OTP-a nije uspostavila sustave, postupke i mehanizme za odbacivanje naloga sukladno članku 299. stavku 1. ovoga Zakona</w:t>
      </w:r>
    </w:p>
    <w:p w14:paraId="04834E5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110. kao burza ili operater MTP-a ili operater OTP-a nije osigurala da su parametri za zaustavljanje trgovanja adekvatno prilagođeni na način da u obzir uzima likvidnost različitih razreda i podrazreda imovine, prirodu tržišnog modela i vrste korisnika koji su dovoljni da se izbjegnu značajni poremećaji u urednosti trgovanja i iste primjenjivati, u skladu s člankom 299. stavkom 3. ovoga Zakona</w:t>
      </w:r>
    </w:p>
    <w:p w14:paraId="3C61381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110.a kao burza ili operater MTP-a ili operater OTP-a nije javno objavila na svojoj internetskoj stranici informacije o okolnostima koje su dovele do zaustavljanja ili ograničavanja trgovanja i o načelima za utvrđivanje glavnih tehničkih parametara koji se za to koriste, u skladu s člankom 299. stavkom 7. ovoga Zakona</w:t>
      </w:r>
    </w:p>
    <w:p w14:paraId="78B1DE6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111. kao burza ili operater MTP-a ili operater OTP-a koja upravlja uređenim tržištem bitnim u smislu likvidnosti sukladno odredbama Delegirane uredbe (EU) br. 2017/566 nije uspostavila sustave i postupke radi osiguravanja obavještavanja nadležnog tijela, sukladno članku 299. stavku 6. ovoga Zakona</w:t>
      </w:r>
    </w:p>
    <w:p w14:paraId="5AAE5F5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112. kao burza ili operater MTP-a ili operater OTP-a nije osigurala sustave, postupke i mehanizme kako bi osigurala sprječavanje stvaranja neurednih uvjeta trgovanja i upravljanja neurednim uvjetima trgovanja zbog algoritamskog trgovanja, sukladno članku 301. stavku 1. ovoga Zakona</w:t>
      </w:r>
    </w:p>
    <w:p w14:paraId="6E8CC74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113. kao burza ili operater MTP-a ili operater OTP-a članovima nije omogućila okruženje za provođenje testiranja algoritama, sukladno članku 301. stavku 2. ovoga Zakona i sukladno odredbama Delegirane uredbe (EU) br. 2017/584</w:t>
      </w:r>
    </w:p>
    <w:p w14:paraId="29C4CE0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114. kao burza ili operater MTP-a ili operater OTP-a koji omogućava izravni elektronički pristup uređenom tržištu nije osigurala takav pristup osobama na način kako su one određene sukladno članku 302. stavku 1. podstavku 1. ovoga Zakona</w:t>
      </w:r>
    </w:p>
    <w:p w14:paraId="7E1F914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115. kao burza ili operater MTP-a ili operater OTP-a nije sklopila s članovima sporazume za suspendiranje ili isključivanje pružanja izravnog elektroničkog pristupa, sukladno članku 302. stavku 3. ovoga članka</w:t>
      </w:r>
    </w:p>
    <w:p w14:paraId="1C14D18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116. kao burza ili operater MTP-a ili operater OTP-a nije usvojila režim pomaka cijena za dionice, potvrde o deponiranim vrijednosnim papirima, fondovima čijim se udjelima trguje na burzi, certifikate i/ili druge slične financijske instrumente odnosno sve druge financijske instrumente za koje su zahtjevi uređeni Delegiranom uredbom (EU) br. 2017/588, sukladno članku 303. stavku 1. ovoga Zakona i odredbama Delegirane uredbe (EU) br. 2017/588</w:t>
      </w:r>
    </w:p>
    <w:p w14:paraId="65B79471" w14:textId="1859AE0C"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 xml:space="preserve">117. kao burza Agenciji ne dostavi prijedlog cjenika i/ili njegovih izmjena i dopuna u skladu s člankom 306. stavkom </w:t>
      </w:r>
      <w:r w:rsidR="00011D7F" w:rsidRPr="000479E9">
        <w:rPr>
          <w:rFonts w:ascii="Times New Roman" w:hAnsi="Times New Roman" w:cs="Times New Roman"/>
          <w:sz w:val="24"/>
          <w:szCs w:val="24"/>
        </w:rPr>
        <w:t>9</w:t>
      </w:r>
      <w:r w:rsidRPr="000479E9">
        <w:rPr>
          <w:rFonts w:ascii="Times New Roman" w:hAnsi="Times New Roman" w:cs="Times New Roman"/>
          <w:sz w:val="24"/>
          <w:szCs w:val="24"/>
        </w:rPr>
        <w:t>. ovoga Zakona</w:t>
      </w:r>
    </w:p>
    <w:p w14:paraId="4EC68FD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118. kao burza s obzirom na uvrštenje financijskih instrumenata na uređeno tržište ne uspostavi i/ili ne primijeni pravila, sukladno članku 321. stavku 1. ovoga Zakona</w:t>
      </w:r>
    </w:p>
    <w:p w14:paraId="3287F37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119. kao burza nije osigurala uredno formiranje cijene i/ili postojanje djelotvornih uvjeta namire s obzirom na izvedene financijske instrumente, sukladno članku 321. stavku 3. ovoga Zakona</w:t>
      </w:r>
    </w:p>
    <w:p w14:paraId="2493A1A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120. kao burza nije uspostavila i održavala mjere za provjeru izvršavanja obveza izdavatelja, sukladno članku 321. stavku 6. ovoga Zakona</w:t>
      </w:r>
    </w:p>
    <w:p w14:paraId="4EAC53F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121. kao burza nije omogućila članovima pristup javno objavljenim podacima iz stavka 6. ovoga Zakona, sukladno članku 321. stavku 7. ovoga Zakona</w:t>
      </w:r>
    </w:p>
    <w:p w14:paraId="441DE03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122. kao burza nije uspostavila ili nije primjenjivala mjere redovite provjere usklađenosti financijskih instrumenata, sukladno članku 323. stavku 4. ovoga Zakona</w:t>
      </w:r>
    </w:p>
    <w:p w14:paraId="4930056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123. kao burza ili operater MTP-a ili operater OTP-a ne donese odluku o privremenoj obustavi trgovanja ili isključenju iz trgovanja financijskog instrumenta i svake povezane izvedenice, kada to zahtijeva zaštita ulagatelja ili taj financijski instrument više ne udovoljava pravilima burze, sukladno članku 340. stavku 2. ovoga Zakona</w:t>
      </w:r>
    </w:p>
    <w:p w14:paraId="524D508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124. kao burza ili operater MTP-a ili operater OTP-a na zahtjev Agencije nije slijedila privremenu obustavu ili isključenje, sukladno članku 340. stavku 5. ovoga Zakona</w:t>
      </w:r>
    </w:p>
    <w:p w14:paraId="7B17701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125. kao burza nije uspostavila ili nije održavala ili nije provodila pravila za prijem u članstvo ili pristup uređenom tržištu, sukladno članku 314. stavku 1. ovoga Zakona</w:t>
      </w:r>
    </w:p>
    <w:p w14:paraId="4D34C1E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126. je kao burza prihvatila kao člana uređenog tržišta suprotno uvjetima propisanim člankom 313. stavcima 1. ili 2. ovoga Zakona</w:t>
      </w:r>
    </w:p>
    <w:p w14:paraId="7C00A6B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127. kao burza nije nadzirala naloge, uključujući otkazivanja naloga i transakcije koje obavljaju članovi uređenog tržišta, sukladno članku 316. stavku 2. ovoga Zakona</w:t>
      </w:r>
    </w:p>
    <w:p w14:paraId="4007CF5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128. kao burza nije obavijestila Agenciju o svakom značajnom kršenju svojih pravila, nepravilnim uvjetima trgovanja ili postupanju koje može ukazivati na ponašanje koje je zabranjeno na temelju Uredbe (EU) br. 596/2014 ili poremećaje u sustavu povezane s financijskim instrumentom, sukladno članku 316. stavku 3. ovoga Zakona</w:t>
      </w:r>
    </w:p>
    <w:p w14:paraId="06A9D39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129. kao burza nije dostavila Agenciji sve potrebne podatke ili surađivala s Agencijom ili drugim nadležnim tijelom, sukladno članku 316. stavku 4. ovoga Zakona</w:t>
      </w:r>
    </w:p>
    <w:p w14:paraId="3C27D87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130. kao operater MTP-a ili OTP-a bez odgode ne obustavi ili ne isključi financijske instrumente iz trgovanja, sukladno članku 343. stavku 12. ovoga Zakona</w:t>
      </w:r>
    </w:p>
    <w:p w14:paraId="5FA75FE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131. kao operater MTP-a ili OTP-a upravlja MTP-om ili </w:t>
      </w:r>
      <w:r w:rsidRPr="000479E9">
        <w:rPr>
          <w:rFonts w:ascii="Times New Roman" w:hAnsi="Times New Roman" w:cs="Times New Roman"/>
          <w:sz w:val="24"/>
          <w:szCs w:val="24"/>
        </w:rPr>
        <w:softHyphen/>
        <w:t>OTP-om, ako ne postoji mogućnost interakcije između članova ili korisnika u vezi s formiranjem cijena, sukladno članku 344. stavku 2. ovoga Zakona</w:t>
      </w:r>
    </w:p>
    <w:p w14:paraId="331746F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132. kao operater MTP-a ili OTP-a nije uspostavila djelotvorne sustave, mjere i postupke kako bi postupala u skladu s odredbama članaka 298., 299., 300., 301., 302. ili 303. ovoga Zakona, sukladno članku 344. stavku 3. ovoga Zakona</w:t>
      </w:r>
    </w:p>
    <w:p w14:paraId="1F0A12A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133. kao operater MTP-a ili OTP-a nije uspostavila mehanizme za prepoznavanje i svladavanje negativnih posljedica na djelovanje MTP-a ili OTP-a ili na njegove vlasnike ili članove koje bi sukob interesa između MTP-a, OTP-a, njihovih vlasnika ili operatera MTP-a ili OTP-a mogao imati u dobrom funkcioniranju MTP-a ili OTP-a, sukladno članku 344. stavku 4. ovoga Zakona</w:t>
      </w:r>
    </w:p>
    <w:p w14:paraId="607953F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134. kao operater MTP-a ili OTP-a nije osigurala javno dostupne podatke ili se nije uvjerila da postoji pristup tim podacima, kako bi ulagatelji mogli donijeti investicijsku odluku, a uzimajući u obzir vrstu korisnika i instrumenata kojima se trguje, sukladno članku 345. stavku 1. ovoga Zakona</w:t>
      </w:r>
    </w:p>
    <w:p w14:paraId="29984F9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135. kao operater MTP-a ili OTP-a nije osigurala da izdavatelj vrijednosnih papira bez čije se suglasnosti trguje na MTP-u ili </w:t>
      </w:r>
      <w:r w:rsidRPr="000479E9">
        <w:rPr>
          <w:rFonts w:ascii="Times New Roman" w:hAnsi="Times New Roman" w:cs="Times New Roman"/>
          <w:sz w:val="24"/>
          <w:szCs w:val="24"/>
        </w:rPr>
        <w:softHyphen/>
        <w:t>OTP-u ne podliježe obvezi objavljivanja podataka prema tom MTP-u ili OTP-u, sukladno članku 345. stavku 4. ovoga Zakona</w:t>
      </w:r>
    </w:p>
    <w:p w14:paraId="5332AB5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136. kao operater MTP-a ili OTP-a nije propisala ili primjenjivala transparentna i nediskriminirajuća pravila i postupke kojima se omogućuje korektno i uredno trgovanje, sukladno odredbama članka 346. stavka 1. ovoga Zakona</w:t>
      </w:r>
    </w:p>
    <w:p w14:paraId="59E45E7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137. kao operater MTP-a ili OTP-a nije redovito pratila sve aktivnosti na nalozima poslanim u sustav, kao i transakcije koje su izvršili njihovi članovi u cilju utvrđivanja mogućeg kršenja pravila, neurednih uvjeta trgovanja, postupanja koje može ukazivati na ponašanje koje je zabranjeno na temelju Uredbe (EU) br. 596/2014 ili poremećaje u sustavu povezane s financijskim instrumentom, sukladno članku 347. stavku 2. ovoga Zakona</w:t>
      </w:r>
    </w:p>
    <w:p w14:paraId="2908824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137.a kao operater MTP-a ili OTP-a nije uspostavio mehanizme kojima osigurava ispunjavanje standarda kvalitete podataka na temelju članka 22.b Uredbe (EU) br. 600/2014, u skladu s člankom 347. stavkom 4. ovoga Zakona</w:t>
      </w:r>
    </w:p>
    <w:p w14:paraId="467A941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138. kao operater MTP-a ili OTP-a nije bez odgode obavijestila Agenciju o tome da je utvrdila značajno kršenje pravila MTP-a ili OTP-a, neurednih uvjeta trgovanja, postupanja koje može ukazivati na ponašanje koje je zabranjeno na temelju Uredbe (EU) br. 596/2014 ili poremećaja u sustavu povezanih s financijskim instrumentom, sukladno članku 347. stavku 5. ovoga Zakona</w:t>
      </w:r>
    </w:p>
    <w:p w14:paraId="679110D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139. kao operater MTP-a ili OTP-a ne dostavi bez odgode Agenciji sve potrebne podatke ili ne surađuje prilikom nadzora, provođenja istražnih radnji i mjera nad slučajevima zlouporabe tržišta koje su se dogodile unutar sustava MTP-a ili OTP-a kojim upravlja, sukladno članku 347. stavku 6. ovoga Zakona</w:t>
      </w:r>
    </w:p>
    <w:p w14:paraId="433F44E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140. kao operater MTP-a nije propisala i/ili provodila pravila, sukladno članku 349. stavku 1. ovoga Zakona</w:t>
      </w:r>
    </w:p>
    <w:p w14:paraId="6D42E1A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141. kao operater MTP-a nije uspostavila ili primjenjivala mjere koje omogućuju nesmetano i pravodobno zaključivanje transakcija koje se izvršavaju unutar sustava MTP-a, sukladno članku 349. stavku 3. ovoga Zakona</w:t>
      </w:r>
    </w:p>
    <w:p w14:paraId="39D7A30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142. kao operater MTP-a nije kontinuirano tijekom poslovanja imala dovoljna financijska sredstva, ovisno o vrsti i opsegu zaključenih transakcija te stupnju rizika kojima su izloženi, kako bi se omogućilo uredno funkcioniranje MTP-a, sukladno članku 349. stavku 4. ovoga Zakona</w:t>
      </w:r>
    </w:p>
    <w:p w14:paraId="20970C6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143. je kao investicijsko društvo ili tržišni operater koji upravlja MTP-om izvršavala naloge klijenata uz korištenje vlastitog kapitala ili je trgovala za vlastiti račun uparivanjem naloga, sukladno članku 349. stavku 6. ovoga Zakona</w:t>
      </w:r>
    </w:p>
    <w:p w14:paraId="5DC3ADB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144. kao operater OTP-a nije uspostavila ili primjenjivala mehanizme za sprječavanje izvršavanja naloga klijenata uz korištenje vlastitog kapitala investicijskog društva, burze ili bilo kojeg subjekta koji je dio iste grupe ili pravne osobe kao operater OTP-a, sukladno članku 350. stavku 1. ovoga Zakona</w:t>
      </w:r>
    </w:p>
    <w:p w14:paraId="36EC780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145. je kao operater OTP-a djelovala i kao sistematski internalizator, protivno zabrani iz članka 350. stavka 2. ovoga Zakona</w:t>
      </w:r>
    </w:p>
    <w:p w14:paraId="28C5C55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146. je kao operater OTP-a povezala OTP sa sistematskim internalizatorom na način na koji bi se omogućilo povezivanje naloga u OTP-u i naloga ili ponuda u sistematskom internalizatoru, sukladno članku 350. stavku 3. ovoga Zakona</w:t>
      </w:r>
    </w:p>
    <w:p w14:paraId="46306CC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147. je kao operater OTP-a povezala OTP s drugim OTP-om na način koji je omogućio povezivanje naloga na različitim OTP-ima, sukladno članku 350. stavku 4. ovoga Zakona</w:t>
      </w:r>
    </w:p>
    <w:p w14:paraId="4ACAD84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148. je kao operater OTP-a trgovala za vlastiti račun uparivanjem naloga, sukladno odredbi članka 3. točke 121. ovoga Zakona bez pristanka klijenta ili je trgovala financijskim instrumentima koji nisu obveznice, strukturirani financijski proizvodi, emisijske jedinice i izvedenicama koje ispunjavaju uvjete propisane člankom 350. stavkom 8. ovoga Zakona, sukladno članku 350. stavku 5. ovoga Zakona</w:t>
      </w:r>
    </w:p>
    <w:p w14:paraId="62D7F38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149. je kao operater OTP-a koristila pravo diskrecije iako nije bio ispunjen jedan od uvjeta propisanih člankom 350. stavkom 10. ovoga Zakona</w:t>
      </w:r>
    </w:p>
    <w:p w14:paraId="11A69D2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150. kao operater MTP-a koji je registrirao MTP kao rastuće tržište malih i srednjih poduzeća nije uspostavila ili primjenjivala jasna pravila, sustave ili postupke kojima se osigurava ispunjenje zahtjeva da se prilikom prvotnog primanja financijskih instrumenata u trgovinu na MTP-u objavljuje dovoljno informacija kako bi se ulagateljima omogućilo donošenje informirane odluke o ulaganju u te financijske instrumente, sukladno članku 352. stavku 3. točki 3. ovoga Zakona</w:t>
      </w:r>
    </w:p>
    <w:p w14:paraId="3FE76E2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151. kao operater MTP-a koji je registrirao MTP kao rastuće tržište malih i srednjih poduzeća nije uspostavila ili primjenjivala jasna pravila, sustave ili postupke kojima se osigurava ispunjenje zahtjeva da izdavatelji na MTP-u kako je definirano člankom 3. stavkom 1. točkom 21. Uredbe (EU) br. 596/2014, osobe koje obavljaju rukovoditeljske dužnosti definirane člankom 3. stavkom 1. točkom 25. Uredbe (EU) br. 596/2014 te osobe usko povezane s njima definirane člankom 3. stavkom 1. točkom 26. Uredbe (EU) br. 596/2014 moraju ispunjavati relevantne zahtjeve koji se na njih primjenjuju u okviru Uredbe (EU) br. 596/2014, sukladno članku 352. stavku 3. točki 5. ovoga Zakona</w:t>
      </w:r>
    </w:p>
    <w:p w14:paraId="2C78D21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152. kao operater MTP-a koji je registrirao MTP kao rastuće tržište malih i srednjih poduzeća nije uspostavila ili nije primjenjivala jasna pravila, sustave ili postupke kojima se osigurava ispunjenje zahtjeva da prospekti odnosno dokumenti za primanje u trgovinu iz članka 352. stavka 3. točke 3. ovoga Zakona, financijski izvještaji iz članka 352. stavka 3. točke 5. ovoga Zakona i informacije iz članka 7. stavka 1. Uredbe (EU) br. 596/2014 koje objave izdavatelji čiji su financijski instrumenti primljeni u trgovinu na MTP-u budu dostupni javnosti tako da su objavljene na internetskoj stranici operatera MTP-a odnosno da je na internetskoj stranici operatera MTP-a dostupna izravna poveznica na internetsku stranicu izdavatelja na kojoj su objavljeni ti dokumenti, izvještaji odnosno informacije, s time da navedeni dokumenti, izvještaji i informacije odnosno izravne poveznice na internetsku stranicu izdavatelja moraju biti dostupne na internetskoj stranici operatera MTP-a tijekom razdoblja od najmanje pet godina, računajući od dana kada su objavljene, sukladno članku 352. stavku 3. točki 6. ovoga Zakona</w:t>
      </w:r>
    </w:p>
    <w:p w14:paraId="322077A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153. kao operater MTP-a koji je registrirao MTP kao rastuće tržište malih i srednjih poduzeća nije uspostavila ili nije primjenjivala jasna pravila, sustave ili postupke kojima se osigurava ispunjenje zahtjeva da su uspostavljeni učinkoviti sustavi i kontrole u svrhu sprečavanja i otkrivanja zlouporabe tržišta na MTP-u u skladu sa zahtjevima Uredbe (EU) br. 596/2014, sukladno članku 352. stavku 3. točki 7. ovoga Zakona</w:t>
      </w:r>
    </w:p>
    <w:p w14:paraId="229A029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154. kao tržišni operater ili investicijsko društvo ili kreditna institucija koja vodi mjesto trgovanja ne objavljuje neprekidno tijekom uobičajenog vremena trgovanja podatke iz članka 3. stavka 1. Uredbe (EU) br. 600/2014</w:t>
      </w:r>
    </w:p>
    <w:p w14:paraId="0962A0B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155. kao tržišni operater ili investicijsko društvo ili kreditna institucija koja vodi mjesto trgovanja onemogući pristup sustavima iz članka 3. stavka 1. Uredbe (EU) br. 600/2014, sukladno odredbi članka 3. stavka 3. Uredbe (EU) br. 600/2014</w:t>
      </w:r>
    </w:p>
    <w:p w14:paraId="27BD67D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156. kao tržišni operater ili investicijsko društvo ili kreditna institucija koja vodi mjesto trgovanja na kojemu se formaliziraju dogovorene transakcije u skladu s člankom 4. stavkom 1. točkom (b) podtočkom 1. Uredbe (EU) br. 600/2014 ne osigura uvjete iz članka 4. stavka 3. podstavka 1. Uredbe (EU) br. 600/2014</w:t>
      </w:r>
    </w:p>
    <w:p w14:paraId="2845CCF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157. kao tržišni operater ili investicijsko društvo ili kreditna institucija koja vodi mjesto trgovanja ne objavljuje pojedinosti o transakcijama, u skladu s člankom 6. stavkom 1. Uredbe (EU) br. 600/2014</w:t>
      </w:r>
    </w:p>
    <w:p w14:paraId="18D5177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158. kao tržišni operater ili investicijsko društvo ili kreditna institucija koja vodi mjesto trgovanja onemogući pristup sustavima iz članka 6. stavka 1. Uredbe (EU) br. 600/2014, sukladno odredbi članka 6. stavka 2. Uredbe (EU) br. 600/2014</w:t>
      </w:r>
    </w:p>
    <w:p w14:paraId="41F2141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159. kao tržišni operater ili investicijsko društvo ili kreditna institucija koja vodi mjesto trgovanja sklopi dogovor o odgođenoj objavi ili odgodi objavu podataka o trgovanju bez prethodnog odobrenja Agencije, u skladu s člankom 7. stavkom 1. Uredbe (EU) br. 600/2014</w:t>
      </w:r>
    </w:p>
    <w:p w14:paraId="7EFA54E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160. kao tržišni operater ili investicijsko društvo ili kreditna institucija koja vodi mjesto trgovanja o dogovoru o odgođenom objavljivanju podataka o trgovanju ne obavijesti tržišne sudionike i javnost u skladu s člankom 7. stavkom 1. Uredbe (EU) br. 600/2014</w:t>
      </w:r>
    </w:p>
    <w:p w14:paraId="64972C5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161. kao tržišni operater ili investicijsko društvo ili kreditna institucija koja vodi mjesto trgovanja ne objavljuje neprekidno tijekom uobičajenog vremena trgovanja podatke iz članka 8. stavka 1. Uredbe (EU) br. 600/2014</w:t>
      </w:r>
    </w:p>
    <w:p w14:paraId="168D793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162. kao tržišni operater ili investicijsko društvo ili kreditna institucija koja vodi mjesto trgovanja ne objavljuje neprekidno tijekom uobičajenog vremena trgovanja podatke iz članka 8.a stavka 1. Uredbe (EU) br. 600/2014</w:t>
      </w:r>
    </w:p>
    <w:p w14:paraId="4C6F60B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163. kao tržišni operater ili investicijsko društvo ili kreditna institucija koja vodi mjesto trgovanja ne objavljuje neprekidno tijekom uobičajenog vremena trgovanja podatke iz članka 8.b stavka 1. Uredbe (EU) br. 600/2014</w:t>
      </w:r>
    </w:p>
    <w:p w14:paraId="67DDEF0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164. kao tržišni operater ili investicijsko društvo ili kreditna institucija koja vodi mjesto trgovanja ne objavljuje podatke u skladu s člankom 10. stavkom 1. Uredbe (EU) br. 600/2014</w:t>
      </w:r>
    </w:p>
    <w:p w14:paraId="482788E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165. kao tržišni operater ili investicijsko društvo ili kreditna institucija koja vodi mjesto trgovanja onemogući pristup sustavima iz članka 10. stavka 1. Uredbe (EU) br. 600/2014, sukladno odredbi članka 10. stavka 2. Uredbe (EU) br. 600/2014</w:t>
      </w:r>
    </w:p>
    <w:p w14:paraId="2FBBE9F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166. kao tržišni operater ili investicijsko društvo ili kreditna institucija koja vodi mjesto trgovanja o dogovoru o odgođenom objavljivanju podataka o trgovanju ne obavijesti tržišne sudionike i javnost, u skladu s člankom 11. stavkom 1. Uredbe (EU) br. 600/2014</w:t>
      </w:r>
    </w:p>
    <w:p w14:paraId="570AD58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167. kao tržišni operater ili investicijsko društvo ili kreditna institucija koja vodi mjesto trgovanja informacije objavljene u skladu s člancima 3., 4. i 6. do 11. Uredbe (EU) br. 600/2014 ne stavi na raspolaganje javnosti, u skladu s člankom 12. stavkom 1. Uredbe (EU) br. 600/2014</w:t>
      </w:r>
    </w:p>
    <w:p w14:paraId="55AFB75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168. kao tržišni operater ili investicijsko društvo ili kreditna institucija koja vodi mjesto trgovanja informacije objavljene u skladu s člancima 3., 4. i 6. do 11. Uredbe (EU) br. 600/2014 ne stavi na raspolaganje javnosti pod uvjetima propisanima u skladu s člankom 13. stavkom 1. Uredbe (EU) br. 600/2014</w:t>
      </w:r>
    </w:p>
    <w:p w14:paraId="5118C5F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169. kao tržišni operater ili investicijsko društvo ili kreditna institucija koja vodi mjesto trgovanja ne čuva podatke u skladu s člankom 25. stavkom 2. Uredbe (EU) br. 600/2014</w:t>
      </w:r>
    </w:p>
    <w:p w14:paraId="3E6F744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170. kao tržišni operater, investicijsko društvo ili kreditna institucija koja upravlja mjestom trgovanja zahtjev za pristup središnjoj drugoj ugovornoj strani ne dostavi Agenciji u skladu s člankom 35. stavkom 2. Uredbe (EU) br. 600/2014</w:t>
      </w:r>
    </w:p>
    <w:p w14:paraId="54CC1EE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171. kao tržišni operater, investicijsko društvo ili kreditna institucija koja upravlja mjestom trgovanja zahtjev za pristup središnjoj drugoj ugovornoj strani ne dostavi Agenciji u skladu s člankom 36. stavkom 2. Uredbe (EU) br. 600/2014</w:t>
      </w:r>
    </w:p>
    <w:p w14:paraId="35C9973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172. kao tržišni operater nije osigurala da transakcije izvedenicama koje su zaključene na uređenom tržištu poravnava središnja druga ugovorna strana u skladu s člankom 29. stavkom 1. Uredbe (EU) br. 600/2014</w:t>
      </w:r>
    </w:p>
    <w:p w14:paraId="11BA43DD"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173. kao tržišni operater ili investicijsko društvo ili kreditna institucija koja upravlja mjestom trgovanja ne uspostavi kontrolne mehanizme u vezi s upravljanjem robnim izvedenicama ili izvedenicama na emisijske jedinice kojima se trguje na tom mjestu trgovanja, a u skladu s člankom 380. stavkom 1. ovoga Zakona</w:t>
      </w:r>
    </w:p>
    <w:p w14:paraId="31CA41F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174. kao tržišni operater ili investicijsko društvo ili kreditna institucija koja upravlja mjestom trgovanja ne obavijesti Agenciju o detaljima uspostavljenih kontrolnih mehanizama vezanih uz upravljanje pozicijama ili izmjenama istih, protivno obvezi iz članka 380. stavka 4. ovoga Zakona</w:t>
      </w:r>
    </w:p>
    <w:p w14:paraId="3750670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175. kao tržišni operater ili investicijsko društvo ili kreditna institucija koja upravlja mjestom trgovanja, za mjesta trgovanja na kojima se trguje opcijama, učestalo ne objavljuje dva tjedna izvještaja ili ih ne ispunjava u skladu s člankom 381. stavkom 1. točkom 1. ovoga Zakona</w:t>
      </w:r>
    </w:p>
    <w:p w14:paraId="228E803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175.a kao tržišni operater ili investicijsko društvo ili kreditna institucija koja upravlja mjestom trgovanja, za mjesta trgovanja na kojima se ne trguje opcijama, ne objavi tjedni izvještaj o elementima iz članka 381. stavka 1. točke 1. ovoga Zakona, protivno članku 381. stavku 1. točki 2. ovoga Zakona</w:t>
      </w:r>
    </w:p>
    <w:p w14:paraId="4FDAA38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176. kao tržišni operater ili investicijsko društvo ili kreditna institucija koja upravlja mjestom trgovanja, za mjesta trgovanja na kojima se trguje opcijama, učestalo ne dostavlja Agenciji izvještaje iz članka 381. stavka 1. točke 1. ovoga Zakona u skladu s člankom 381. stavkom 2. ovoga Zakona</w:t>
      </w:r>
    </w:p>
    <w:p w14:paraId="11C0B6E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177. kao tržišni operater ili investicijsko društvo ili kreditna institucija koja upravlja mjestom trgovanja, za mjesta trgovanja na kojima se trguje opcijama, učestalo ne dostavlja ESMA-i izvještaje iz članka 381. stavka 1. točke 1. ovoga Zakona u skladu s člankom 381. stavkom 2. ovoga Zakona</w:t>
      </w:r>
    </w:p>
    <w:p w14:paraId="2934B61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177.a kao tržišni operater ili investicijsko društvo ili kreditna institucija koja upravlja mjestom trgovanja, za mjesta trgovanja na kojima se ne trguje opcijama, učestalo ne dostavlja Agenciji izvještaje iz članka 381. stavka 1. točke 2. ovoga Zakona u skladu s člankom 381. stavkom 2. ovoga Zakona</w:t>
      </w:r>
    </w:p>
    <w:p w14:paraId="663AA72F"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177.b kao tržišni operater ili investicijsko društvo ili kreditna institucija koja upravlja mjestom trgovanja, za mjesta trgovanja na kojima se ne trguje opcijama, učestalo ne dostavlja ESMA-i izvještaje iz članka 381. stavka 1. točke 2. ovoga Zakona</w:t>
      </w:r>
    </w:p>
    <w:p w14:paraId="732CA89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178. kao tržišni operater ili investicijsko društvo ili kreditna institucija koja upravlja mjestom trgovanja učestalo ne dostavlja Agenciji izvještaj iz članka 381. stavka 1. točke 3. ovoga Zakona ili isti izvještaj učestalo ne dostavlja Agenciji na zahtjev</w:t>
      </w:r>
    </w:p>
    <w:p w14:paraId="134B8B2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179. kao tržišni operater učestalo ne izvještava Agenciju sukladno članku 26. stavcima 1. i 3. Uredbe (EU) br. 600/2014 o detaljima transakcija koje su izvršene preko njezina sustava, na temelju naloga osobe na koju se ne odnose odredbe Uredbe (EU) br. 600/2014, a sukladno članku 26. stavku 4. Uredbe (EU) br. 600/2014</w:t>
      </w:r>
    </w:p>
    <w:p w14:paraId="542563B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180. kao tržišni operater koji u ime investicijskog društva dostavlja Agenciji izvještaj o izvršenim transakcijama sukladno članku 26. stavku 7. podstavku 1. Uredbe (EU) br. 600/2014, učestalo dostavlja Agenciji izvještaj o izvršenim transakcijama koji nije ispunjen podacima propisanim člankom 26. stavkom 3. Uredbe (EU) br. 600/2014 ili isti izvještaj učestalo ne ispunjava ispravno</w:t>
      </w:r>
    </w:p>
    <w:p w14:paraId="396ECDC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181. kao tržišni operater koji u ime investicijskog društva dostavlja Agenciji izvještaj o izvršenim transakcijama sukladno članku 26. stavku 7. podstavku 1. Uredbe (EU) br. 600/2014 nema uspostavljene i ne primjenjuje organizacijske zahtjeve propisane člankom 26. stavkom 7. podstavkom 5. Uredbe (EU) br. 600/2014</w:t>
      </w:r>
    </w:p>
    <w:p w14:paraId="6AD8250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182. kao tržišni operater učestalo ne podnosi ispravljeno izvješće o izvršenim transakcijama iz članka 26. stavka 1. Uredbe (EU) br. 600/2014 u ime investicijskog društva, sukladno članku 26. stavku 7. podstavku 8. Uredbe (EU) br. 600/2014</w:t>
      </w:r>
    </w:p>
    <w:p w14:paraId="0111551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183. kao pružatelj usluga dostave podataka ne obavijesti Agenciju o svim promjenama u sastavu uprave sukladno članku 366. stavku 5. ovoga Zakona</w:t>
      </w:r>
    </w:p>
    <w:p w14:paraId="10F9004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184. kao pružatelj usluga dostave podataka, investicijsko društvo, kreditna institucija ili tržišni operater koje je APA, koji je dobio odobrenje Agencije sukladno članku 358. ovoga Zakona učestalo ne objavljuje podatke propisane člancima 20. i 21. Uredbe (EU) br. 600/2014 što je tehnički moguće bliže stvarnom vremenu, u skladu s člankom 27.g stavkom 1. Uredbe (EU) br. 600/2014</w:t>
      </w:r>
    </w:p>
    <w:p w14:paraId="3B8CB03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185. kao pružatelj usluga dostave podataka, investicijsko društvo, kreditna institucija ili tržišni operater koje je APA, koji je dobio odobrenje Agencije sukladno članku 358. ovoga Zakona učestalo ne omogućava da su podaci iz članka 27.g stavka 1. Uredbe (EU) br. 600/2014 besplatno dostupni 15 minuta nakon što ih je APA objavila, u skladu s člankom 27.g stavkom 1. Uredbe (EU) br. 600/2014</w:t>
      </w:r>
    </w:p>
    <w:p w14:paraId="1F50D5B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186. kao pružatelj usluga dostave podataka, investicijsko društvo, kreditna institucija ili tržišni operater koje je APA, koji je dobio odobrenje Agencije sukladno članku 358. ovoga Zakona učestalo ne distribuira podatke iz članaka 20. i 21. Uredbe (EU) </w:t>
      </w:r>
      <w:r w:rsidRPr="000479E9">
        <w:rPr>
          <w:rFonts w:ascii="Times New Roman" w:hAnsi="Times New Roman" w:cs="Times New Roman"/>
          <w:sz w:val="24"/>
          <w:szCs w:val="24"/>
        </w:rPr>
        <w:lastRenderedPageBreak/>
        <w:t>br. 600/2014 na način koji osigurava brz pristup podacima na nediskriminirajućoj osnovi i u formatu koji olakšava konsolidiranje podataka sa sličnim podacima iz drugih izvora, u skladu s člankom 27.g stavkom 1. Uredbe (EU) br. 600/2014</w:t>
      </w:r>
    </w:p>
    <w:p w14:paraId="7B243B7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187. kao pružatelj usluga dostave podataka, investicijsko društvo, kreditna institucija ili tržišni operater koje je APA, koji je dobio odobrenje Agencije sukladno članku 358. ovoga Zakona učestalo ne uključuje pojedinosti propisane člankom 27.g stavkom 2. Uredbe (EU) br. 600/2014 u podatke koje je dužna objaviti sukladno članku 27.g stavku 1. Uredbe (EU) br. 600/2014 učestalo</w:t>
      </w:r>
    </w:p>
    <w:p w14:paraId="3809A6C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188. kao pružatelj usluga dostave podataka, investicijsko društvo, kreditna institucija ili tržišni operater koje je APA, koji je dobio odobrenje Agencije sukladno odredbama ovoga Zakona kontinuirano ne ispunjava organizacijske zahtjeve iz članka 27.g stavaka 3. do 5. Uredbe (EU) br. 600/2014</w:t>
      </w:r>
    </w:p>
    <w:p w14:paraId="6550382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189. kao pružatelj usluga dostave podataka, investicijsko društvo, kreditna institucija ili tržišni operater koje je APA, koji je dobio odobrenje Agencije sukladno odredbama ovoga Zakona ne održava mehanizme koji osiguravaju da su usluge APA-e razdvojene od ostalih poslovnih funkcija u skladu s člankom 27.g stavkom 3. Uredbe (EU) br. 600/2014, a utvrdi se kako navedeno postupanje rezultira diskriminacijom prikupljenih podataka</w:t>
      </w:r>
    </w:p>
    <w:p w14:paraId="5187D0F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190. kao pružatelj usluga dostave podataka, investicijsko društvo, kreditna institucija ili tržišni operater koje je APA, koji je dobio odobrenje Agencije sukladno odredbama ovoga Zakona ne pohranjuje podatke u skladu s člankom 22. stavkom 2. Uredbe (EU) br. 600/2014 i regulatornim tehničkim standardima koje donosi ESMA, sukladno članku 22. stavku 4. Uredbe (EU) br. 600/2014</w:t>
      </w:r>
    </w:p>
    <w:p w14:paraId="62678909"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191. kao pružatelj usluga dostave podataka, investicijsko društvo, kreditna institucija ili tržišni operater koje je ARM učestalo dostavlja Agenciji izvještaj o izvršenim transakcijama iz članka 26. stavka 1. Uredbe (EU) br. 600/2014 koji nije ispunjen podacima propisanim člankom 26. stavkom 3. Uredbe (EU) br. 600/2014 ili isti izvještaj učestalo ne ispunjava ispravno</w:t>
      </w:r>
    </w:p>
    <w:p w14:paraId="39011628"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192. kao pružatelj usluga dostave podataka, investicijsko društvo, kreditna institucija ili tržišni operater koje je ARM učestalo ne dostavlja Agenciji ispravljeno izvješće o izvršenim transakcijama iz članka 26. stavka 1. Uredbe (EU) br. 600/2014, sukladno članku 26. stavku 7. podstavku 8. Uredbe (EU) br. 600/2014</w:t>
      </w:r>
    </w:p>
    <w:p w14:paraId="79BBC7FB"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193. kao pružatelj usluga dostave podataka, investicijsko društvo, kreditna institucija ili tržišni operater koje je ARM kontinuirano ne ispunjava organizacijske zahtjeve iz članka 369. stavka 3. ovoga Zakona</w:t>
      </w:r>
    </w:p>
    <w:p w14:paraId="33F3E504"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194. kao pružatelj usluga dostave podataka, investicijsko društvo, kreditna institucija ili tržišni operater koje je ARM ne održava mehanizme koji osiguravaju da su usluge ARM-a razdvojene od ostalih poslovnih funkcija u skladu s člankom 369. stavkom 4. ovoga Zakona, a utvrdi se kako navedeno postupanje rezultira diskriminacijom prikupljenih podataka</w:t>
      </w:r>
    </w:p>
    <w:p w14:paraId="2EA5959C"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195. kao pružatelj usluga dostave podataka, investicijsko društvo, kreditna institucija ili tržišni operater koji obavlja usluge dostave podataka ne postupi u skladu s rješenjem o nadzornim mjerama Agencije, izrečenim sukladno članku 372. ovoga Zakona, na način i u roku koji odredi Agencija</w:t>
      </w:r>
    </w:p>
    <w:p w14:paraId="21693C4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196. ima poziciju koja je veća od ograničenja utvrđenog za tu robnu izvedenicu, a što je protivno članku 374. ovoga Zakona</w:t>
      </w:r>
    </w:p>
    <w:p w14:paraId="5D39D83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197. ne dostavi ili ne dostavi u roku podatke o veličini i namjeni pozicije ili izloženosti koja proizlazi iz sklopljenog ugovora o robnoj izvedenici ili ekonomski jednakovrijednog OTC ugovora i imovine ili obveze u vezi s tržištem temeljnog instrumenta u skladu s člankom 385. stavkom 3. ovoga Zakona</w:t>
      </w:r>
    </w:p>
    <w:p w14:paraId="0F27A153"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198. ne izvrši mjere na način i u rokovima propisanim rješenjem Agencije iz članka 385. stavka 5. ovoga Zakona</w:t>
      </w:r>
    </w:p>
    <w:p w14:paraId="7E64B89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199. kao izdavatelj financijskih instrumenata uvrštenih na uređeno tržište nije osigurala postojanje identifikacijskog broja odnosno identifikacijske oznake sukladno odredbama članka 3. Delegirane uredbe (EU) br. 2017/585, a u skladu s člankom 320. stavkom 4. ovoga Zakona</w:t>
      </w:r>
    </w:p>
    <w:p w14:paraId="790AE8C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200. kao izdavatelj financijskih instrumenata uvrštenih na MTP ili OTP nije osigurala postojanje identifikacijskog broja odnosno identifikacijske oznake sukladno odredbama članka 3. Delegirane uredbe (EU) br. 2017/585, a u skladu s člankom 345. stavkom 5. ovoga Zakona</w:t>
      </w:r>
    </w:p>
    <w:p w14:paraId="3290E572"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201. kao subjekt nadzora Agencije iz članka 683. stavka 1. točke 1. podtočaka a), b) i c) ovoga Zakona ili kao pravna osoba čija je podružnica subjekt nadzora iz članka 683. stavka 1. točke 1. podtočaka d) do m) ovoga Zakona ne omogući Agenciji i/ili ovlaštenim osobama Agencije, na njihov zahtjev i u traženom roku, obavljanje nadzora, tako što protivno članku 684. stavku 2. točki 2. ovoga Zakona ne omogući na zahtjev Agencije ili ovlaštene osobe Agencije pristup svakom dokumentu i podacima u bilo kojem obliku i/ili ne dostavi njihovu presliku, uključujući poslovne knjige i dokumentaciju</w:t>
      </w:r>
    </w:p>
    <w:p w14:paraId="7BBF2771"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202. kao subjekt nadzora Agencije iz članka 683. stavka 1. točke 1. podtočaka a), b) i c) ovoga Zakona ili kao pravna osoba čija je podružnica subjekt nadzora iz članka 683. stavka 1. točke 1. podtočaka d) do m) ovoga Zakona ne omogući Agenciji i/ili ovlaštenim osobama Agencije, na njihov zahtjev i u traženom roku, obavljanje nadzora, tako što protivno članku 684. stavku 2. točki 4. ovoga Zakona ne da postojeće zapise telefonskih razgovora, elektroničkih komunikacija i ostalih zapisa o podatkovnom prometu koji su dostupni subjektu nadzora ili drugoj osobi kojoj su propisane obveze čuvanja takvih zapisa ovim Zakonom, Uredbom (EU) br. 596/2014, Uredbom (EU) br. 600/2014 ili drugim relevantnim propisom</w:t>
      </w:r>
    </w:p>
    <w:p w14:paraId="6F5922DE"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203. kao subjekt nadzora Agencije iz članka 683. stavka 1. točke 1. podtočaka a), b) i c) ovoga Zakona ili kao pravna osoba čija je podružnica subjekt nadzora iz članka 683. stavka 1. točke 1. podtočaka d) do m) ovoga Zakona ne omogući Agenciji i/ili ovlaštenim osobama Agencije, na njihov zahtjev i u traženom roku, obavljanje nadzora, tako što protivno članku 688. stavku 3. ovoga Zakona ne uruči sve traženo i/ili ne osigura standardno sučelje za pristup sustavu za upravljanje bazama podataka kojima se koristi</w:t>
      </w:r>
    </w:p>
    <w:p w14:paraId="499B9290"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204. kao subjekt nadzora Agencije iz članka 683. stavka 1. točke 1. podtočaka a), b) i c) ovoga Zakona ili kao pravna osoba čija je podružnica subjekt nadzora iz članka 683. stavka 1. točke 1. podtočaka d) do m) ovoga Zakona ne omogući Agenciji i/ili </w:t>
      </w:r>
      <w:r w:rsidRPr="000479E9">
        <w:rPr>
          <w:rFonts w:ascii="Times New Roman" w:hAnsi="Times New Roman" w:cs="Times New Roman"/>
          <w:sz w:val="24"/>
          <w:szCs w:val="24"/>
        </w:rPr>
        <w:lastRenderedPageBreak/>
        <w:t>ovlaštenim osobama Agencije, na njihov zahtjev i u traženom roku, obavljanje nadzora, tako što protivno članku 690. stavku 2. ovoga Zakona ne preda dokumentaciju iz koje je razvidan potpuni opis rada informacijskog sustava</w:t>
      </w:r>
    </w:p>
    <w:p w14:paraId="70527826"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205. kao subjekt nadzora Agencije iz članka 683. stavka 1. točke 1. podtočaka a), b) i c) ovoga Zakona ili kao pravna osoba čija je podružnica subjekt nadzora iz članka 683. stavka 1. točke 1. podtočaka d) do m) ovoga Zakona ne omogući Agenciji i/ili ovlaštenim osobama Agencije, na njihov zahtjev i u traženom roku, obavljanje nadzora, tako što protivno članku 689. stavcima 1. i 2. ovoga Zakona ne osigura uvjete za obavljanje nadzora</w:t>
      </w:r>
    </w:p>
    <w:p w14:paraId="26D841D7"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206. kao subjekt nadzora Agencije iz članka 683. stavka 1. točke 1. podtočaka a), b) i c) ovoga Zakona ili kao pravna osoba čija je podružnica subjekt nadzora iz članka 683. stavka 1. točke 1. podtočaka d) do m) ovoga Zakona ne omogući Agenciji i/ili ovlaštenim osobama Agencije, na njihov zahtjev i u traženom roku, obavljanje nadzora, tako što protivno članku 690. stavku 1. ovoga Zakona ne osigura uvjete za obavljanje nadzora.</w:t>
      </w:r>
    </w:p>
    <w:p w14:paraId="5162AEA5"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Iznimno od stavka 1. ovoga članka, ako bi iznos novčane kazne utvrđene na temelju stavka 1. ovoga članka bio manji od 66.360,00 eura, pravna osoba iz stavka 1. ovoga članka kaznit će se za prekršaj iz stavka 1. ovoga članka novčanom kaznom u iznosu od 66.360,00 do 132.720,00 eura.</w:t>
      </w:r>
    </w:p>
    <w:p w14:paraId="51D2CC1A" w14:textId="77777777"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Iznimno od stavaka 1. i 2. ovoga članka, u slučaju da je pravna osoba prekršajem iz stavka 1. ovoga članka ostvarila korist ili spriječila gubitak, a iznos tako ostvarene koristi ili spriječenog gubitka može se utvrditi, kaznit će se za prekršaj novčanom kaznom u iznosu dvostruko utvrđenog iznosa tako ostvarene koristi odnosno tako spriječenog gubitka, ako je taj iznos veći od propisanog najvećeg iznosa novčane kazne iz stavaka 1. i 2. ovoga članka.</w:t>
      </w:r>
    </w:p>
    <w:p w14:paraId="1EECEB52" w14:textId="48EAD7FC" w:rsidR="006B4BB8" w:rsidRPr="000479E9" w:rsidRDefault="006B4BB8" w:rsidP="006B4BB8">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Za prekršaj iz stavka 1. ovoga članka kaznit će se i odgovorna osoba pravne osobe novčanom kaznom u iznosu od 13.270,00 do 5.000.000,00 eura.</w:t>
      </w:r>
    </w:p>
    <w:p w14:paraId="746CCC77" w14:textId="77777777" w:rsidR="00994F8A" w:rsidRPr="000479E9" w:rsidRDefault="00994F8A" w:rsidP="006B4BB8">
      <w:pPr>
        <w:spacing w:after="0" w:line="240" w:lineRule="auto"/>
        <w:jc w:val="both"/>
        <w:rPr>
          <w:rFonts w:ascii="Times New Roman" w:hAnsi="Times New Roman" w:cs="Times New Roman"/>
          <w:sz w:val="24"/>
          <w:szCs w:val="24"/>
        </w:rPr>
      </w:pPr>
    </w:p>
    <w:p w14:paraId="72414308" w14:textId="77777777" w:rsidR="00994F8A" w:rsidRPr="000479E9" w:rsidRDefault="00994F8A" w:rsidP="00927CA0">
      <w:pPr>
        <w:spacing w:after="0" w:line="240" w:lineRule="auto"/>
        <w:jc w:val="center"/>
        <w:rPr>
          <w:rFonts w:ascii="Times New Roman" w:hAnsi="Times New Roman" w:cs="Times New Roman"/>
          <w:iCs/>
          <w:sz w:val="24"/>
          <w:szCs w:val="24"/>
        </w:rPr>
      </w:pPr>
      <w:r w:rsidRPr="000479E9">
        <w:rPr>
          <w:rFonts w:ascii="Times New Roman" w:hAnsi="Times New Roman" w:cs="Times New Roman"/>
          <w:iCs/>
          <w:sz w:val="24"/>
          <w:szCs w:val="24"/>
        </w:rPr>
        <w:t>Lakši prekršaji pravnih osoba</w:t>
      </w:r>
    </w:p>
    <w:p w14:paraId="4CB58E01" w14:textId="14425E14" w:rsidR="00994F8A" w:rsidRPr="000479E9" w:rsidRDefault="00994F8A" w:rsidP="00927CA0">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701.</w:t>
      </w:r>
    </w:p>
    <w:p w14:paraId="511FF1EB" w14:textId="77777777" w:rsidR="00B9155A" w:rsidRPr="000479E9" w:rsidRDefault="00B9155A" w:rsidP="00927CA0">
      <w:pPr>
        <w:spacing w:after="0" w:line="240" w:lineRule="auto"/>
        <w:jc w:val="center"/>
        <w:rPr>
          <w:rFonts w:ascii="Times New Roman" w:hAnsi="Times New Roman" w:cs="Times New Roman"/>
          <w:sz w:val="24"/>
          <w:szCs w:val="24"/>
        </w:rPr>
      </w:pPr>
    </w:p>
    <w:p w14:paraId="6C159F31"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prekršaj kaznit će se pravna osoba novčanom kaznom u iznosu koji je višekratnik broja 1.000, a koja ne može biti manja od 2 % ni veća od 5 % ukupnog prihoda koji je ostvarila u godini kada je počinjen prekršaj utvrđen službenim financijskim izvještajima za tu godinu, ako:</w:t>
      </w:r>
    </w:p>
    <w:p w14:paraId="14890B0C"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kao investicijsko društvo najkasnije do 31. ožujka tekuće godine Agenciji ne dostavi popis svih dioničara u skladu s člankom 16. stavkom 2. ovoga Zakona</w:t>
      </w:r>
    </w:p>
    <w:p w14:paraId="687982BB"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kao investicijsko društvo, kreditna institucija ili društvo za upravljanje u pogledu organizacijskih uvjeta ne postupa u skladu s člankom 50. stavkom 1. ovoga Zakona</w:t>
      </w:r>
    </w:p>
    <w:p w14:paraId="189922B1"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kao investicijsko društvo, kreditna institucija ili društvo za upravljanje u pogledu organizacijskih uvjeta ne obavijesti Agenciju u skladu s člankom 50. stavkom 3. ovoga Zakona</w:t>
      </w:r>
    </w:p>
    <w:p w14:paraId="45D4A336"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kao investicijsko društvo, kreditna institucija ili društvo za upravljanje o izdvajanju ključnih operativnih funkcija iz članka 59. stavka 1. ovoga Zakona ne izvijesti Agenciju u skladu s člankom 59. stavkom 3. ili 4. ovoga Zakona</w:t>
      </w:r>
    </w:p>
    <w:p w14:paraId="09863054"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5. kao investicijsko društvo, kreditna institucija ili društvo za upravljanje koje drži novčana sredstva i/ili financijske instrumente suprotno zabrani iz članka 80. stavka 3. ovoga Zakona sklopi ugovor o financijskom kolateralu s malim ulagateljem</w:t>
      </w:r>
    </w:p>
    <w:p w14:paraId="7BF8B498"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kao investicijsko društvo, kreditna institucija ili društvo za upravljanje drži financijske instrumente protivno članku 80. stavku 2. ovoga Zakona</w:t>
      </w:r>
    </w:p>
    <w:p w14:paraId="0F352043"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kao investicijsko društvo, kreditna institucija ili društvo za upravljanje sklopi ugovor o financijskom kolateralu protivno članku 80. stavku 3. ovoga Zakona</w:t>
      </w:r>
    </w:p>
    <w:p w14:paraId="04235354"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kao investicijsko društvo ili kreditna institucija koja koristi algoritamsko trgovanje o činjenici da koristi algoritamsko trgovanje ne obavijesti Agenciju prije početka korištenja na pojedinom mjestu trgovanja u skladu s člankom 82. stavkom 5. ovoga Zakona</w:t>
      </w:r>
    </w:p>
    <w:p w14:paraId="5A407EB4"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kao investicijsko društvo ili kreditna institucija koja koristi algoritamsko trgovanje ne izvijesti Agenciju u skladu s člankom 82. stavkom 7. ovoga Zakona</w:t>
      </w:r>
    </w:p>
    <w:p w14:paraId="77499A4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kao investicijsko društvo ili kreditna institucija koja klijentima omogućuje izravan elektronički pristup mjestu trgovanja o činjenici da klijentima omogućuje izravan elektronički pristup mjestu trgovanja</w:t>
      </w:r>
    </w:p>
    <w:p w14:paraId="5DB07C4B"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kao investicijsko društvo ili kreditna institucija koja koristi algoritamsko trgovanje ne obavijesti Agenciju prije početka korištenja na pojedinom mjestu trgovanja u skladu s člankom 84. stavkom 3. ovoga Zakona</w:t>
      </w:r>
    </w:p>
    <w:p w14:paraId="569D35AB"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 kao investicijsko društvo ili kreditna institucija koja klijentima omogućuje izravan elektronički pristup mjestu trgovanja nije u pisanom sporazumu s klijentom jasno naznačila da odgovornost za pridržavanje obveza iz Zakona ostaje na investicijskom društvu, u skladu s člankom 84. stavkom 9. ovoga Zakona</w:t>
      </w:r>
    </w:p>
    <w:p w14:paraId="6820B49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kao investicijsko društvo, kreditna institucija, društvo za upravljanje ili tržišni posrednik primi ili pruži dodatni poticaj, a nisu ispunjeni svi uvjeti iz članka 91. stavka 3. ovoga Zakona, u skladu s člankom 91. stavkom 1. ovoga Zakona</w:t>
      </w:r>
    </w:p>
    <w:p w14:paraId="49BCEC08"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kao investicijsko društvo, kreditna institucija, društvo za upravljanje ili tržišni posrednik koji pruža uslugu upravljanja portfeljem ili neovisnog investicijskog savjetovanja prihvati i/ili zadrži dodatni poticaj, protivno članku 93. stavku 1. ovoga Zakona</w:t>
      </w:r>
    </w:p>
    <w:p w14:paraId="6FB7CD50"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 kao investicijsko društvo, kreditna institucija, društvo za upravljanje ili tržišni posrednik, koji investicijsku uslugu nudi zajedno s drugom uslugom ili proizvodom kao dio paketa ili kao uvjet za isti ugovor ili paket, učestalo ne izvještava klijente o tome je li moguće iste pakete kupiti odvojeno, u skladu s člankom 95. stavkom 1. ovoga Zakona</w:t>
      </w:r>
    </w:p>
    <w:p w14:paraId="794C712B"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 kao investicijsko društvo, kreditna institucija, društvo za upravljanje ili tržišni posrednik, koji investicijsku uslugu nudi zajedno s drugom uslugom ili proizvodom kao dio paketa ili kao uvjet za isti ugovor ili paket, učestalo ne pruža odgovarajući opis različitih komponenata ugovora ili paketa i način na koji njihovo uzajamno djelovanje utječe na rizik, a vjerojatno je da se rizici koji proizlaze iz ugovora ili paketa razlikuju od rizika povezanih s pojedinom komponentom, u skladu s člankom 95. stavkom 2. ovoga Zakona</w:t>
      </w:r>
    </w:p>
    <w:p w14:paraId="049E693F"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17. kao investicijsko društvo, kreditna institucija, društvo za upravljanje ili tržišni posrednik zapošljava ili na drugi način angažira fizičku osobu koja u ime i/ili za račun </w:t>
      </w:r>
      <w:r w:rsidRPr="000479E9">
        <w:rPr>
          <w:rFonts w:ascii="Times New Roman" w:hAnsi="Times New Roman" w:cs="Times New Roman"/>
          <w:sz w:val="24"/>
          <w:szCs w:val="24"/>
        </w:rPr>
        <w:lastRenderedPageBreak/>
        <w:t>investicijskog društva klijentu pruži informacije o financijskim instrumentima, investicijskim i/ili pomoćnim uslugama, a ta fizička osoba ne ispunjava uvjete iz članka 97. stavka 1. ovoga Zakona</w:t>
      </w:r>
    </w:p>
    <w:p w14:paraId="4C385BA5"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 kao investicijsko društvo, kreditna institucija, društvo za upravljanje ili tržišni posrednik zapošljava ili na drugi način angažira fizičku osobu koja u ime i/ili za račun investicijskog društva izvrši ili prenese na izvršenje nalog klijenta, a ta fizička osoba ne ispunjava uvjete iz članka 97. stavka 1. ovoga Zakona, u skladu s člankom 96. stavkom 2. ovoga Zakona</w:t>
      </w:r>
    </w:p>
    <w:p w14:paraId="2920A6E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 kao investicijsko društvo, kreditna institucija, društvo za upravljanje ili tržišni posrednik zapošljava ili na drugi način angažira fizičku osobu koja u ime i/ili za račun investicijskog društva klijentu pruži investicijski savjet ili donese investicijsku odluku u sklopu usluge upravljanja portfeljem, a ta fizička osoba ne ispunjava uvjete iz članka 98. stavka 1. ovoga Zakona, u skladu s člankom 96. stavkom 2. ovoga Zakona</w:t>
      </w:r>
    </w:p>
    <w:p w14:paraId="64AFBD3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 kao investicijsko društvo, kreditna institucija, društvo za upravljanje ili tržišni posrednik učestalo ne izvještava ili učestalo manjkavo izvještava klijente o pruženim uslugama na način propisan člancima 59. do 63. Delegirane uredbe (EU) br. 2017/565, u skladu s člankom 111. stavkom 1. ovoga Zakona</w:t>
      </w:r>
    </w:p>
    <w:p w14:paraId="44FAC3E4"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21. kao investicijsko društvo ili kreditna institucija koja prenosi upute u smislu članka 118. stavka 2. ovoga Zakona na bilo koji način prenese odgovornost za cjelovitost i točnost podataka ili za primjerenost preporuka ili savjeta na drugu osobu, u skladu s člankom 118. stavkom 2. ovoga Zakona</w:t>
      </w:r>
    </w:p>
    <w:p w14:paraId="6339E4A8"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22. kao investicijsko društvo ili kreditna institucija koja primi upute ili nalog klijenta od drugog društva koje prenosi upute u smislu članka 118. stavka 2. ovoga Zakona na bilo koji način prenese odgovornost za zaključenje usluge ili transakcije, u skladu s člankom 118. stavkom 3. ovoga Zakona</w:t>
      </w:r>
    </w:p>
    <w:p w14:paraId="3F05F146"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23. Brisana.</w:t>
      </w:r>
    </w:p>
    <w:p w14:paraId="6205E803"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24. Brisana.</w:t>
      </w:r>
    </w:p>
    <w:p w14:paraId="17A2B646"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25. kao investicijsko društvo ili kreditna institucija ne procjenjuje redovito osiguravaju li mjesta izvršenja uključena u politiku izvršavanja naloga postizanje najpovoljnijeg ishoda za klijenta ili je potrebno izmijeniti mjere izvršavanja naloga, u skladu s člankom 125. stavkom 2. ovoga Zakona</w:t>
      </w:r>
    </w:p>
    <w:p w14:paraId="58376695"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26. kao investicijsko društvo ili kreditna institucija koja izvršava naloge klijenata učestalo nije u mogućnosti predočiti klijentima podatke koji dokazuju da je pojedini nalog u skladu s politikom izvršavanja naloga, u skladu s člankom 125. stavkom 4. ovoga Zakona</w:t>
      </w:r>
    </w:p>
    <w:p w14:paraId="60674316"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27. kao investicijsko društvo, kreditna institucija ili društvo za upravljanje koje je imenovalo vezanog zastupnika na bilo koji način pokuša prenijeti odgovornost za radnje i/ili propuste vezanog zastupnika kada on djeluje za račun investicijskog društva na vezanog zastupnika, suprotno zabrani iz članka 128. stavka 1. ovoga Zakona</w:t>
      </w:r>
    </w:p>
    <w:p w14:paraId="74857E7A"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28. kao investicijsko društvo, kreditna institucija ili društvo za upravljanje koje je imenovalo vezanog zastupnika nije poduzela odgovarajuće mjere kako bi se izbjeglo da se poslovi vezanog zastupnika izvan područja primjene ovoga Zakona negativno odražavaju na poslove koje vezani zastupnik poduzima za račun investicijskog društva, u skladu s člankom 128. stavkom 2. točkom 3. ovoga Zakona</w:t>
      </w:r>
    </w:p>
    <w:p w14:paraId="40520635"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29. kao investicijsko društvo ili kreditna institucija ne poduzima razumne korake kako bi provjerila potpunost, točnost i pravodobnost izvješća o transakcijama koja su podnesena Agenciji u njezino ime, sukladno članku 26. stavku 7. četvrtom podstavku Uredbe (EU) br. 600/2014</w:t>
      </w:r>
    </w:p>
    <w:p w14:paraId="25C4EAB5"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30. kao burza ne obavijesti Agenciju o svim značajnim promjenama uvjeta pod kojim je odobrenje za rad izdano, u skladu s člankom 295. stavkom 1. ovoga Zakona</w:t>
      </w:r>
    </w:p>
    <w:p w14:paraId="0E6CF839"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31. kao burza nije osigurala da članovi uprave burze maju stručna znanja i/ili sposobnosti i/ili iskustvo u skladu s člankom 288. stavkom 3. ovoga Zakona</w:t>
      </w:r>
    </w:p>
    <w:p w14:paraId="057B6DB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32. kao burza nije osigurala da članovi nadzornog odbora burze zajednički imaju stručna znanja, sposobnosti i iskustvo potrebno za neovisno i samostalno nadziranje poslova burze kako je propisano člankom 289. stavkom 2. ovoga Zakona</w:t>
      </w:r>
    </w:p>
    <w:p w14:paraId="6B2CB223"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33. je član uprave burze ujedno i član uprave, nadzornog odbora odnosno izvršni ili neizvršni direktor u drugom pravnom subjektu, a to mu ne omogućuju pojedinačne okolnosti i priroda, opseg i složenost aktivnosti koje izvršava kao član uprave burze sukladno članku 288. stavku 10. ovoga Zakona</w:t>
      </w:r>
    </w:p>
    <w:p w14:paraId="2CBACC72"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34. kao burza nije uložila odgovarajuće ljudske i financijske resurse u obuku i osposobljavanje članova uprave sukladno članku 288. stavku 14. ovoga Zakona</w:t>
      </w:r>
    </w:p>
    <w:p w14:paraId="15420244"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35. kao burza nije osigurala da zahtjev za izdavanje suglasnosti iz članka 291. stavka 1. ovoga Zakona bude podnesen najmanje tri mjeseca prije isteka mandata pojedinom članu uprave u skladu s člankom 291. stavkom 7. ovoga Zakona</w:t>
      </w:r>
    </w:p>
    <w:p w14:paraId="205D9DCE"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36. kao burza nije uspostavila, provodila, održavala te redovito ažurirala, procjenjivala i nadzirala postupke odlučivanja i organizacijsku strukturu u kojima se jasno i na dokumentirani način utvrđuju linije izvještavanja i dodjeljuju funkcije i nadležnosti burze sukladno odredbi članka 296. stavka 1. ovoga Zakona</w:t>
      </w:r>
    </w:p>
    <w:p w14:paraId="427BBD08"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37. kao burza nije uspostavila ili primjenjivala mjere pomoću kojih se jasno uočavaju i prevladavaju potencijalne negativne posljedice sukoba interesa na poslovanje uređenog tržišta ili njegove članove ili sudionike, sukladno odredbama članka 296. stavka 1. točaka 9. i 10. ovoga Zakona</w:t>
      </w:r>
    </w:p>
    <w:p w14:paraId="200FA38A"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38. kao burza nije uspostavila ili primjenjivala sveobuhvatan i učinkovit sustav upravljanja rizicima u skladu s člankom 297. stavkom 2. ovoga Zakona</w:t>
      </w:r>
    </w:p>
    <w:p w14:paraId="1301B17D"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39. kao burza ili operater MTP-a ili operater OTP-a nije postupila u slučaju značajnog kretanja cijena financijskog instrumenta sukladno članku 299. stavku 2. ovoga Zakona</w:t>
      </w:r>
    </w:p>
    <w:p w14:paraId="4302BF68"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40. kao burza ili operater MTP-a ili operater OTP-a nije obavijestila Agenciju o parametrima za zaustavljanje trgovanja, na način i u roku sukladno članku 299. stavku 4. ovoga Zakona</w:t>
      </w:r>
    </w:p>
    <w:p w14:paraId="5B75DF0F"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41. kao burza ili operater MTP-a ili operater OTP-a nije uspostavila pisane sporazume sa svim investicijskim društvima koja provode strategiju održavanja likvidnosti, sukladno članku 300. stavku 1. ovoga Zakona i odredbama Delegirane uredbe (EU) br. 2017/578</w:t>
      </w:r>
    </w:p>
    <w:p w14:paraId="53FB19F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42. kao burza ili operater MTP-a ili operater OTP-a nije uspostavila planove koji osiguravaju da dovoljan broj investicijskih društava sudjeluje u sporazumima iz članka 300. stavka 1. ovoga Zakona, a sukladno članku 300. stavku 2. ovoga Zakona i Delegiranoj uredbi (EU) br. 2017/578</w:t>
      </w:r>
    </w:p>
    <w:p w14:paraId="631FF890"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43. kao burza ili operater MTP-a ili operater OTP-a nije nadzirala provođenje ili sama nije provodila sporazume iz članka 300. stavka 1. ovoga Zakona, sukladno članku 300. stavku 4. ovoga Zakona</w:t>
      </w:r>
    </w:p>
    <w:p w14:paraId="5C8F925D"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44. kao burza ili operater MTP-a ili operater OTP-a nema mogućnost identificiranja naloga koje generira algoritamsko trgovanje ili različitih algoritama koji se koriste za stvaranje naloga ili relevantnih osoba koje pokreću te naloge, sukladno odredbama članka 301. stavka 4. ovoga Zakona i odredbi Delegirane uredbe (EU) br. 2017/566</w:t>
      </w:r>
    </w:p>
    <w:p w14:paraId="0AEEE2C3"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45. kao burza ili operater MTP-a ili operater OTP-a nije uspostavila standarde u pogledu kontrola rizika i pragova trgovanja i razvila mogućnosti kako razlikovanja tako i prekida naloga ili trgovanja osobe koje koristi izravan elektronički pristup, sukladno članku 302. stavku 2. ovoga Zakona</w:t>
      </w:r>
    </w:p>
    <w:p w14:paraId="097E18AD"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46. nema usklađene satove poslovanja u skladu s člankom 22.c Uredbe (EU) br. 600/2014</w:t>
      </w:r>
    </w:p>
    <w:p w14:paraId="4585636A"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47. je kao burza uspostavila pravila s obzirom na uvrštenje financijskih instrumenata na uređeno tržište kojima nije osigurano korektno, uredno i djelotvorno trgovanje ili da su prenosivi vrijednosni papiri slobodno prenosivi, sukladno članku 321. stavku 2. ovoga Zakona i odredbama Delegirane uredbe (EU) br. 2017/568</w:t>
      </w:r>
    </w:p>
    <w:p w14:paraId="2943A6B0"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48. kao burza nije obavijestila izdavatelja da se njegovim vrijednosnim papirima trguje na uređenom tržištu kojim burza upravlja, sukladno članku 324. stavku 2. ovoga Zakona</w:t>
      </w:r>
    </w:p>
    <w:p w14:paraId="235E64DD"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49. kao burza ili operater MTP-a ili operater OTP-a o svojoj odluci iz članka 340. stavka 2. ne obavijesti javnost ili Agenciju na način kako je propisano člankom 340. stavkom 3. ovoga Zakona</w:t>
      </w:r>
    </w:p>
    <w:p w14:paraId="77502B3A"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50. kao burza nije o namjeri omogućavanja udaljenog pristupa uređenom tržištu kojim upravlja obavijestila Agenciju, sukladno članku 318. stavku 1. ovoga Zakona</w:t>
      </w:r>
    </w:p>
    <w:p w14:paraId="59975212"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51. kao burza nije Agenciji dostavila redovito obnavljan popis članova uređenog tržišta, sukladno članku 313. stavku 3. ovoga Zakona</w:t>
      </w:r>
    </w:p>
    <w:p w14:paraId="1D345C13"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52. kao burza nije uspostavila ili održavala postupke i mjere za praćenje poštivanja pravila uređenog tržišta sukladno članku 316. stavku 1. ovog Zakona</w:t>
      </w:r>
    </w:p>
    <w:p w14:paraId="7CBD0F14"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53. kao operater MTP-a ili OTP-a ne dostavi Agenciji bez odgode informacije o svim promjenama podataka iz članka 348. stavka 1. ovoga Zakona, sukladno članku 348. stavku 3. ovoga Zakona</w:t>
      </w:r>
    </w:p>
    <w:p w14:paraId="7BF86BB9"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54. kao operater MTP-a ili OTP-a nije uspostavila ili održavala djelotvorne mjere i postupke koji omogućuju praćenje usklađenosti članova s pravilima MTP-a ili OTP-a, sukladno članku 347. stavku 1. ovoga Zakona</w:t>
      </w:r>
    </w:p>
    <w:p w14:paraId="044982FC"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55. kao operater MTP-a ili OTP-a nije koristila potrebne resurse kako bi osigurala da je praćenje iz članka 347. stavka 2. ovoga Zakona učinkovito, sukladno članku 347. stavku 3. ovoga Zakona</w:t>
      </w:r>
    </w:p>
    <w:p w14:paraId="1332AAE2"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56. kao operater MTP-a s obzirom na pristup trgovini na MTP-u nije na odgovarajući način primjenjivala odredbe članaka 313., 314. ili 315. ovoga Zakona, sukladno članku 349. stavku 2. ovoga Zakona</w:t>
      </w:r>
    </w:p>
    <w:p w14:paraId="19D24F75"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57. kao operater MTP-a nije s obzirom na rizike kojima je izložena na odgovarajući način primjenjivala odredbe članka 297. ovoga Zakona, sukladno članku 349. stavku 5. ovoga Zakona</w:t>
      </w:r>
    </w:p>
    <w:p w14:paraId="343F0D8D"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58. je kao operater OTP-a trgovala za vlastiti račun bez uparivanja naloga državnim dužničkim vrijednosnim papirima za koje postoji likvidno tržište sukladno odredbama Delegirane uredbe (EU) br. 2017/583, sukladno članku 350. stavku 7. ovoga Zakona</w:t>
      </w:r>
    </w:p>
    <w:p w14:paraId="71F7B016"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59. je kao operater OTP-a angažirala investicijsko društvo za provođenje strategije održavanja tržišta na osnovi koja nije neovisna ili je to investicijsko društvo usko povezano s operaterom OTP-a, sukladno članku 350. stavku 6. ovoga Zakona</w:t>
      </w:r>
    </w:p>
    <w:p w14:paraId="462B425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60. kao operater OTP-a nije osigurala da se izvršavanje naloga na OTP-u provodi na diskrecijskoj osnovi, sukladno članku 350. stavku 9. ovoga Zakona</w:t>
      </w:r>
    </w:p>
    <w:p w14:paraId="049CD14F"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61. kao operater OTP-a prilikom olakšavanja pregovora iz članka 350. stavka 11. ovoga Zakona nije postupala u skladu s člankom 350. stavcima 1. do 6. ili 8. ovoga Zakona, sukladno članku 350. stavku 12. ovoga Zakona</w:t>
      </w:r>
    </w:p>
    <w:p w14:paraId="0F16850A"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62. kao operater OTP-a nije Agenciju bez odgode obavijestila o svakoj značajnoj izmjeni podataka iz članka 350. stavka 13. ovoga Zakona, u skladu s člankom 350. stavkom 14. ovoga Zakona</w:t>
      </w:r>
    </w:p>
    <w:p w14:paraId="6DFA9317"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63. kao operater MTP-a koji je registrirao MTP kao rastuće tržište malih i srednjih poduzeća nije uspostavila ili primjenjivala jasna pravila, sustave ili postupke kojima se osigurava ispunjenje zahtjeva da najmanje 50 % izdavatelja čijim se financijskim instrumentima može trgovati na MTP-u moraju biti mala ili srednja poduzeća u vrijeme kada Agencija donese rješenje kojim se odobrava registracija MTP-a kao rastućeg tržišta malih i srednjih poduzeća te u svakoj kalendarskoj godini nakon toga, sukladno članku 352. stavku 3. točki 1. ovoga Zakona</w:t>
      </w:r>
    </w:p>
    <w:p w14:paraId="40E9DDFB"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64. kao operater MTP-a koji je registrirao MTP kao rastuće tržište malih i srednjih poduzeća nije uspostavila ili primjenjivala jasna pravila, sustave ili postupke kojima se osigurava ispunjenje zahtjeva za prvobitno i za daljnje primanje financijskih instrumenata izdavatelja u trgovinu na tom MTP-u, sukladno članku 352. stavku 3. točki 2. ovoga Zakona</w:t>
      </w:r>
    </w:p>
    <w:p w14:paraId="66F5AD23"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65. kao operater MTP-a koji je registrirao MTP kao rastuće tržište malih i srednjih poduzeća nije uspostavila ili primjenjivala jasna pravila, sustave ili postupke kojima se osigurava ispunjenje zahtjeva da izdavatelji čiji su financijski instrumenti primljeni u trgovinu na MTP-u moraju, sami ili putem druge osobe koja djeluje za njihov račun, objavljivati godišnje financijske izvještaje u roku od šest mjeseci po završetku svake financijske godine te polugodišnje financijske izvještaje u roku od četiri mjeseca po završetku prvog polugodišta svake financijske godine, sukladno članku 352. stavku 3. točki 4. ovoga Zakona</w:t>
      </w:r>
    </w:p>
    <w:p w14:paraId="7A001870"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66. kao pružatelj usluga dostave podataka, investicijsko društvo, kreditna institucija ili tržišni operater koje je APA koji je dobio odobrenje sukladno odredbama ovoga Zakona ne objavi podatke propisane člancima 20. i 21. Uredbe (EU) br. 600/2014 pod razumnim tržišnim uvjetima u skladu s člankom 27.g stavkom 1. Uredbe (EU) br. 600/2014</w:t>
      </w:r>
    </w:p>
    <w:p w14:paraId="70B68323"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 xml:space="preserve">67. kao pružatelj usluga dostave podataka, investicijsko društvo, kreditna institucija ili tržišni operater koje je APA koji je dobio odobrenje sukladno odredbama ovoga Zakona ne distribuira podatke propisane člancima 20. i 21. Uredbe (EU) br. 600/2014 </w:t>
      </w:r>
      <w:r w:rsidRPr="000479E9">
        <w:rPr>
          <w:rFonts w:ascii="Times New Roman" w:hAnsi="Times New Roman" w:cs="Times New Roman"/>
          <w:sz w:val="24"/>
          <w:szCs w:val="24"/>
        </w:rPr>
        <w:lastRenderedPageBreak/>
        <w:t>na način koji osigurava brz pristup podacima na nediskriminirajućoj osnovi i u formatu koji olakšava konsolidiranje podataka sa sličnim podacima iz drugih izvora, u skladu s člankom 27.g stavkom 1. Uredbe (EU) br. 600/2014</w:t>
      </w:r>
    </w:p>
    <w:p w14:paraId="24D1B8B2"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68. kao pružatelj usluga dostave podataka, investicijsko društvo, kreditna institucija ili tržišni operater koje je APA koji je dobio odobrenje sukladno odredbama ovoga Zakona ne održava mehanizme koji osiguravaju da su usluge APA-e razdvojene od ostalih poslovnih funkcija u skladu s člankom 27.g stavkom 3. Uredbe (EU) br. 600/2014</w:t>
      </w:r>
    </w:p>
    <w:p w14:paraId="1CA75C8F"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69. kao pružatelj usluga dostave podataka, investicijsko društvo, kreditna institucija ili tržišni operater koje je ARM, koji je dobio odobrenje sukladno odredbama ovoga Zakona, ne održava mehanizme koji osiguravaju da su usluge ARM-a razdvojene od ostalih poslovnih funkcija u skladu s člankom 27.i stavkom 2. Uredbe (EU) br. 600/2014.</w:t>
      </w:r>
    </w:p>
    <w:p w14:paraId="5B968FE5"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Iznimno od stavka 1. ovoga članka, ako bi iznos novčane kazne utvrđene na temelju stavka 1. ovoga članka bio manji od 26.540,00 eura, pravna osoba će se kazniti za prekršaj iz stavka 1. ovoga članka novčanom kaznom u iznosu od 26.540,00 do 66.360,00 eura.</w:t>
      </w:r>
    </w:p>
    <w:p w14:paraId="3A1B3C01" w14:textId="77777777"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Iznimno od stavaka 1. i 2. ovoga članka, ako je pravna osoba prekršajem iz stavka 1. ovoga članka ostvarila korist ili spriječila gubitak, a iznos tako ostvarene koristi ili spriječenog gubitka moguće je utvrditi, kaznit će se za prekršaj novčanom kaznom u iznosu dvostruko utvrđenog iznosa tako ostvarene koristi odnosno tako spriječenog gubitka, ako je taj iznos veći od propisanog najvećeg iznosa novčane kazne iz stavaka 1. i 2. ovoga članka.</w:t>
      </w:r>
    </w:p>
    <w:p w14:paraId="41D9B6D9" w14:textId="2ABB9B73" w:rsidR="00994F8A" w:rsidRPr="000479E9" w:rsidRDefault="00994F8A" w:rsidP="00994F8A">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Za prekršaje iz stavka 1. ovoga članka kaznit će se i odgovorna osoba pravne osobe novčanom kaznom u iznosu od 1320,00 do 4640,00 eura.</w:t>
      </w:r>
    </w:p>
    <w:p w14:paraId="7A4763CA" w14:textId="1FCC347F" w:rsidR="00E02ACD" w:rsidRPr="000479E9" w:rsidRDefault="00E02ACD" w:rsidP="00994F8A">
      <w:pPr>
        <w:spacing w:after="0" w:line="240" w:lineRule="auto"/>
        <w:jc w:val="both"/>
        <w:rPr>
          <w:rFonts w:ascii="Times New Roman" w:hAnsi="Times New Roman" w:cs="Times New Roman"/>
          <w:sz w:val="24"/>
          <w:szCs w:val="24"/>
        </w:rPr>
      </w:pPr>
    </w:p>
    <w:p w14:paraId="56C9E68B" w14:textId="77777777" w:rsidR="00E02ACD" w:rsidRPr="000479E9" w:rsidRDefault="00E02ACD" w:rsidP="00F01D72">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Ostali prekršaji investicijskog društva</w:t>
      </w:r>
    </w:p>
    <w:p w14:paraId="1A9E5703" w14:textId="5A68D69B" w:rsidR="00E02ACD" w:rsidRPr="000479E9" w:rsidRDefault="00E02ACD" w:rsidP="00F01D72">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702.</w:t>
      </w:r>
    </w:p>
    <w:p w14:paraId="02FDD839" w14:textId="77777777" w:rsidR="002B26AF" w:rsidRPr="000479E9" w:rsidRDefault="002B26AF" w:rsidP="00F01D72">
      <w:pPr>
        <w:spacing w:after="0" w:line="240" w:lineRule="auto"/>
        <w:jc w:val="center"/>
        <w:rPr>
          <w:rFonts w:ascii="Times New Roman" w:hAnsi="Times New Roman" w:cs="Times New Roman"/>
          <w:sz w:val="24"/>
          <w:szCs w:val="24"/>
        </w:rPr>
      </w:pPr>
    </w:p>
    <w:p w14:paraId="477CD2E0"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Za prekršaj kaznit će se pravna osoba novčanom kaznom u iznosu koji je višekratnik broja 1000, a koja ne može biti manja od 5% ni veća od 10% ukupnog prihoda koji je ostvarila u godini kada je počinjen prekršaj, utvrđenog službenim financijskim izvještajima za tu godinu:</w:t>
      </w:r>
    </w:p>
    <w:p w14:paraId="1AB2AB7A"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ako suprotno članku 159. stavku 3. i članku 166. stavcima 1. i 2. ovoga Zakona Agenciji ne dostavi propisane izvještaje u propisanom roku</w:t>
      </w:r>
    </w:p>
    <w:p w14:paraId="53692177"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ako suprotno članku 166. stavcima 7., 8., 9. i 11. ovoga Zakona ne objavi propisane izvještaje u propisanom roku</w:t>
      </w:r>
    </w:p>
    <w:p w14:paraId="0335AA46"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ako kao investicijsko društvo u likvidaciji obavlja poslove suprotno rješenju Agencije iz članka 49. stavka 4. ovoga Zakona</w:t>
      </w:r>
    </w:p>
    <w:p w14:paraId="3CD20351"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ako osnuje podružnicu ili ovlasti vezanog zastupnika na području druge države članice, bez prethodnog obavještavanja Agencije, suprotno članku 139. stavku 1. ovoga Zakona</w:t>
      </w:r>
    </w:p>
    <w:p w14:paraId="5FD603A2"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ako počne pružati investicijske usluge i obavljati investicijske aktivnosti preko podružnice u drugoj državi članici prije isteka roka iz članka 140. stavka 3. ovoga Zakona</w:t>
      </w:r>
    </w:p>
    <w:p w14:paraId="30563A17"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6. ako osnuje podružnicu na području treće zemlje, bez prethodnog odobrenja Agencije, suprotno članku 143. stavku 1. ovoga Zakona</w:t>
      </w:r>
    </w:p>
    <w:p w14:paraId="76FF4ED5"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ako regulatorni kapital padne ispod iznosa propisanog člankom 9. Uredbe (EU) br. 2019/2033</w:t>
      </w:r>
    </w:p>
    <w:p w14:paraId="3B803059"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ako ne ustroji učinkovite postupke za utvrđivanje, upravljanje i praćenje rizika i izvještavanje o rizicima kojima je investicijsko društvo izloženo ili bi im moglo biti izloženo ili rizika koji predstavlja ili bi moglo predstavljati za druge kako je propisano člankom 50. stavkom 2. točkom 2. ovoga Zakona</w:t>
      </w:r>
    </w:p>
    <w:p w14:paraId="3FCBA09F"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ako ne uspostavi primjerene mehanizme unutarnje kontrole, uključujući odgovarajuće administrativne i računovodstvene postupke čija je namjena osiguravanje usklađenosti s odlukama i postupcima na svim razinama investicijskog društva kako je propisano člankom 50. stavkom 2. točkom 4. ovoga Zakona</w:t>
      </w:r>
    </w:p>
    <w:p w14:paraId="01DDC8E2"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ako mehanizmi unutarnje kontrole ili računovodstveni postupci investicijskog društva nisu ustrojeni na način da Agenciji omogućuju da u svakom trenutku provjeri usklađenost društava s odredbama ovoga Zakona i Uredbom (EU) br. 2019/2033, u skladu s člankom 50. stavkom 6. ovoga Zakona</w:t>
      </w:r>
    </w:p>
    <w:p w14:paraId="347046C4"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11. ako Agenciji ne dostavi ili dostavi nepotpune ili netočne informacije o usklađenosti s obvezom ispunjavanja kapitalnih zahtjeva iz članka 11. Uredbe (EU) br. 2019/2033, protivno članku 54. stavku 1. točki (b) te Uredbe</w:t>
      </w:r>
    </w:p>
    <w:p w14:paraId="52579DAD"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 ako Agenciji dostavi nepotpune ili netočne informacije o koncentracijskom riziku iz članka 11. Uredbe (EU) br. 2019/2033, protivno članku 54. stavku 1. točki (e) te Uredbe</w:t>
      </w:r>
    </w:p>
    <w:p w14:paraId="0648E9D7"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ako se izlaže koncentracijskom riziku većem od ograničenja utvrđenih u članku 37. Uredbe (EU) br. 2019/2033, ne dovodeći u pitanje članke 38. i 39. te Uredbe</w:t>
      </w:r>
    </w:p>
    <w:p w14:paraId="363F977A"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ako primjenjuje interni model bez odobrenja ili suprotno odobrenju Agencije iz članka 172. stavka 1. ovoga Zakona</w:t>
      </w:r>
    </w:p>
    <w:p w14:paraId="40A2E9E7"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 ako ponovljeno ili kontinuirano nema na raspolaganju dovoljno likvidne imovine, što je u suprotnosti s člankom 43. Uredbe (EU) br. 2019/2033</w:t>
      </w:r>
    </w:p>
    <w:p w14:paraId="44F420CE"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 ako učestalo ne objavljuje informacije o ciljevima i politici upravljanja rizicima iz članka 47. Uredbe (EU) br. 2019/2033, suprotno obvezi iz toga članka Uredbe</w:t>
      </w:r>
    </w:p>
    <w:p w14:paraId="649B492A"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 ako učestalo objavljuje nepotpune ili netočne informacije o ciljevima i politici upravljanja iz članka 47. Uredbe (EU) br. 2019/2033, suprotno obvezi iz toga članka Uredbe</w:t>
      </w:r>
    </w:p>
    <w:p w14:paraId="3452B14A"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 ako učestalo ne objavljuje informacije o regulatornom kapitalu iz članka 49. stavka 1. Uredbe (EU) br. 2019/2033, suprotno obvezi iz toga članka Uredbe</w:t>
      </w:r>
    </w:p>
    <w:p w14:paraId="63684656"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 ako učestalo objavljuje nepotpune ili netočne informacije o regulatornom kapitalu iz članka 49. stavka 1. Uredbe (EU) br. 2019/2033, suprotno obvezi iz toga članka Uredbe</w:t>
      </w:r>
    </w:p>
    <w:p w14:paraId="325F4502"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 ako učestalo ne objavljuje informacije o svojoj usklađenosti sa zahtjevima utvrđenima u članku 11. stavku 1. Uredbe (EU) br. 2019/2033 i u članku 170. ovoga Zakona, suprotno obvezi iz članka 50. Uredbe (EU) br. 2019/2033</w:t>
      </w:r>
    </w:p>
    <w:p w14:paraId="0BE7298F"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21. ako učestalo objavljuje nepotpune ili netočne informacije o svojoj usklađenosti sa zahtjevima utvrđenima u članku 11. stavku 1. Uredbe (EU) br. 2019/2033 i u članku 170. ovoga Zakona, suprotno obvezi iz članka 50. Uredbe (EU) br. 2019/2033</w:t>
      </w:r>
    </w:p>
    <w:p w14:paraId="3E31FF88"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22. ako vrši isplate imateljima instrumenata uključenih u regulatorni kapital investicijskog društva u slučajevima kada članci 28., 52. ili 63. Uredbe (EU) br. 575/2013 zabranjuju takvu isplatu imateljima instrumenata uključenih u regulatorni kapital</w:t>
      </w:r>
    </w:p>
    <w:p w14:paraId="1F24E12B"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23. ako suprotno zabrani iz članka 45. stavka 8. ovoga Zakona, nakon ukidanja odobrenja za rad, započne obavljati ili obavi novi posao vezan za obavljanje investicijskih usluga ili investicijskih aktivnosti</w:t>
      </w:r>
    </w:p>
    <w:p w14:paraId="64DF0383"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24. ako ne izradi ili Agenciji ne dostavi plan oporavka ili usvojeni plan oporavka, ne primjenjuje ili ne ažurira plan oporavka sukladno člancima 178. do 181. ovoga Zakona i pravilnika donesenog na temelju članka 178. stavka 10. ovoga Zakona</w:t>
      </w:r>
    </w:p>
    <w:p w14:paraId="5A96B113"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25. ako sklopi sporazum o potpori suprotno članku 182. stavku 3. ovoga Zakona ili ne obavijesti Agenciju o sklapanju sporazuma o potpori sukladno članku 186. stavcima 1., 2. i 3. ovoga Zakona</w:t>
      </w:r>
    </w:p>
    <w:p w14:paraId="621402BD"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26. ako suprotno članku 187. stavku 1. ovoga Zakona da potporu bez prethodne suglasnosti Agencije ili ako ne obavijesti o namjeri davanja potpore sukladno članku 189. stavcima 1. i 2. ovoga Zakona</w:t>
      </w:r>
    </w:p>
    <w:p w14:paraId="34B9E886"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27. ako ne dostavi odluku o davanju financijske potpore sukladno članku 190. stavku 1. ovoga Zakona ili ako javno ne objavi ili najmanje jednom godišnje ne ažurira informacije iz članka 190. stavka 3. ovoga Zakona protivno članku 190. stavku 3. ovoga Zakona</w:t>
      </w:r>
    </w:p>
    <w:p w14:paraId="5B1A2AAE"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28. ako obavlja druge djelatnosti, osim onih za koje je dobila odobrenje za rad, suprotno zabrani iz članka 37. stavka 2. ovoga Zakona</w:t>
      </w:r>
    </w:p>
    <w:p w14:paraId="15E4326D"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29. ako za člana uprave imenuje osobu koja ne ispunjava uvjete iz članka 28. stavka 1. ovoga Zakona</w:t>
      </w:r>
    </w:p>
    <w:p w14:paraId="6E6F3193"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30. ako ne smijeni člana uprave koji prestane ispunjavati uvjete iz članka 28. stavka 1. ovoga Zakona</w:t>
      </w:r>
    </w:p>
    <w:p w14:paraId="3ACDB429"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31. ako za člana nadzornog odbora imenuje osobu koja ne ispunjava uvjete iz članka 34. stavka 5. ovoga Zakona</w:t>
      </w:r>
    </w:p>
    <w:p w14:paraId="00856822"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32. ako ne smijeni člana nadzornog odbora koji prestane ispunjavati uvjete iz članka 34. stavka 5. ovoga Zakona.</w:t>
      </w:r>
    </w:p>
    <w:p w14:paraId="18F88EA9"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Iznimno od stavka 1. ovoga članka, ako bi iznos novčane kazne utvrđene na temelju stavka 1. ovoga članka bio manji od 26.540,00 eura, investicijsko društvo će se kazniti za prekršaj iz stavka 1. ovoga članka novčanom kaznom u iznosu od 26.540,00 do 66.360,00 eura.</w:t>
      </w:r>
    </w:p>
    <w:p w14:paraId="1285A69D"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Iznimno od stavaka 1. i 2. ovoga članka, ako je investicijsko društvo prekršajem iz stavka 1. ovoga članka ostvarilo korist ili spriječilo gubitak, a iznos tako ostvarene koristi ili spriječenog gubitka moguće je utvrditi, kaznit će se za prekršaj novčanom kaznom u iznosu dvostruko utvrđenog iznosa tako ostvarene koristi odnosno tako spriječenog gubitka, ako je taj iznos veći od propisanog najvećeg iznosa novčane kazne iz stavaka 1. i 2. ovoga članka.</w:t>
      </w:r>
    </w:p>
    <w:p w14:paraId="2C55A360" w14:textId="77777777"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Za prekršaje iz stavka 1. ovoga članka kaznit će se i odgovorna osoba pravne osobe novčanom kaznom u iznosu od 1320,00 do 4640,00 eura.</w:t>
      </w:r>
    </w:p>
    <w:p w14:paraId="7806A634" w14:textId="6C695CE5" w:rsidR="00E02ACD" w:rsidRPr="000479E9" w:rsidRDefault="00E02ACD" w:rsidP="00E02ACD">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Ako je prekršaj iz stavka 1. ovoga članka počinilo podređeno društvo, ukupni prihod jednak je prihodu u poslovnoj godini koji proizlazi iz konsolidiranog financijskog izvještaja krajnjeg nadređenog društva u prethodnoj poslovnoj godini.</w:t>
      </w:r>
    </w:p>
    <w:p w14:paraId="286CB7CE" w14:textId="4E1C6A04" w:rsidR="00C14945" w:rsidRPr="000479E9" w:rsidRDefault="00C14945" w:rsidP="00994F8A">
      <w:pPr>
        <w:spacing w:after="0" w:line="240" w:lineRule="auto"/>
        <w:jc w:val="both"/>
        <w:rPr>
          <w:rFonts w:ascii="Times New Roman" w:hAnsi="Times New Roman" w:cs="Times New Roman"/>
          <w:sz w:val="24"/>
          <w:szCs w:val="24"/>
        </w:rPr>
      </w:pPr>
    </w:p>
    <w:p w14:paraId="00A0290E" w14:textId="77777777" w:rsidR="003E7636" w:rsidRPr="000479E9" w:rsidRDefault="003E7636" w:rsidP="003E7636">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lastRenderedPageBreak/>
        <w:t>Prekršaji fizičke osobe</w:t>
      </w:r>
    </w:p>
    <w:p w14:paraId="1B53B995" w14:textId="07392BE3" w:rsidR="003E7636" w:rsidRPr="000479E9" w:rsidRDefault="003E7636" w:rsidP="003E7636">
      <w:pPr>
        <w:spacing w:after="0" w:line="240" w:lineRule="auto"/>
        <w:jc w:val="center"/>
        <w:rPr>
          <w:rFonts w:ascii="Times New Roman" w:hAnsi="Times New Roman" w:cs="Times New Roman"/>
          <w:sz w:val="24"/>
          <w:szCs w:val="24"/>
        </w:rPr>
      </w:pPr>
      <w:r w:rsidRPr="000479E9">
        <w:rPr>
          <w:rFonts w:ascii="Times New Roman" w:hAnsi="Times New Roman" w:cs="Times New Roman"/>
          <w:sz w:val="24"/>
          <w:szCs w:val="24"/>
        </w:rPr>
        <w:t>Članak 703.</w:t>
      </w:r>
    </w:p>
    <w:p w14:paraId="37554EB3" w14:textId="77777777" w:rsidR="002B26AF" w:rsidRPr="000479E9" w:rsidRDefault="002B26AF" w:rsidP="003E7636">
      <w:pPr>
        <w:spacing w:after="0" w:line="240" w:lineRule="auto"/>
        <w:jc w:val="center"/>
        <w:rPr>
          <w:rFonts w:ascii="Times New Roman" w:hAnsi="Times New Roman" w:cs="Times New Roman"/>
          <w:sz w:val="24"/>
          <w:szCs w:val="24"/>
        </w:rPr>
      </w:pPr>
    </w:p>
    <w:p w14:paraId="76034525"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Za prekršaj kaznit će se fizička osoba novčanom kaznom u iznosu od 2650,00 do 6630,00 eura ako:</w:t>
      </w:r>
    </w:p>
    <w:p w14:paraId="768094BC"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kao član uprave investicijskog društva nije donijela ili nije primjenjivala politiku za izbor i procjenu ispunjenja uvjeta za članove uprave investicijskog društva, u skladu s člankom 28. stavkom 2. ovoga Zakona</w:t>
      </w:r>
    </w:p>
    <w:p w14:paraId="3DD6F54C"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kao član uprave investicijskog društva nije osigurala provođenje nadzornih mjera koje je naložila Agencija u skladu sa svojim nadležnostima i ovlastima, u skladu s obvezom iz članka 30. stavka 3. ovoga Zakona</w:t>
      </w:r>
    </w:p>
    <w:p w14:paraId="7A8D27F7"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kao član uprave investicijskog društva nije uspostavila sustav upravljanja iz članka 30. stavka 4. ovoga Zakona koji osigurava odgovornost uprave za definiranje, odobravanje i nadzor strateških ciljeva društva, strategije upravljanja rizicima i internog upravljanja, u skladu s člankom 31. stavkom 1. točkom 1. ovoga Zakona</w:t>
      </w:r>
    </w:p>
    <w:p w14:paraId="14433A40"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kao član uprave investicijskog društva nije uspostavila sustav upravljanja iz članka 30. stavka 4. ovoga Zakona koji osigurava odgovornost uprave za definiranje, odobravanje i nadzor integriteta računovodstvenog sustava i sustava financijskog izvještavanja, kao i financijske i operativne kontrole i usklađenosti sa zakonom i primjenjivim standardima, u skladu s člankom 31. stavkom 1. točkom 2. ovoga Zakona</w:t>
      </w:r>
    </w:p>
    <w:p w14:paraId="721E651D"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kao član uprave investicijskog društva nije uspostavila sustav upravljanja iz članka 30. stavka 4. ovoga Zakona koji osigurava odgovornost uprave za definiranje, odobravanje i nadzor procesa javne objave i priopćavanja podataka u skladu s odredbama ovoga Zakona, u skladu s člankom 31. stavkom 1. točkom 3. ovoga Zakona</w:t>
      </w:r>
    </w:p>
    <w:p w14:paraId="131A0EC3"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kao član uprave investicijskog društva nije uspostavila sustav upravljanja iz članka 30. stavka 4. ovoga Zakona koji osigurava odgovornost uprave za definiranje, odobravanje i nadzor ustrojstva društva za obavljanje investicijskih usluga i aktivnosti te pomoćnih usluga, uključujući vještine, znanje i stručnost višeg rukovodstva i radnika, resurse, postupke i mehanizme društva za obavljanje usluga i aktivnosti, u skladu s člankom 31. stavkom 1. točkom 4. ovoga Zakona</w:t>
      </w:r>
    </w:p>
    <w:p w14:paraId="69B500D1"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7. kao član uprave investicijskog društva nije uspostavila sustav upravljanja iz članka 30. stavka 4. ovoga Zakona koji osigurava odgovornost uprave za definiranje, odobravanje i nadzor politika koje se odnose na usluge, aktivnosti, proizvode i poslovanje društva, u skladu s tolerancijom na rizik društva i karakteristikama i potrebama klijenata društva, uključujući provođenje primjerenog testiranja otpornosti na stres, u skladu s člankom 31. stavkom 1. točkom 5. ovoga Zakona</w:t>
      </w:r>
    </w:p>
    <w:p w14:paraId="5FED31AF"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8. kao član uprave investicijskog društva nije uspostavila sustav upravljanja iz članka 30. stavka 4. ovoga Zakona koji osigurava odgovornost uprave za definiranje, odobravanje i nadzor politiku primitaka osoba uključenih u pružanje usluga klijentima, u skladu s člankom 31. stavkom 1. točkom 6. ovoga Zakona</w:t>
      </w:r>
    </w:p>
    <w:p w14:paraId="2997E5A9"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9. kao član uprave investicijskog društva nije procijenila učinkovitost politika i postupaka investicijskog društva na način propisan člankom 30. stavkom 5. ovoga Zakona i člankom 25. Delegirane uredbe (EU) br. 2017/565</w:t>
      </w:r>
    </w:p>
    <w:p w14:paraId="43524B21"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10. kao relevantna osoba investicijskog društva zloupotrijebila podatak u vezi s neizvršenim nalogom klijenta, u skladu s članka 119. stavkom 4. ovoga Zakona</w:t>
      </w:r>
    </w:p>
    <w:p w14:paraId="4718F672"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11. kao član uprave burze nije usvojila pisanu procjenu koju provodi utemeljenu na definiranoj i objektivnoj metodologiji ako burza ulaže i u druge oblike imovine osim onih iz stavka 3. članka 287. ovoga Zakona, sukladno članku 287. stavku 4. ovoga Zakona</w:t>
      </w:r>
    </w:p>
    <w:p w14:paraId="23B35BDE"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12. kao član uprave burze ili operatera MTP-a ili operatera OTP-a nije osigurala provođenje nadzornih mjera koje je naložila Agencija u skladu sa svojim nadležnostima i ovlastima iz članka 343. ovoga Zakona</w:t>
      </w:r>
    </w:p>
    <w:p w14:paraId="32D80F11"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13. kao član uprave burze nije definirao odnosno nadgledao ili redovito pratio i ocjenjivao provedbu sustava upravljanja koji osiguravaju učinkovito i pažljivo ispunjavanje zahtjeva propisanih člankom 296. stavkom 1. točkama 1., 2., 5., 9. i 10. ovoga Zakona, a na način koji promiče integritet tržišta, sukladno članku 288. stavku 15. ovoga Zakona</w:t>
      </w:r>
    </w:p>
    <w:p w14:paraId="25C6DA97"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14. kao član uprave pružatelja usluga dostave podataka koji je odobrenje za rad dobio sukladno ovom Zakonu nije definirao sustav upravljanja iz članka 366. stavka 4. ovoga Zakona</w:t>
      </w:r>
    </w:p>
    <w:p w14:paraId="58BC9D68"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15. ima poziciju koja je veća od ograničenja utvrđenog za određenu izvedenicu, a što je protivno članku 374. ovoga Zakona</w:t>
      </w:r>
    </w:p>
    <w:p w14:paraId="56EF94B8"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16. ne dostavi ili ne dostavi u roku podatke o veličini i namjeni pozicije ili izloženosti koja proizlazi iz sklopljenog ugovora o robnoj izvedenici ili ekonomski jednakovrijednog OTC ugovora i imovine ili obveze u vezi s tržištem temeljnog instrumenta u skladu s člankom 385. stavkom 3. ovoga Zakona</w:t>
      </w:r>
    </w:p>
    <w:p w14:paraId="40292CF0"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17. ne izvrši mjere na način i u rokovima propisanim rješenjem Agencije iz članka 385. stavka 5. ovoga Zakona</w:t>
      </w:r>
    </w:p>
    <w:p w14:paraId="06ADC1B7"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18. kao član upravljačkog tijela investicijskog društva ili druga fizička osoba koja se smatra odgovornom obavlja funkciju u investicijskom društvu, financijskom holdingu ili mješovitom financijskom holdingu suprotno zabrani iz članka 201. stavka 1. točke 8. ovoga Zakona</w:t>
      </w:r>
    </w:p>
    <w:p w14:paraId="52ED4ABE"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19. kao član uprave izdavatelja nije osigurao postojanje identifikacijskog broja odnosno identifikacijske oznake sukladno odredbama članka 3. Delegirane Uredbe (EU) br. 2017/585, a u skladu s člankom 320. stavkom 4. ovoga Zakona</w:t>
      </w:r>
    </w:p>
    <w:p w14:paraId="74593CE0"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20. kao član uprave izdavatelja nije osigurao postojanje identifikacijskog broja odnosno identifikacijske oznake sukladno odredbama članka 3. Delegirane Uredbe (EU) br. 2017/585, a u skladu s člankom 345. stavkom 6. ovoga Zakona</w:t>
      </w:r>
    </w:p>
    <w:p w14:paraId="1E81661F" w14:textId="77777777" w:rsidR="003E7636" w:rsidRPr="000479E9" w:rsidRDefault="003E7636" w:rsidP="003E7636">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21. kao relevantna osoba subjekta nadzora Agencije iz članka 683. stavka 1. ovoga Zakona ili osoba iz članka 684. stavka 1. ovoga Zakona na traženje Agencije ne dostavi u roku koji je odredila Agencija pisani iskaz ili uskrati dati usmeni iskaz, protivno članku 684. stavku 2. točki 2. ovoga Zakona.</w:t>
      </w:r>
    </w:p>
    <w:p w14:paraId="331BEA81" w14:textId="77777777" w:rsidR="00C34D2C" w:rsidRPr="000479E9" w:rsidRDefault="00C34D2C" w:rsidP="00994F8A">
      <w:pPr>
        <w:spacing w:after="0" w:line="240" w:lineRule="auto"/>
        <w:jc w:val="both"/>
        <w:rPr>
          <w:rFonts w:ascii="Times New Roman" w:hAnsi="Times New Roman" w:cs="Times New Roman"/>
          <w:sz w:val="24"/>
          <w:szCs w:val="24"/>
        </w:rPr>
      </w:pPr>
    </w:p>
    <w:p w14:paraId="41C46647" w14:textId="77777777" w:rsidR="00E574FC" w:rsidRPr="000479E9" w:rsidRDefault="00E574FC" w:rsidP="00483C20">
      <w:pPr>
        <w:spacing w:after="0" w:line="240" w:lineRule="auto"/>
        <w:jc w:val="center"/>
        <w:rPr>
          <w:rFonts w:ascii="Times New Roman" w:hAnsi="Times New Roman" w:cs="Times New Roman"/>
          <w:bCs/>
          <w:iCs/>
          <w:sz w:val="24"/>
          <w:szCs w:val="24"/>
        </w:rPr>
      </w:pPr>
      <w:r w:rsidRPr="000479E9">
        <w:rPr>
          <w:rFonts w:ascii="Times New Roman" w:hAnsi="Times New Roman" w:cs="Times New Roman"/>
          <w:bCs/>
          <w:iCs/>
          <w:sz w:val="24"/>
          <w:szCs w:val="24"/>
        </w:rPr>
        <w:t>Prekršaji ostalih osoba</w:t>
      </w:r>
    </w:p>
    <w:p w14:paraId="26948E08" w14:textId="4AF46837" w:rsidR="00E574FC" w:rsidRPr="000479E9" w:rsidRDefault="00E574FC" w:rsidP="00483C20">
      <w:pPr>
        <w:spacing w:after="0" w:line="240" w:lineRule="auto"/>
        <w:jc w:val="center"/>
        <w:rPr>
          <w:rFonts w:ascii="Times New Roman" w:hAnsi="Times New Roman" w:cs="Times New Roman"/>
          <w:bCs/>
          <w:sz w:val="24"/>
          <w:szCs w:val="24"/>
        </w:rPr>
      </w:pPr>
      <w:r w:rsidRPr="000479E9">
        <w:rPr>
          <w:rFonts w:ascii="Times New Roman" w:hAnsi="Times New Roman" w:cs="Times New Roman"/>
          <w:bCs/>
          <w:sz w:val="24"/>
          <w:szCs w:val="24"/>
        </w:rPr>
        <w:t>Članak 704.</w:t>
      </w:r>
    </w:p>
    <w:p w14:paraId="1D4EDBA0" w14:textId="77777777" w:rsidR="00E574FC" w:rsidRPr="000479E9" w:rsidRDefault="00E574FC" w:rsidP="00E574FC">
      <w:pPr>
        <w:spacing w:after="0" w:line="240" w:lineRule="auto"/>
        <w:jc w:val="both"/>
        <w:rPr>
          <w:rFonts w:ascii="Times New Roman" w:hAnsi="Times New Roman" w:cs="Times New Roman"/>
          <w:b/>
          <w:bCs/>
          <w:sz w:val="24"/>
          <w:szCs w:val="24"/>
        </w:rPr>
      </w:pPr>
    </w:p>
    <w:p w14:paraId="278A5003" w14:textId="745CBAB6"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Novčanom kaznom u iznosu od 6630,00 do 19.900,00 eura kaznit će se za prekršaj pravna osoba koja:</w:t>
      </w:r>
    </w:p>
    <w:p w14:paraId="002C3D3D"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protivno članku 6. ovoga Zakona neovlašteno pruža investicijske usluge</w:t>
      </w:r>
    </w:p>
    <w:p w14:paraId="3C35FED7"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lastRenderedPageBreak/>
        <w:t>2. kao revizorsko društvo nije pisano i bez odgode izvijestilo Agenciju o činjenicama iz članka 164. stavaka 1. do 3. ovoga Zakona</w:t>
      </w:r>
    </w:p>
    <w:p w14:paraId="7E7E41FD"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protivno članku 284. stavku 1. ili članku 344. stavku 1. ovoga Zakona neovlašteno upravlja mjestom trgovanja</w:t>
      </w:r>
    </w:p>
    <w:p w14:paraId="4CB684DD"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kao društvo koje donosi odluku o povlačenju vrijednosnih papira s uvrštenja na uređenom tržištu nije objavilo javnosti iznos pravične naknade u skladu s člankom 341. stavkom 12. ovoga Zakona</w:t>
      </w:r>
    </w:p>
    <w:p w14:paraId="1113F92A"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kao društvo koje donosi odluku o povlačenju vrijednosnih papira s uvrštenja na uređenom tržištu nije objavilo javnosti elaborat o procjeni fer vrijednosti dionice u skladu s člankom 341. stavkom 12. ovoga Zakona</w:t>
      </w:r>
    </w:p>
    <w:p w14:paraId="464A82CB"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protivno članku 356. ovoga Zakona neovlašteno obavlja usluge dostave podataka.</w:t>
      </w:r>
    </w:p>
    <w:p w14:paraId="33888AFA"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U slučaju da je pravna osoba prekršajem iz stavka 1. ovoga članka ostvarila korist ili spriječila gubitak, a iznos tako ostvarene koristi ili spriječenog gubitka moguće je utvrditi, kaznit će se za prekršaj iz stavka 1. ovoga članka novčanom kaznom u iznosu dvostruko utvrđenog iznosa tako ostvarene koristi odnosno tako spriječenog gubitka, ako je taj iznos veći od propisanog najvećeg iznosa novčane kazne iz stavka 1. ovoga članka.</w:t>
      </w:r>
    </w:p>
    <w:p w14:paraId="18485B82"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Za prekršaj iz stavka 1. ovoga članka kaznit će se i odgovorna osoba u pravnoj osobi novčanom kaznom u iznosu od 1320,00 do 4640,00 eura.</w:t>
      </w:r>
    </w:p>
    <w:p w14:paraId="2AEB5708"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Novčanom kaznom u iznosu od 1990,00 do 6630,00 eura kaznit će se za prekršaj fizička osoba koja:</w:t>
      </w:r>
    </w:p>
    <w:p w14:paraId="2176885A"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1. suprotno članku 6. ovoga Zakona neovlašteno pruža investicijske usluge</w:t>
      </w:r>
    </w:p>
    <w:p w14:paraId="5B59B23F"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2. kao osoba iz članka 247. stavka 3. ovoga Zakona na zahtjev Agencije, ne da na uvid ili ne dostavi tražene izvještaje i podatke odnosno poslovne knjige i poslovnu dokumentaciju sukladno članku 247. stavku 3. ovoga Zakona</w:t>
      </w:r>
    </w:p>
    <w:p w14:paraId="1B17F4A7"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3. protivno članku 284. stavku 1. ili članku 344. stavku 1. ovoga Zakona neovlašteno upravlja mjestom trgovanja</w:t>
      </w:r>
    </w:p>
    <w:p w14:paraId="01117560"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4. protivno članku 356. ovoga Zakona neovlašteno obavlja usluge dostave podataka.</w:t>
      </w:r>
    </w:p>
    <w:p w14:paraId="15D09B06"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(5) Novčanom kaznom u iznosu od 6630,00 do 19.900 eura kaznit će se za prekršaj podružnica investicijskih društava iz drugih država članica odnosno podružnica investicijskih društava iz trećih zemalja ako postupi suprotno rokovima dostave izvještaja te pravilima objave iz pravilnika donesenog na temelju odredbi članka 158. stavaka 5. i 6. ovoga Zakona.</w:t>
      </w:r>
    </w:p>
    <w:p w14:paraId="7ED80307" w14:textId="77777777" w:rsidR="00E574FC" w:rsidRPr="000479E9" w:rsidRDefault="00E574FC" w:rsidP="00E574FC">
      <w:pPr>
        <w:spacing w:after="0" w:line="240" w:lineRule="auto"/>
        <w:jc w:val="both"/>
        <w:rPr>
          <w:rFonts w:ascii="Times New Roman" w:hAnsi="Times New Roman" w:cs="Times New Roman"/>
          <w:sz w:val="24"/>
          <w:szCs w:val="24"/>
        </w:rPr>
      </w:pPr>
      <w:r w:rsidRPr="000479E9">
        <w:rPr>
          <w:rFonts w:ascii="Times New Roman" w:hAnsi="Times New Roman" w:cs="Times New Roman"/>
          <w:sz w:val="24"/>
          <w:szCs w:val="24"/>
        </w:rPr>
        <w:t>(6) Za prekršaj iz stavka 5. ovoga članka kaznit će se i odgovorna osoba podružnice investicijskih društava iz drugih država članica odnosno odgovorna osoba podružnice investicijskih društava iz trećih zemalja novčanom kaznom u iznosu od 1320,00 do 4640,00 eura.</w:t>
      </w:r>
    </w:p>
    <w:p w14:paraId="7E3FE301" w14:textId="73F489C8" w:rsidR="00C14945" w:rsidRPr="000479E9" w:rsidRDefault="00C14945" w:rsidP="00994F8A">
      <w:pPr>
        <w:spacing w:after="0" w:line="240" w:lineRule="auto"/>
        <w:jc w:val="both"/>
        <w:rPr>
          <w:rFonts w:ascii="Times New Roman" w:hAnsi="Times New Roman" w:cs="Times New Roman"/>
          <w:sz w:val="24"/>
          <w:szCs w:val="24"/>
        </w:rPr>
      </w:pPr>
    </w:p>
    <w:p w14:paraId="64C2E9C1" w14:textId="77777777" w:rsidR="00C14945" w:rsidRPr="000479E9" w:rsidRDefault="00C14945" w:rsidP="00C14945">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Teži prekršaji u vezi s ponudom vrijednosnih papira</w:t>
      </w:r>
    </w:p>
    <w:p w14:paraId="248E7884" w14:textId="01EC112A" w:rsidR="00C14945" w:rsidRPr="000479E9" w:rsidRDefault="00C14945" w:rsidP="00C14945">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705. </w:t>
      </w:r>
    </w:p>
    <w:p w14:paraId="585B1926" w14:textId="77777777" w:rsidR="00B71A3D" w:rsidRPr="000479E9" w:rsidRDefault="00B71A3D" w:rsidP="00C14945">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08B22CE8"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 Za prekršaj kaznit će se pravna osoba novčanom kaznom u iznosu koji je višekratnik broja 1.000, a koja ne može biti manja od 0,05 % ni veća od 3 % ukupnog </w:t>
      </w:r>
      <w:r w:rsidRPr="000479E9">
        <w:rPr>
          <w:rFonts w:ascii="Times New Roman" w:eastAsia="Times New Roman" w:hAnsi="Times New Roman" w:cs="Times New Roman"/>
          <w:sz w:val="24"/>
          <w:szCs w:val="24"/>
          <w:lang w:eastAsia="hr-HR"/>
        </w:rPr>
        <w:lastRenderedPageBreak/>
        <w:t>prihoda koji je ostvario u godini kada je počinjen prekršaj, utvrđenog službenim financijskim izvještajima za tu godinu, ako:</w:t>
      </w:r>
    </w:p>
    <w:p w14:paraId="367188AA"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ponudi javnosti vrijednosne papire, ako prije ponude nije u vezi s istom objavljen prospekt u skladu s člankom 3. stavkom 1. Uredbe (EU) br. 2017/1129, pri čemu nisu ispunjeni uvjeti za korištenje iznimke od obveze objave prospekta iz članka 1. stavka 4. Uredbe (EU) br. 2017/1129</w:t>
      </w:r>
    </w:p>
    <w:p w14:paraId="3C94A711"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ponudi javnosti vrijednosne papire, ako prije ponude nije u vezi s istom objavljen prospekt, pri čemu nisu ispunjeni uvjeti za korištenje iznimke od obveze objave prospekta iz članka 409. stavka 1. ovoga Zakona</w:t>
      </w:r>
    </w:p>
    <w:p w14:paraId="2DDA11B1"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uvrsti vrijednosne papire na uređeno tržište u Republici Hrvatskoj, a prije uvrštenja nije u vezi s istim objavljen prospekt, u skladu s člankom 3. stavkom 3. Uredbom (EU) br. 2017/1129, pri čemu nisu ispunjeni uvjeti za korištenje iznimke od obveze objave prospekta iz članka 1. stavka 5. Uredbe (EU) br. 2017/1129</w:t>
      </w:r>
    </w:p>
    <w:p w14:paraId="21E576F7"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koristi izuzetak od obveze objave prospekta iz članka 1. stavka 5. prvog podstavka točaka (a) i (b) Uredbe (EU) br. 2017/1129 na način protivan zabrani iz članka 1. stavka 6. Uredbe (EU) br. 2017/11295 kao ponuditelj ili financijski posrednik, protivno članku 5. stavku 1. prvom podstavku Uredbe (EU) br. 2017/1129 vrši ponovnu prodaju ili konačni plasman vrijednosnih papira koji podliježu obvezi objave prospekta, a da prethodno nije objavljen prospekt u skladu s Uredbom (EU) br. 2017/1129</w:t>
      </w:r>
    </w:p>
    <w:p w14:paraId="7B119607"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kao ponuditelj ili financijski posrednik protivno članku 5. stavku 1. drugom podstavku Uredbe (EU) br. 2017/1129 vrši ponovnu prodaju ili konačni plasman vrijednosnih papira putem prospekta koji ne ispunjava uvjete iz članka 12. Uredbe (EU) br. 2017/1129 i/ili za koji izdavatelj ili osoba odgovorna za sastavljanje prospekta nije dala pisanu suglasnost za njegovu upotrebu za naknadnu ponovnu prodaju ili konačni plasman</w:t>
      </w:r>
    </w:p>
    <w:p w14:paraId="6CB58280"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protivno zabrani iz članka 5. stavka 2. Uredbe (EU) br. 2017/1129 preprodaje vrijednosne papire nekvalificiranim ulagateljima temeljem prospekta za koji je utvrđeno da nije primjeren za nekvalificirane ulagatelje u skladu s Uredbom (EU) br. 2017/1129</w:t>
      </w:r>
    </w:p>
    <w:p w14:paraId="0A5C615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ishodi odobrenje prospekta, dopune prospekta i/ili drugog dokumenta za čije odobrenje je Agencija nadležna u skladu s člankom 405. stavkom 2. točkama 1. i 2. ovoga Zakona, temeljem lažnih ili nepotpunih izjava i/ili podataka ili izostavi informacije u prospektu ili drugom dokumentu za čije odobrenje je Agencija nadležna, a koje su prijeko potrebne ulagatelju kako bi donio utemeljenu procjenu imovine i obveza, dobiti i gubitaka, financijskog položaja te očekivanja izdavatelja i bilo kojeg jamca te, ako je primjenjivo, prava povezanih s vrijednosnim papirima i razlozima izdavanja vrijednosnih papira i njegova učinka na izdavatelja, pod uvjetima i u skladu sa zahtjevima iz članka 6. stavka 1. Uredbe (EU) br. 2017/1129.</w:t>
      </w:r>
    </w:p>
    <w:p w14:paraId="150FDFD0"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 Pod uvjetom da je zbog prekršaja nastupila ili je izvjesno da će nastupiti šteta za ulagatelje, ili je počinjenje prekršaja izazvalo poremećaj na tržištu kapitala, ili se prekršaj učestalo čini, za prekršaj kaznit će se pravna osoba novčanom kaznom u iznosu koji je višekratnik broja 1.000, a koja ne može biti manja od 0,05 % ni veća od 3 % </w:t>
      </w:r>
      <w:r w:rsidRPr="000479E9">
        <w:rPr>
          <w:rFonts w:ascii="Times New Roman" w:eastAsia="Times New Roman" w:hAnsi="Times New Roman" w:cs="Times New Roman"/>
          <w:sz w:val="24"/>
          <w:szCs w:val="24"/>
          <w:lang w:eastAsia="hr-HR"/>
        </w:rPr>
        <w:lastRenderedPageBreak/>
        <w:t>ukupnog prihoda koji je ostvario u godini kada je počinjen prekršaj, utvrđenog službenim financijskim izvještajima za tu godinu, ako:</w:t>
      </w:r>
    </w:p>
    <w:p w14:paraId="1D09FCCA"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prilikom objave prospekta ne poštuje postupke objave iz članka 21. stavka 2. Uredbe (EU) br. 2017/1129</w:t>
      </w:r>
    </w:p>
    <w:p w14:paraId="23339D23"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nakon što ih Agencija odobri ili se podnesu Agenciji bez prethodnog odobrenja, ne učini dostupnim javnosti u skladu s postupcima iz članka 21. Uredbe (EU) br. 2017/1129 bez nepotrebne odgode, univerzalni registracijski dokument i/ili njegove izmjene u slučajevima iz članka 9. stavaka 7. i 9. Uredbe (EU) br. 2017/1129, sve u skladu sa zahtjevima iz članka 9. stavka 4. Uredbe (EU) br. 2017/1129</w:t>
      </w:r>
    </w:p>
    <w:p w14:paraId="0E2013B2"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nakon što je odobren, ne učini registracijski dokument dostupnim javnosti bez nepotrebne odgode i u skladu s postupcima iz članka 21. Uredbe (EU) br. 2017/1129, sve u skladu sa zahtjevima iz članka 10. stavka 2. Uredbe (EU) br. 2017/1129</w:t>
      </w:r>
    </w:p>
    <w:p w14:paraId="7FA04E2E"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ne objavi prospekt na posebnom dijelu internetske stranice na način da je lako dostupan nakon što se pristupi internetskoj stranici tako da ga se može lako preuzeti, ispisati i pretraživati u elektroničkom obliku koji se ne može mijenjati, sve u skladu sa zahtjevima iz članka 21. stavka 3. prvog podstavka Uredbe (EU) br. 2017/1129</w:t>
      </w:r>
    </w:p>
    <w:p w14:paraId="43E43598"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ne omogući pristup dokumentima u kojima su sadržane informacije koje se u prospekt uključuju upućivanjem, dopunama i/ili konačnim uvjetima povezanima s prospektom te zasebnom primjerku sažetka na način da im je moguće pristupiti u istom dijelu internetske stranice uz prospekt, među ostalim i ako je potrebno, putem hiperpoveznica, sve u skladu sa zahtjevima iz članka 21. stavka 3. drugog podstavka Uredbe (EU) br. 2017/1129</w:t>
      </w:r>
    </w:p>
    <w:p w14:paraId="24E8DDD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u zasebnom primjerku sažetka nije jasno naznačeno na koji se prospekt odnosi u skladu s člankom 21. stavkom 3. trećim podstavkom Uredbe (EU) br. 2017/1129</w:t>
      </w:r>
    </w:p>
    <w:p w14:paraId="1494325E"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ograničava pristup objavljenom prospektu na način da se zahtijeva registracija, davanje izjave o prihvaćanju ograničenja pravne odgovornosti ili plaćanje naknade protivno zabrani iz članka 21. stavka 4. Uredbe (EU) br. 2017/1129</w:t>
      </w:r>
    </w:p>
    <w:p w14:paraId="145CF3C7"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kao izdavatelj, ponuditelj ili osoba koja traži uvrštenje za trgovanje na uređenom tržištu, kada su hiperpoveznice upotrijebljene za potrebe objave prospekta, ne osigura funkcionalnost hiperpoveznica na prospekt i/ili na informacije uključene u prospekt upućivanjem te na dopune i/ili konačne uvjete povezane s prospektom tijekom razdoblja od najmanje 10 godina nakon njihove objave na internetskim stranicama iz članka 21. stavaka 2. i 6. Uredbe (EU) br. 2017/1129, a kako je propisano člankom 21. stavkom 7. Uredbe (EU) br. 2017/1129</w:t>
      </w:r>
    </w:p>
    <w:p w14:paraId="4D00D28A"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objavi i distribuira zasebno dokumente koji čine sastavni dio prospekta koji se sastoji od zasebnih dokumenata i/ili objavi i distribuira zasebno informacije koje su uključene u prospekt upućivanjem, a da ti dokumenti i/ili informacije nisu prethodno objavljeni u elektroničkom obliku na kojoj od internetskih stranica u skladu s člankom 21. stavkom 2. Uredbe (EU) br. 2017/1129, sve u skladu sa zahtjevima iz članka 21. stavka 9. Uredbe (EU) br. 2017/1129</w:t>
      </w:r>
    </w:p>
    <w:p w14:paraId="3399C948"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10. kao izdavatelj, ponuditelj, osoba koja traži uvrštenje za trgovanje na uređenom tržištu ili financijski posrednik koji obavlja poslove plasmana ili prodaje vrijednosnih papira ne dostavi potencijalnom ulagatelju na njegov zahtjev i bez naknade primjerak </w:t>
      </w:r>
      <w:r w:rsidRPr="000479E9">
        <w:rPr>
          <w:rFonts w:ascii="Times New Roman" w:eastAsia="Times New Roman" w:hAnsi="Times New Roman" w:cs="Times New Roman"/>
          <w:sz w:val="24"/>
          <w:szCs w:val="24"/>
          <w:lang w:eastAsia="hr-HR"/>
        </w:rPr>
        <w:lastRenderedPageBreak/>
        <w:t>prospekta na trajnom mediju ili kada je potencijalni ulagatelj zatražio primjerak prospekta u papirnatom obliku, ne dostavi prospekt u tiskanoj verziji, kada je zahtjev za dostavom prospekta na trajnom mediju ili u papirnatom obliku uputio potencijalni ulagatelj s područja jurisdikcije na kojem se provodi javna ponuda vrijednosnih papira ili se provodi uvrštenje za trgovanje na uređenom tržištu, sve u skladu s člankom 21. stavkom 11. Uredbe (EU) br. 2017/1129</w:t>
      </w:r>
    </w:p>
    <w:p w14:paraId="2DCB9E22"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objavi ili distribuira oglas na području Republike Hrvatske koji ne sadrži informacije iz članka 22. stavka 2. Uredbe (EU) br. 2017/1129</w:t>
      </w:r>
    </w:p>
    <w:p w14:paraId="777E430F"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objavi ili distribuira oglas na području Republike Hrvatske koji nije jasno prepoznatljiv kao takav u skladu s člankom 22. stavkom 3. Uredbe (EU) br. 2017/1129</w:t>
      </w:r>
    </w:p>
    <w:p w14:paraId="41DF85F1"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objavi ili distribuira oglas na području Republike Hrvatske koji sadrži informacije koje su netočne ili dovode u zabludu ili nisu u skladu s informacijama sadržanima u prospektu, kada je prospekt već objavljen, ili s informacijama za koje se zahtijeva da budu u prospektu, kada prospekt tek treba biti objavljen, protivno zabrani iz članka 22. stavka 3. Uredbe (EU) br. 2017/1129</w:t>
      </w:r>
    </w:p>
    <w:p w14:paraId="3722532E"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priopći ili objavi informacije koje se odnose na javnu ponudu vrijednosnih papira ili uvrštenje za trgovanje na uređenom tržištu, u usmenom ili pisanom obliku, čak i kada nisu bile objavljene u svrhe oglašavanja, sadržaj kojih nije u skladu s informacijama sadržanim u prospektu, sve u skladu sa zahtjevima iz članka 22. stavka 4. Uredbe (EU) br. 2017/1129</w:t>
      </w:r>
    </w:p>
    <w:p w14:paraId="3ADDE361"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15. kao izdavatelj ili ponuditelj koji je u usmenom ili pisanom obliku objavio bitne informacije jednom ili više odabranih ulagatelja takve informacije ne objavi i svim drugim ulagateljima kojima je ponuda upućena, pri čemu se radi o slučaju kada se objava prospekta ne zahtijeva u skladu s člankom 1. stavkom 4. ili 5. Uredbe (EU) br. 2017/1129, sve u skladu sa zahtjevima iz članka 22. stavka 5. točke (a) Uredbe (EU) br. 2017/1129</w:t>
      </w:r>
    </w:p>
    <w:p w14:paraId="6D68C7A4"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16. kao izdavatelj ili ponuditelj koji je u usmenom ili pisanom obliku objavio bitne informacije jednom ili više odabranih ulagatelja takve informacije ne uključi i u prospekt ili u dopunu prospekta u skladu s člankom 23. stavkom 1. Uredbe (EU) br. 2017/1129, pri čemu se radi o slučaju kada se objava prospekta zahtijeva, sve u skladu sa zahtjevima iz članka 22. stavka 5. točke (b) Uredbe (EU) br. 2017/1129</w:t>
      </w:r>
    </w:p>
    <w:p w14:paraId="67BFE2C0"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17. objavi dopunu prospekta na način koji nije u skladu barem s istim postupcima primijenjenim prilikom objave inicijalnog prospekta u skladu s člankom 21. Uredbe (EU) br. 2017/1129, sve u skladu s člankom 23. stavkom 1. drugim podstavkom Uredbe (EU) br. 2017/1129</w:t>
      </w:r>
    </w:p>
    <w:p w14:paraId="476AC979"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18. nakon odobrenja registracijskog dokumenta ponudi vrijednosne papire ili podnese zahtjev za uvrštenje za trgovanje na uređeno tržište, a da prethodno ne podnese Agenciji zahtjev za zasebnim odobrenjem obavijesti o vrijednosnim papirima i sažetka, sve u skladu sa zahtjevima iz članka 10. stavka 1. prvog podstavka Uredbe (EU) br. 2017/1129</w:t>
      </w:r>
    </w:p>
    <w:p w14:paraId="66C00C1C"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19. nakon odobrenja univerzalnog registracijskog dokumenta ponudi vrijednosne papire ili podnese zahtjev za uvrštenje za trgovanje na uređeno tržište, a da prethodno </w:t>
      </w:r>
      <w:r w:rsidRPr="000479E9">
        <w:rPr>
          <w:rFonts w:ascii="Times New Roman" w:eastAsia="Times New Roman" w:hAnsi="Times New Roman" w:cs="Times New Roman"/>
          <w:sz w:val="24"/>
          <w:szCs w:val="24"/>
          <w:lang w:eastAsia="hr-HR"/>
        </w:rPr>
        <w:lastRenderedPageBreak/>
        <w:t>ne podnese Agenciji zahtjev za zasebnim odobrenjem obavijesti o vrijednosnim papirima i sažetka, sve u skladu sa zahtjevima iz članka 10. stavka 3. drugog podstavka Uredbe (EU) br. 2017/1129</w:t>
      </w:r>
    </w:p>
    <w:p w14:paraId="709D7040"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20. nakon što je univerzalni registracijski dokument podnesen Agenciji bez prethodnog odobrenja ponudi vrijednosne papire ili podnese zahtjev za uvrštenje za trgovanje na uređeno tržište, a da prethodno ne podnese Agenciji zahtjev za odobrenjem cjelokupne dokumentacije, uključujući izmjene univerzalnog registracijskog dokumenta, koje bi trebale činiti prospekt za potrebe ponude vrijednosnih papira ili uvrštenja za trgovanje na uređeno tržište, sve u skladu s člankom 10. stavkom 3. trećim i četvrtim podstavkom Uredbe (EU) br. 2017/1129</w:t>
      </w:r>
    </w:p>
    <w:p w14:paraId="62E83E89"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21. ne objavi prospekt najkasnije s početkom javne ponude ili prije uvrštenja za trgovanje vrijednosnih papira na uređeno tržište kako je propisano člankom 21. stavkom 1. prvim podstavkom Uredbe (EU) br. 2017/1129</w:t>
      </w:r>
    </w:p>
    <w:p w14:paraId="02B3EE35"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22. ne objavi prospekt najmanje šest radnih dana prije završetka ponude, a koji prospekt se odnosi na inicijalnu javnu ponudu roda dionica koji se po prvi puta uvrštava za trgovanje na uređenom tržištu kako je propisano člankom 21. stavkom 1. drugim podstavkom Uredbe (EU) br. 2017/1129</w:t>
      </w:r>
    </w:p>
    <w:p w14:paraId="4BC611F6"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23. protivno članku 17. stavku 2. Uredbe (EU) br. 2017/1129 ne podnese Agenciji podatke o konačnoj ponudbenoj cijeni i količini vrijednosnih papira i/ili se ne učine dostupnim javnosti u skladu s postupcima iz članka 21. stavka 2. Uredbe (EU) br. 2017/1129</w:t>
      </w:r>
    </w:p>
    <w:p w14:paraId="08ABF8BE"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24. objavi prospekt ili njegove sastavne dijelove u slučaju iz članka 10. Uredbe (EU) br. 2017/1129, a koje prethodno nije odobrilo nadležno tijelo u skladu s člankom 20. stavkom 1. Uredbe (EU) br. 2017/1129</w:t>
      </w:r>
    </w:p>
    <w:p w14:paraId="48724A7E"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25. objavi univerzalni registracijski dokument koji prethodno nije podnesen Agenciji ili nije odobren iako je isti prethodno podnesen Agenciji radi odobrenja, sve u skladu s člankom 9. stavkom 2. Uredbe (EU) br. 2017/112917., objavi dopunu prospekta koju prethodno nije odobrilo nadležno tijelo u skladu s člankom 23. stavkom 1. Uredbe (EU) br. 2017/112918. kao izdavatelj, ponuditelj ili osoba koja traži uvrštenje za trgovanje na uređenom tržištu, učini dostupnim javnosti prospekt i/ili dopunu prospekta čiji tekst i oblik nisu istovjetni izvornoj verziji koju je odobrila Agencija ili nadležno tijelo matične države članice u skladu s člankom 21. stavkom 10. Uredbe (EU) br. 2017/1129</w:t>
      </w:r>
    </w:p>
    <w:p w14:paraId="63A0A9D3"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26. kao izdavatelj, ponuditelj ili podnositelj zahtjeva za uvrštenje na uređeno tržište ne podnese zahtjev Agenciji za odobrenjem dopune prospekta bez nepotrebne odgode kada za to postoje uvjeti u skladu s člankom 23. stavkom 1. prvim podstavkom Uredbe (EU) br. 2017/12920., kao izdavatelj, ponuditelj ili podnositelj zahtjeva za uvrštenje na uređeno tržište ne podnese zahtjev Agenciji za odobrenjem dopune registracijskog dokumenta ili univerzalnog registracijskog dokumenta bez nepotrebne odgode kada za to postoje uvjeti u skladu s člankom 26. stavkom 5. prvim podstavkom Uredbe (EU) br. 2017/1129</w:t>
      </w:r>
    </w:p>
    <w:p w14:paraId="259FECA1"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27. kao izdavatelj, ponuditelj ili podnositelj zahtjeva za uvrštenje na uređeno tržište propusti dostaviti obavijest o dopuni registracijskog dokumenta ili univerzalnog registracijskog dokumenta koji se istodobno koriste kao sastavni dio nekoliko prospekata u skladu s člankom 23. stavkom 5. Uredbe (EU) br. 2017/1129, svim nadležnim tijelima koja su odobrila te prospekte, sve u skladu sa zahtjevima iz članka 26. stavka 5. drugog podstavka Uredbe (EU) br. 2017/1129</w:t>
      </w:r>
    </w:p>
    <w:p w14:paraId="0345A253"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28. kao izdavatelj, ponuditelj ili podnositelj zahtjeva za uvrštenje na uređeno tržište na poziv Agencije u skladu s člankom 24. stavkom 2. Uredbe (EU) br. 2017/1129 ne podnese zahtjev Agenciji za odobrenjem dopune prospekta u skladu s člankom 23. stavkom 1. prvim podstavkom Uredbe (EU) br. 2017/112924., kao izdavatelj, ponuditelj ili podnositelj zahtjeva za uvrštenje na uređeno tržište ne objavi dopunu prospekta koju je odobrilo nadležno tijelo u skladu s člankom 23. stavkom 1. Uredbe (EU) br. 2017/1129</w:t>
      </w:r>
    </w:p>
    <w:p w14:paraId="217108B8"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29. kao izdavatelj, ponuditelj ili podnositelj zahtjeva za uvrštenje na uređeno tržište ne omogući ulagateljima povlačenje prihvata pod uvjetima i u skladu s člankom 23. stavkom 2. prvim podstavkom Uredbe (EU) br. 2017/1129</w:t>
      </w:r>
    </w:p>
    <w:p w14:paraId="08684807"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30. kao financijski posrednik putem kojeg su vrijednosni papiri kupljeni ili upisani ne obavijesti ulagatelje ili ne stupi u kontakt s ulagateljima na dan objave dopune, u skladu s člankom 23. stavkom 3. prvim i drugim podstavkom Uredbe (EU) br. 2017/1129</w:t>
      </w:r>
    </w:p>
    <w:p w14:paraId="239FDC1B"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31. kao izdavatelj ili ponuditelj kod kojeg su vrijednosni papiri izravno kupljeni ili upisani ne obavijesti ulagatelje u skladu s člankom 23. stavkom 3. trećim podstavkom Uredbe (EU) br. 2017/1129.</w:t>
      </w:r>
    </w:p>
    <w:p w14:paraId="46CBCE0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Iznimno od stavaka 1. i 2. ovoga članka, ako bi iznos novčane kazne utvrđene na temelju stavaka 1. i 2. ovoga članka bio manji od 66.360,00 eura, pravna osoba iz stavaka 1. i 2. ovoga članka kaznit će se za prekršaj iz stavaka 1. i 2. ovoga članka novčanom kaznom u iznosu od 66.360,00 do 132.720,00 eura.</w:t>
      </w:r>
    </w:p>
    <w:p w14:paraId="13ACA530"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Iznimno od stavaka 1., 2. i 3. ovoga članka, ako je pravna osoba iz stavaka 1. i 2. ovoga članka prekršajem iz stavaka 1. i 2. ovoga članka ostvarila korist ili spriječila gubitak, a iznos tako ostvarene koristi ili spriječenog gubitka može se utvrditi, pravna osoba iz stavaka 1. i 2. ovoga članka kaznit će se za prekršaj iz stavaka 1. i 2. ovoga članka novčanom kaznom u iznosu dvostruko utvrđenog iznosa tako ostvarene koristi odnosno tako spriječenog gubitka, ako je taj iznos veći od propisanog najvećeg iznosa novčane kazne iz stavaka 1., 2. i 3. ovoga članka.</w:t>
      </w:r>
    </w:p>
    <w:p w14:paraId="6149DB75"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Za prekršaj iz stavaka 1. i 2. ovoga članka kaznit će se i odgovorna osoba u pravnoj osobi iz stavaka 1. i 2. ovoga članka novčanom kaznom u iznosu od 66.360,00 do 700.000,00 eura.</w:t>
      </w:r>
    </w:p>
    <w:p w14:paraId="6974FA1B"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Kada fizička osoba počini prekršaj iz stavaka 1. i 2., kaznit će se novčanom kaznom u iznosu u iznosu od 66.360,00 do 700.000,00 eura.</w:t>
      </w:r>
    </w:p>
    <w:p w14:paraId="47ABDF82" w14:textId="77777777" w:rsidR="00C14945" w:rsidRPr="000479E9" w:rsidRDefault="00C14945" w:rsidP="00C1494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(7) Iznimno od stavka 6. ovoga članka, ako je fizička osoba iz stavka 6. ovoga članka prekršajem ostvarila korist ili spriječila gubitak, a iznos tako ostvarene koristi ili spriječenog gubitka može se utvrditi, fizička osoba iz stavka 6. ovoga članka kaznit će se za prekršaj iz stavaka 1. i 2. ovoga članka novčanom kaznom u iznosu dvostruko </w:t>
      </w:r>
      <w:r w:rsidRPr="000479E9">
        <w:rPr>
          <w:rFonts w:ascii="Times New Roman" w:eastAsia="Times New Roman" w:hAnsi="Times New Roman" w:cs="Times New Roman"/>
          <w:sz w:val="24"/>
          <w:szCs w:val="24"/>
          <w:lang w:eastAsia="hr-HR"/>
        </w:rPr>
        <w:lastRenderedPageBreak/>
        <w:t>utvrđenog iznosa tako ostvarene koristi odnosno tako spriječenog gubitka, ako je taj iznos veći od propisanog najvećeg iznosa novčane kazne iz stavka 6. ovoga članka.</w:t>
      </w:r>
    </w:p>
    <w:p w14:paraId="27AA682D" w14:textId="77777777" w:rsidR="00C14945" w:rsidRPr="000479E9" w:rsidRDefault="00C14945" w:rsidP="00C14945">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4F6B5A0B" w14:textId="77777777" w:rsidR="00C14945" w:rsidRPr="000479E9" w:rsidRDefault="00C14945" w:rsidP="0065340E">
      <w:pPr>
        <w:shd w:val="clear" w:color="auto" w:fill="FFFFFF" w:themeFill="background1"/>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Lakši prekršaji u vezi s ponudom vrijednosnih papira</w:t>
      </w:r>
    </w:p>
    <w:p w14:paraId="646A2DB6" w14:textId="5A56D468" w:rsidR="00C14945" w:rsidRPr="000479E9" w:rsidRDefault="00C14945" w:rsidP="0065340E">
      <w:pPr>
        <w:shd w:val="clear" w:color="auto" w:fill="FFFFFF" w:themeFill="background1"/>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705.a </w:t>
      </w:r>
    </w:p>
    <w:p w14:paraId="501F6E60" w14:textId="77777777" w:rsidR="00B71A3D" w:rsidRPr="000479E9" w:rsidRDefault="00B71A3D" w:rsidP="0065340E">
      <w:pPr>
        <w:shd w:val="clear" w:color="auto" w:fill="FFFFFF" w:themeFill="background1"/>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58689787"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Novčanom kaznom u iznosu od 6630,00 do 26.540,00 eura kaznit će se pravna osoba za prekršaj pod uvjetom da uslijed počinjenja prekršaja nije nastupila šteta za ulagatelje, da počinjenje prekršaja nije izazvalo poremećaj na tržištu kapitala te da činjenje prekršaja nije učestalo, ako:</w:t>
      </w:r>
    </w:p>
    <w:p w14:paraId="3F89EBE9"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prilikom objave prospekta ne poštuje postupke objave iz članka 21. stavka 2. Uredbe (EU) br. 2017/1129</w:t>
      </w:r>
    </w:p>
    <w:p w14:paraId="292C29A1"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nakon što ih Agencija odobri ili se podnesu Agenciji bez prethodnog odobrenja, ne učini dostupnim javnosti u skladu s postupcima iz članka 21. Uredbe (EU) br. 2017/1129 bez nepotrebne odgode univerzalni registracijski dokument i/ili njegove izmjene u slučajevima iz članka 9. stavaka 7. i 9. Uredbe (EU) br. 2017/1129, sve u skladu sa zahtjevima iz članka 9. stavka 4. Uredbe (EU) br. 2017/1129</w:t>
      </w:r>
    </w:p>
    <w:p w14:paraId="1E45D31E"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nakon što je odobren, ne učini registracijski dokument dostupnim javnosti bez nepotrebne odgode i u skladu s postupcima iz članka 21. Uredbe (EU) br. 2017/1129, sve u skladu sa zahtjevima iz članka 10. stavka 2. Uredbe (EU) br. 2017/1129</w:t>
      </w:r>
    </w:p>
    <w:p w14:paraId="77C0E044"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ne objavi prospekt na posebnom dijelu internetske stranice na način da je lako dostupan nakon što se pristupi internetskoj stranici tako da ga se može lako preuzeti, ispisati i pretraživati u elektroničkom obliku koji se ne može mijenjati, sve u skladu sa zahtjevima iz članka 21. stavka 3. prvog podstavka Uredbe (EU) br. 2017/1129</w:t>
      </w:r>
    </w:p>
    <w:p w14:paraId="3D687DA6"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ne omogući pristup dokumentima u kojima su sadržane informacije koje se u prospekt uključuju upućivanjem, dopunama i/ili konačnim uvjetima povezanima s prospektom te zasebnom primjerku sažetka na način da im je moguće pristupiti u istom dijelu internetske stranice uz prospekt, među ostalim i ako je potrebno, putem hiperpoveznica, sve u skladu sa zahtjevima iz članka 21. stavka 3. drugog podstavka Uredbe (EU) br. 2017/1129</w:t>
      </w:r>
    </w:p>
    <w:p w14:paraId="6CA92756"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u zasebnom primjerku sažetka nije jasno naznačeno na koji se prospekt odnosi u skladu s člankom 21. stavkom 3. trećim podstavkom Uredbe (EU) br. 2017/1129</w:t>
      </w:r>
    </w:p>
    <w:p w14:paraId="30570CDF"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ograničava pristup objavljenom prospektu na način da se zahtijeva registracija, davanje izjave o prihvaćanju ograničenja pravne odgovornosti ili plaćanje naknade protivno zabrani iz članka 21. stavka 4. Uredbe (EU) br. 2017/1129</w:t>
      </w:r>
    </w:p>
    <w:p w14:paraId="16959FF4"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kao izdavatelj, ponuditelj ili osoba koja traži uvrštenje za trgovanje na uređenom tržištu, kada su hiperpoveznice upotrijebljene za potrebe objave prospekta, ne osigura funkcionalnost hiperpoveznica na prospekt i/ili na informacije uključene u prospekt upućivanjem te na dopune i/ili konačne uvjete povezane s prospektom tijekom razdoblja od najmanje 10 godina nakon njihove objave na internetskim stranicama iz članka 21. stavaka 2. i 6. Uredbe (EU) br. 2017/1129, a kako je propisano člankom 21. stavkom 7. Uredbe (EU) br. 2017/1129</w:t>
      </w:r>
    </w:p>
    <w:p w14:paraId="05261E6C"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9. objavi i distribuira zasebno dokumente koji čine sastavni dio prospekta koji se sastoji od zasebnih dokumenata i/ili objavi i distribuira zasebno informacije koje su uključene u prospekt upućivanjem, a da ti dokumenti i/ili informacije nisu prethodno objavljeni u elektroničkom obliku na kojoj od internetskih stranica u skladu s člankom 21. stavkom 2. Uredbe (EU) br. 2017/1129, sve u skladu sa zahtjevima iz članka 21. stavka 9. Uredbe (EU) br. 2017/1129</w:t>
      </w:r>
    </w:p>
    <w:p w14:paraId="2269D35A"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kao izdavatelj, ponuditelj, osoba koja traži uvrštenje za trgovanje na uređenom tržištu ili financijski posrednik koji obavlja poslove plasmana ili prodaje vrijednosnih papira ne dostavi potencijalnom ulagatelju na njegov zahtjev i bez naknade primjerak prospekta na trajnom mediju ili kada je potencijalni ulagatelj zatražio primjerak prospekta u papirnatom obliku, ne dostavi prospekt u tiskanoj verziji, kada je zahtjev za dostavom prospekta na trajnom mediju ili u papirnatom obliku uputio potencijalni ulagatelj s područja jurisdikcije na kojem se provodi javna ponuda vrijednosnih papira ili se provodi uvrštenje za trgovanje na uređenom tržištu, sve u skladu s člankom 21. stavkom 11. Uredbe (EU) br. 2017/1129</w:t>
      </w:r>
    </w:p>
    <w:p w14:paraId="50DDED6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objavi ili distribuira oglas na području Republike Hrvatske koji ne sadrži informacije iz članka 22. stavka 2. Uredbe (EU) br. 2017/1129</w:t>
      </w:r>
    </w:p>
    <w:p w14:paraId="6CEA3E3E"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objavi ili distribuira oglas na području Republike Hrvatske koji nije jasno prepoznatljiv kao takav u skladu s člankom 22. stavkom 3. Uredbe (EU) br. 2017/1129</w:t>
      </w:r>
    </w:p>
    <w:p w14:paraId="7162D3F2"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objavi ili distribuira oglas na području Republike Hrvatske koji sadrži informacije koje su netočne ili dovode u zabludu ili nisu u skladu s informacijama sadržanima u prospektu, kada je prospekt već objavljen, ili s informacijama za koje se zahtijeva da budu u prospektu, kada prospekt tek treba biti objavljen, protivno zabrani iz članka 22. stavka 3. Uredbe (EU) br. 2017/1129</w:t>
      </w:r>
    </w:p>
    <w:p w14:paraId="7769DBD4"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priopći ili objavi informacije koje se odnose na javnu ponudu vrijednosnih papira ili uvrštenje za trgovanje na uređenom tržištu, u usmenom ili pisanom obliku, čak i kada nisu bile objavljene u svrhe oglašavanja, sadržaj kojih nije u skladu s informacijama sadržanim u prospektu, sve u skladu sa zahtjevima iz članka 22. stavka 4. Uredbe (EU) br. 2017/1129</w:t>
      </w:r>
    </w:p>
    <w:p w14:paraId="33234A07"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15. kao izdavatelj ili ponuditelj koji je u usmenom ili pisanom obliku objavio bitne informacije jednom ili više odabranih ulagatelja takve informacije ne objavi i svim drugim ulagateljima kojima je ponuda upućena, pri čemu se radi o slučaju kada se objava prospekta ne zahtijeva u skladu s člankom 1. stavkom 4. ili 5. Uredbe (EU) br. 2017/1129, sve u skladu sa zahtjevima iz članka 22. stavka 5. točke (a) Uredbe (EU) br. 2017/1129</w:t>
      </w:r>
    </w:p>
    <w:p w14:paraId="6BDBCBA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16. kao izdavatelj ili ponuditelj koji je u usmenom ili pisanom obliku objavio bitne informacije jednom ili više odabranih ulagatelja takve informacije ne uključi i u prospekt ili u dopunu prospekta u skladu s člankom 23. stavkom 1. Uredbe (EU) br. 2017/1129, pri čemu se radi o slučaju kada se objava prospekta zahtijeva, sve u skladu sa zahtjevima iz članka 22. stavka 5. točke (b) Uredbe (EU) br. 2017/1129</w:t>
      </w:r>
    </w:p>
    <w:p w14:paraId="6A21A395"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17. objavi dopunu prospekta na način koji nije u skladu barem s istim postupcima primijenjenim prilikom objave inicijalnog prospekta u skladu s člankom 21. Uredbe </w:t>
      </w:r>
      <w:r w:rsidRPr="000479E9">
        <w:rPr>
          <w:rFonts w:ascii="Times New Roman" w:eastAsia="Times New Roman" w:hAnsi="Times New Roman" w:cs="Times New Roman"/>
          <w:sz w:val="24"/>
          <w:szCs w:val="24"/>
          <w:lang w:eastAsia="hr-HR"/>
        </w:rPr>
        <w:lastRenderedPageBreak/>
        <w:t>(EU) br. 2017/1129, sve u skladu s člankom 23. stavkom 1. drugim podstavkom Uredbe (EU) br. 2017/1129</w:t>
      </w:r>
    </w:p>
    <w:p w14:paraId="278D6F29"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18. nakon odobrenja registracijskog dokumenta ponudi vrijednosne papire ili podnese zahtjev za uvrštenje za trgovanje na uređeno tržište, a da prethodno ne podnese Agenciji zahtjev za zasebnim odobrenjem obavijesti o vrijednosnim papirima i sažetka, sve u skladu sa zahtjevima iz članka 10. stavka 1. prvog podstavka Uredbe (EU) br. 2017/1129</w:t>
      </w:r>
    </w:p>
    <w:p w14:paraId="77EE3E2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19. nakon odobrenja univerzalnog registracijskog dokumenta ponudi vrijednosne papire ili podnese zahtjev za uvrštenje za trgovanje na uređeno tržište, a da prethodno ne podnese Agenciji zahtjev za zasebnim odobrenjem obavijesti o vrijednosnim papirima i sažetka, sve u skladu sa zahtjevima iz članka 10. stavka 3. drugog podstavka Uredbe (EU) br. 2017/1129</w:t>
      </w:r>
    </w:p>
    <w:p w14:paraId="09D42CBA"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20. nakon što je univerzalni registracijski dokument podnesen Agenciji bez prethodnog odobrenja ponudi vrijednosne papire ili podnese zahtjev za uvrštenje za trgovanje na uređeno tržište, a da prethodno ne podnese Agenciji zahtjev za odobrenjem cjelokupne dokumentacije, uključujući izmjene univerzalnog registracijskog dokumenta, koje bi trebale činiti prospekt za potrebe ponude vrijednosnih papira ili uvrštenja za trgovanje na uređeno tržište, sve u skladu s člankom 10. stavkom 3. trećim i četvrtim podstavkom Uredbe (EU) br. 2017/1129</w:t>
      </w:r>
    </w:p>
    <w:p w14:paraId="2BC49019"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21. ne objavi prospekt najkasnije s početkom javne ponude ili prije uvrštenja za trgovanje vrijednosnih papira na uređeno tržište kako je propisano člankom 21. stavkom 1. prvim podstavkom Uredbe (EU) br. 2017/1129</w:t>
      </w:r>
    </w:p>
    <w:p w14:paraId="2ED8CF39"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22. ne objavi prospekt najmanje šest radnih dana prije završetka ponude, a koji prospekt se odnosi na inicijalnu javnu ponudu roda dionica koji se po prvi puta uvrštava za trgovanje na uređenom tržištu kako je propisano člankom 21. stavkom 1. drugim podstavkom Uredbe (EU) br. 2017/1129</w:t>
      </w:r>
    </w:p>
    <w:p w14:paraId="4E9283C4"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23. protivno članku 17. stavku 2. Uredbe (EU) br. 2017/1129 ne podnese Agenciji podatke o konačnoj ponudbenoj cijeni i količini vrijednosnih papira i/ili se ne učine dostupnim javnosti u skladu s postupcima iz članka 21. stavka 2. Uredbe (EU) br. 2017/1129</w:t>
      </w:r>
    </w:p>
    <w:p w14:paraId="65D5C9AC"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24. objavi prospekt ili njegove sastavne dijelove u slučaju iz članka 10. Uredbe (EU) br. 2017/1129, a koje prethodno nije odobrilo nadležno tijelo u skladu s člankom 20. stavkom 1. Uredbe (EU) br. 2017/1129</w:t>
      </w:r>
    </w:p>
    <w:p w14:paraId="55A6B2A9"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25. objavi univerzalni registracijski dokument koji prethodno nije podnesen Agenciji ili nije odobren iako je isti prethodno podnesen Agenciji radi odobrenja, sve u skladu s člankom 9. stavkom 2. Uredbe (EU) br. 2017/112917, objavi dopunu prospekta koju prethodno nije odobrilo nadležno tijelo u skladu s člankom 23. stavkom 1. Uredbe (EU) br. 2017/112918, kao izdavatelj, ponuditelj ili osoba koja traži uvrštenje za trgovanje na uređenom tržištu učini dostupnim javnosti prospekt i/ili dopunu prospekta čiji tekst i oblik nisu istovjetni izvornoj verziji koju je odobrila Agencija ili nadležno tijelo matične države članice u skladu s člankom 21. stavkom 10. Uredbe (EU) br. 2017/1129</w:t>
      </w:r>
    </w:p>
    <w:p w14:paraId="7720DBC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26. kao izdavatelj, ponuditelj ili podnositelj zahtjeva za uvrštenje na uređeno tržište ne podnese zahtjev Agenciji za odobrenjem dopune prospekta bez nepotrebne odgode kada za to postoje uvjeti u skladu s člankom 23. stavkom 1. prvim podstavkom Uredbe (EU) br. 2017/112920, kao izdavatelj, ponuditelj ili podnositelj zahtjeva za uvrštenje na uređeno tržište ne podnese zahtjev Agenciji za odobrenjem dopune registracijskog dokumenta ili univerzalnog registracijskog dokumenta bez nepotrebne odgode kada za to postoje uvjeti u skladu s člankom 26. stavkom 5. prvim podstavkom Uredbe (EU) br. 2017/1129</w:t>
      </w:r>
    </w:p>
    <w:p w14:paraId="429D4294"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27. kao izdavatelj, ponuditelj ili podnositelj zahtjeva za uvrštenje na uređeno tržište propusti dostaviti obavijest o dopuni registracijskog dokumenta ili univerzalnog registracijskog dokumenta koji se istodobno koristi kao sastavni dio nekoliko prospekata u skladu s člankom 23. stavkom 5. Uredbe (EU) br. 2017/1129 svim nadležnim tijelima koja su odobrila te prospekte, sve u skladu sa zahtjevima iz članka 26. stavka 5. drugog podstavka Uredbe (EU) br. 2017/1129</w:t>
      </w:r>
    </w:p>
    <w:p w14:paraId="26101264"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28. kao izdavatelj, ponuditelj ili podnositelj zahtjeva za uvrštenje na uređeno tržište na poziv Agencije u skladu s člankom 24. stavkom 2. Uredbe (EU) br. 2017/1129 ne podnese zahtjev Agenciji za odobrenjem dopune prospekta u skladu s člankom 23. stavkom 1. prvim podstavkom Uredbe (EU) br. 2017/112924, kao izdavatelj, ponuditelj ili podnositelj zahtjeva za uvrštenje na uređeno tržište ne objavi dopunu prospekta koju je odobrilo nadležno tijelo u skladu s člankom 23. stavkom 1. Uredbe (EU) br. 2017/1129</w:t>
      </w:r>
    </w:p>
    <w:p w14:paraId="519E4C03"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29. kao izdavatelj, ponuditelj ili podnositelj zahtjeva za uvrštenje na uređeno tržište ne omogući ulagateljima povlačenje prihvata pod uvjetima i u skladu s člankom 23. stavkom 2. prvim podstavkom Uredbe (EU) br. 2017/1129</w:t>
      </w:r>
    </w:p>
    <w:p w14:paraId="40D6E615"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30. kao financijski posrednik putem kojeg su vrijednosni papiri kupljeni ili upisani ne obavijesti ulagatelje ili ne stupi u kontakt s ulagateljima na dan objave dopune, u skladu s člankom 23. stavkom 3. prvim i drugim podstavkom Uredbe (EU) br. 2017/1129</w:t>
      </w:r>
    </w:p>
    <w:p w14:paraId="0F45890D"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31. kao izdavatelj ili ponuditelj kod kojeg su vrijednosni papiri izravno kupljeni ili upisani ne obavijesti ulagatelje u skladu s 23. stavkom 3. trećim podstavkom Uredbe (EU) br. 2017/1129.</w:t>
      </w:r>
    </w:p>
    <w:p w14:paraId="79A76DE5"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Iznimno od stavka 1. ovoga članka, ako je pravna osoba iz stavka 1. ovoga članka prekršajem iz stavka 1. ovoga članka ostvarila korist ili spriječila gubitak, a iznos tako ostvarene koristi ili spriječenog gubitka može se utvrditi, pravna osoba iz stavka 1. ovoga članka kaznit će se za prekršaj iz stavka 1. ovoga članka novčanom kaznom u iznosu dvostruko utvrđenog iznosa tako ostvarene koristi odnosno tako spriječenog gubitka ako je taj iznos veći od propisanog najvećeg iznosa novčane kazne iz stavka 1. ovoga članka.</w:t>
      </w:r>
    </w:p>
    <w:p w14:paraId="272FD08C"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Za prekršaj iz stavka 1. ovoga članka kaznit će se i odgovorna osoba u pravnoj osobi iz stavka 1. ovoga članka novčanom kaznom u iznosu od 1320,00 do 26.540,00 eura.</w:t>
      </w:r>
    </w:p>
    <w:p w14:paraId="70604321"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Kada fizička osoba počini prekršaj iz stavka 1. ovoga članka, kaznit će se novčanom kaznom u iznosu u iznosu od 1320,00 do 26.540,00 eura.</w:t>
      </w:r>
    </w:p>
    <w:p w14:paraId="37FC32A3" w14:textId="77777777" w:rsidR="00C14945" w:rsidRPr="000479E9" w:rsidRDefault="00C14945"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(5) Iznimno od stavka 4. ovoga članka, ako je fizička osoba iz stavka 4. ovoga članka prekršajem ostvarila korist ili spriječila gubitak, a iznos tako ostvarene koristi ili spriječenog gubitka može se utvrditi, fizička osoba iz stavka 4. ovoga članka kaznit će se za prekršaj iz stavka 1. ovoga članka novčanom kaznom u iznosu dvostruko utvrđenog iznosa tako ostvarene koristi odnosno tako spriječenog gubitka ako je taj iznos veći od propisanog najvećeg iznosa novčane kazne iz stavka 4. ovoga članka.</w:t>
      </w:r>
    </w:p>
    <w:p w14:paraId="0756B792" w14:textId="77777777" w:rsidR="00C14945" w:rsidRPr="000479E9" w:rsidRDefault="00C14945" w:rsidP="00994F8A">
      <w:pPr>
        <w:spacing w:after="0" w:line="240" w:lineRule="auto"/>
        <w:jc w:val="both"/>
        <w:rPr>
          <w:rFonts w:ascii="Times New Roman" w:hAnsi="Times New Roman" w:cs="Times New Roman"/>
          <w:sz w:val="24"/>
          <w:szCs w:val="24"/>
        </w:rPr>
      </w:pPr>
    </w:p>
    <w:p w14:paraId="58487D6B" w14:textId="77777777" w:rsidR="00994F8A" w:rsidRPr="000479E9" w:rsidRDefault="00994F8A" w:rsidP="00994F8A">
      <w:pPr>
        <w:spacing w:after="0" w:line="240" w:lineRule="auto"/>
        <w:jc w:val="both"/>
        <w:rPr>
          <w:rFonts w:ascii="Times New Roman" w:hAnsi="Times New Roman" w:cs="Times New Roman"/>
          <w:sz w:val="24"/>
          <w:szCs w:val="24"/>
        </w:rPr>
      </w:pPr>
    </w:p>
    <w:p w14:paraId="0123B867" w14:textId="5E7C91FD" w:rsidR="00FC0A20" w:rsidRPr="000479E9" w:rsidRDefault="00FC0A20" w:rsidP="0065340E">
      <w:pPr>
        <w:shd w:val="clear" w:color="auto" w:fill="FFFFFF" w:themeFill="background1"/>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Članak 705.b </w:t>
      </w:r>
    </w:p>
    <w:p w14:paraId="6BF97AD2" w14:textId="77777777" w:rsidR="00B71A3D" w:rsidRPr="000479E9" w:rsidRDefault="00B71A3D" w:rsidP="0065340E">
      <w:pPr>
        <w:shd w:val="clear" w:color="auto" w:fill="FFFFFF" w:themeFill="background1"/>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5266095B"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Novčanom kaznom u iznosu od 6630,00 do 26.540,00 eura kaznit će se pravna osoba za prekršaj ako:</w:t>
      </w:r>
    </w:p>
    <w:p w14:paraId="2F81BBE8"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ne izradi informacijski dokument u skladu s člankom 409. stavkom 3. ovoga Zakona, a ispunjeni su uvjeti za izradu istog ili ga izradi, ali ne na hrvatskom jeziku</w:t>
      </w:r>
    </w:p>
    <w:p w14:paraId="1F127C0A"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ne učini dostupnim ulagateljima odnosno javnosti informacijski dokument na način i/ili u rokovima iz članka 409. stavaka 3. i 4. ovoga Zakona</w:t>
      </w:r>
    </w:p>
    <w:p w14:paraId="232D4D6C"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ne ažurira informacije sadržane u informacijskom dokumentu tijekom trajanja ponude u skladu s člankom 409. stavkom 4. ovoga Zakona</w:t>
      </w:r>
    </w:p>
    <w:p w14:paraId="1BFFEE25"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izradi informacijski dokument čiji sadržaj, oblik, objava ili ažuriranje nije u skladu s odredbama pravilnika iz članka 409. stavka 5. ovoga Zakona</w:t>
      </w:r>
    </w:p>
    <w:p w14:paraId="445FC6FA"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ne obavijesti Agenciju u skladu s člankom 427. stavkom 1. ovoga Zakona</w:t>
      </w:r>
    </w:p>
    <w:p w14:paraId="29612DE1"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ne obavijesti Agenciju u skladu s člankom 427. stavkom 2. ovoga Zakona</w:t>
      </w:r>
    </w:p>
    <w:p w14:paraId="1029C80A"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obavijest ne sadrži propisane podatke iz članka 427. stavka 3. ovoga Zakona</w:t>
      </w:r>
    </w:p>
    <w:p w14:paraId="2DEBDD0F"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dostavi Agenciji obavijest kojoj nisu priloženi dokumenti iz članka 427. stavka 4. ovoga Zakona</w:t>
      </w:r>
    </w:p>
    <w:p w14:paraId="4C8C4F7B"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na traženje Agencije ne dostavi dodatnu dokumentaciju sukladno članku 427. stavku 5. ovog Zakona</w:t>
      </w:r>
    </w:p>
    <w:p w14:paraId="3DD20304"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ne sudjeluje ili se ne pridržava pravila prilikom istrage, nadzora koji provodi Agencija ili zahtjeva Agencije sukladno odredbama dijela trećeg glave I. Poglavlja IV. ovoga Zakona.</w:t>
      </w:r>
    </w:p>
    <w:p w14:paraId="3CCA886B"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Iznimno od stavka 1. ovoga članka, ako je pravna osoba iz stavka 1. ovoga članka prekršajem iz stavka 1. ovoga članka ostvarila korist ili spriječila gubitak, a iznos tako ostvarene koristi ili spriječenog gubitka može se utvrditi, pravna osoba iz stavka 1. ovoga članka kaznit će se za prekršaj iz stavka 1. ovoga članka novčanom kaznom u iznosu dvostruko utvrđenog iznosa tako ostvarene koristi odnosno tako spriječenog gubitka ako je taj iznos veći od propisanog najvećeg iznosa novčane kazne iz stavka 1. ovoga članka.</w:t>
      </w:r>
    </w:p>
    <w:p w14:paraId="40E05427"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Za prekršaj iz stavka 1. ovoga članka kaznit će se i odgovorna osoba u pravnoj osobi iz stavka 1. ovoga članka novčanom kaznom u iznosu od 1320,00 do 26.540,00 eura.</w:t>
      </w:r>
    </w:p>
    <w:p w14:paraId="7909297E" w14:textId="77777777" w:rsidR="00FC0A20" w:rsidRPr="000479E9" w:rsidRDefault="00FC0A20" w:rsidP="0065340E">
      <w:pPr>
        <w:shd w:val="clear" w:color="auto" w:fill="FFFFFF" w:themeFill="background1"/>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(4) Kada fizička osoba počini prekršaj iz stavka 1. ovoga članka, kaznit će se novčanom kaznom u iznosu u iznosu od 1320,00 do 26.540,00 eura.</w:t>
      </w:r>
    </w:p>
    <w:p w14:paraId="6F89B1FE" w14:textId="4796C124"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Iznimno od stavka 4. ovoga članka, ako je fizička osoba iz stavka 4. ovoga članka prekršajem ostvarila korist ili spriječila gubitak, a iznos tako ostvarene koristi ili spriječenog gubitka može se utvrditi, fizička osoba iz stavka 4. ovoga članka kaznit će se za prekršaj iz stavka 1. ovoga članka novčanom kaznom u iznosu dvostruko utvrđenog iznosa tako ostvarene koristi odnosno tako spriječenog gubitka ako je taj iznos veći od propisanog najvećeg iznosa novčane kazne iz stavka 4. ovoga članka.</w:t>
      </w:r>
    </w:p>
    <w:p w14:paraId="7D7C4BA7" w14:textId="77777777" w:rsidR="00E574FC" w:rsidRPr="000479E9" w:rsidRDefault="00E574FC"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18B0F8E" w14:textId="77777777" w:rsidR="00E574FC" w:rsidRPr="000479E9" w:rsidRDefault="00E574FC"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POGLAVLJE IV.</w:t>
      </w:r>
      <w:r w:rsidRPr="000479E9">
        <w:rPr>
          <w:rFonts w:ascii="Times New Roman" w:eastAsia="Times New Roman" w:hAnsi="Times New Roman" w:cs="Times New Roman"/>
          <w:bCs/>
          <w:sz w:val="24"/>
          <w:szCs w:val="24"/>
          <w:lang w:eastAsia="hr-HR"/>
        </w:rPr>
        <w:br/>
        <w:t>PREKRŠAJI U VEZI S OBJAVLJIVANJEM INFORMACIJA O IZDAVATELJIMA ČIJI SU VRIJEDNOSNI PAPIRI UVRŠTENI NA UREĐENO TRŽIŠTE</w:t>
      </w:r>
    </w:p>
    <w:p w14:paraId="6EE088F5" w14:textId="77777777" w:rsidR="00E574FC" w:rsidRPr="000479E9" w:rsidRDefault="00E574FC" w:rsidP="00483C2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Teški prekršaji izdavatelja čiji su vrijednosni papiri uvršteni na uređeno tržište</w:t>
      </w:r>
    </w:p>
    <w:p w14:paraId="36F31F0F" w14:textId="77777777" w:rsidR="00E574FC" w:rsidRPr="000479E9" w:rsidRDefault="00E574FC"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Članak 706.</w:t>
      </w:r>
    </w:p>
    <w:p w14:paraId="45FB30C8" w14:textId="725A58F4"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Za prekršaj kaznit će se izdavatelj koji je pravni subjekt novčanom kaznom u iznosu koji je višekratnik broja 1.000, a koja ne može biti manja od 5 % ukupnog prihoda koji je izdavatelj ostvario u godini kada je počinjen prekršaj, utvrđenog na temelju godišnjih financijskih izvještaja izdavatelja za tu godinu, ako:</w:t>
      </w:r>
    </w:p>
    <w:p w14:paraId="508B3828"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protivno članku 462. stavku 1. ovoga Zakona, ne objavi javnosti uopće ili u propisanom roku godišnji izvještaj, a što je dovelo do ozbiljnog ugrožavanja financijskog tržišta</w:t>
      </w:r>
    </w:p>
    <w:p w14:paraId="07F625A9"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protivno članku 462. stavku 2. ovoga Zakona, ne sastavi godišnji izvještaj u propisanom sadržaju, a što je dovelo do ozbiljnog ugrožavanja financijskog tržišta</w:t>
      </w:r>
    </w:p>
    <w:p w14:paraId="090F70AE"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protivno članku 465. stavku 1. ovoga Zakona, ne objavi javnosti uopće ili u propisanom roku polugodišnji izvještaj, a što je dovelo do ozbiljnog ugrožavanja financijskog tržišta</w:t>
      </w:r>
    </w:p>
    <w:p w14:paraId="3062841A"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protivno članku 465. stavku 2. ovoga Zakona, ne sastavi polugodišnji izvještaj u propisanom sadržaju, a što je dovelo do ozbiljnog ugrožavanja financijskog tržišta</w:t>
      </w:r>
    </w:p>
    <w:p w14:paraId="4E729876"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protivno članku 469. stavku 1. ovoga Zakona, ne objavi javnosti uopće ili u propisanom roku izvještaj o plaćanjima javnom sektoru, a što je dovelo do ozbiljnog ugrožavanja financijskog tržišta</w:t>
      </w:r>
    </w:p>
    <w:p w14:paraId="1D4FB77E"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protivno članku 469. stavcima 2. ili 3. ovoga Zakona, ne sastavi izvještaj o plaćanjima javnom sektoru u propisanom sadržaju, a što je dovelo do ozbiljnog ugrožavanja financijskog tržišta</w:t>
      </w:r>
    </w:p>
    <w:p w14:paraId="163F2156"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protivno članku 474. stavku 1. ovoga Zakona, ne objavi javnosti uopće ili u propisanom roku broj vlastitih dionica (u apsolutnom i relativnom iznosu) koje drži nakon svakog stjecanja ili otpuštanja vlastitih dionica, a što je dovelo do ozbiljnog ugrožavanja financijskog tržišta</w:t>
      </w:r>
    </w:p>
    <w:p w14:paraId="0EEE9B70"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protivno članku 475. stavku 1. ovoga Zakona, ne objavi javnosti uopće ili u propisanom roku svaku promjenu u pravima iz izdanih dionica, a što je dovelo do ozbiljnog ugrožavanja financijskog tržišta</w:t>
      </w:r>
    </w:p>
    <w:p w14:paraId="72CDDE31"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9. protivno članku 475. stavku 2. ovoga Zakona, ne objavi javnosti uopće ili u propisanom roku svaku promjenu u pravima iz izdanih vrijednosnih papira koji nisu dionice, a što je dovelo do ozbiljnog ugrožavanja financijskog tržišta.</w:t>
      </w:r>
    </w:p>
    <w:p w14:paraId="5ED1FB14"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Iznimno od stavka 1. ovoga članka, ako je iznos novčane kazne utvrđene na temelju stavka 1. ovoga članka manji od 66.360,00 eura, izdavatelj iz stavka 1. ovoga članka kaznit će se za prekršaj iz stavka 1. ovoga članka novčanom kaznom u iznosu od 66.360,00 do 132.720,00 eura.</w:t>
      </w:r>
    </w:p>
    <w:p w14:paraId="389A2314"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Iznimno od stavaka 1. i 2. ovoga članka, ako je izdavatelj iz stavka 1. ovoga članka prekršajem iz stavka 1. ovoga članka ostvario korist ili spriječio gubitak, a iznos tako ostvarene koristi ili spriječenog gubitka može se utvrditi, izdavatelj iz stavka 1. ovoga članka kaznit će se za prekršaj iz stavka 1. ovoga članka novčanom kaznom u iznosu dvostruko utvrđenog iznosa tako ostvarene koristi odnosno tako spriječenog gubitka, ako je taj iznos veći od propisanog najvećeg iznosa novčane kazne iz stavaka 1. i 2. ovoga članka.</w:t>
      </w:r>
    </w:p>
    <w:p w14:paraId="0C4096ED"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Za prekršaj iz stavka 1. ovoga članka kaznit će se i odgovorna osoba izdavatelja iz stavka 1. ovoga članka novčanom kaznom u iznosu od 66.360,00 do 663.610,00 eura.</w:t>
      </w:r>
    </w:p>
    <w:p w14:paraId="24EAC1B7"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Za prekršaj iz stavka 1. točke 9. ovoga članka kaznit će se izdavatelj koji je fizička osoba novčanom kaznom u iznosu od 132.720,00 do 2.000.000,00 eura.</w:t>
      </w:r>
    </w:p>
    <w:p w14:paraId="5D16451F"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Iznimno od stavka 5. ovoga članka, ako je izdavatelj iz stavka 5. ovoga članka prekršajem iz stavka 1. točke 9. ovoga članka ostvario korist ili spriječio gubitak, a iznos tako ostvarene koristi ili spriječenog gubitka može se utvrditi, izdavatelj iz stavka 5. ovoga članka kaznit će se za prekršaj iz stavka 1. točke 9. ovoga članka novčanom kaznom u iznosu dvostruko utvrđenog iznosa tako ostvarene koristi odnosno tako spriječenog gubitka, ako je taj iznos veći od propisanog najvećeg iznosa novčane kazne iz stavka 5. ovoga članka.</w:t>
      </w:r>
    </w:p>
    <w:p w14:paraId="3A66A694"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Za prekršaj iz stavka 1. ovoga članka kaznit će se pravni subjekt koji je tražio uvrštenje vrijednosnih papira izdavatelja na uređeno tržište bez njegove suglasnosti novčanom kaznom u iznosu utvrđenom na temelju stavaka 1., 2. ili 3. ovoga članka, ovisno o tome koji način utvrđivanja novčanog iznosa treba primijeniti, ako su vrijednosni papiri izdavatelja uvršteni na uređeno tržište bez njegove suglasnosti.</w:t>
      </w:r>
    </w:p>
    <w:p w14:paraId="0F116053"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Za prekršaj iz stavka 1. ovoga članka kaznit će se i odgovorna osoba pravnog subjekta iz stavka 7. ovoga članka koji je tražio uvrštenje vrijednosnih papira izdavatelja na uređeno tržište bez njegove suglasnosti novčanom kaznom u iznosu od 66.360,00 do 663.610,00 eura.</w:t>
      </w:r>
    </w:p>
    <w:p w14:paraId="28A8FA7D"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Za prekršaj iz stavka 1. ovoga članka kaznit će se fizička osoba koja je tražila uvrštenje vrijednosnih papira izdavatelja na uređeno tržište bez njegove suglasnosti novčanom kaznom u iznosu iz stavka 5. ovoga članka, ako su vrijednosni papiri izdavatelja uvršteni na uređeno tržište bez njegove suglasnosti.</w:t>
      </w:r>
    </w:p>
    <w:p w14:paraId="759E58EF"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(10) Iznimno od stavka 9. ovoga članka, ako je fizička osoba iz stavka 9. ovoga članka prekršajem iz stavka 1. ovoga članka ostvarila korist ili spriječila gubitak, a iznos tako ostvarene koristi ili spriječenog gubitka može se utvrditi, fizička osoba iz stavka 9. ovoga članka kaznit će se za prekršaj iz stavka 1. ovoga članka novčanom kaznom </w:t>
      </w:r>
      <w:r w:rsidRPr="000479E9">
        <w:rPr>
          <w:rFonts w:ascii="Times New Roman" w:eastAsia="Times New Roman" w:hAnsi="Times New Roman" w:cs="Times New Roman"/>
          <w:sz w:val="24"/>
          <w:szCs w:val="24"/>
          <w:lang w:eastAsia="hr-HR"/>
        </w:rPr>
        <w:lastRenderedPageBreak/>
        <w:t>u iznosu dvostruko utvrđenog iznosa tako ostvarene koristi odnosno tako spriječenog gubitka, ako je taj iznos veći od propisanog najvećeg iznosa novčane kazne iz stavka 5. ovoga članka.</w:t>
      </w:r>
    </w:p>
    <w:p w14:paraId="56C6CC9F" w14:textId="77777777" w:rsidR="00E574FC" w:rsidRPr="000479E9" w:rsidRDefault="00E574FC" w:rsidP="00E574FC">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Ako je pravni subjekt matično društvo ili društvo kći matičnog društva koje je obvezno sastavljati konsolidirane financijske izvještaje u skladu s propisima Republike Hrvatske koji uređuju računovodstvo poduzetnika i primjenu standarda financijskog izvještavanja odnosno propisima države članice u kojima izdavatelj ima sjedište kojima se u njezin pravni poredak prenose odredbe Direktive 2013/34/EU, ukupan prihod iz stavka 1. ovoga članka je ukupan prihod utvrđen na temelju godišnjih konsolidiranih financijskih izvještaja krajnjeg matičnog društva pravnog subjekta za godinu kada je počinjen prekršaj.</w:t>
      </w:r>
    </w:p>
    <w:p w14:paraId="107E5AC8" w14:textId="4B1BA5F2"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41FCF99B" w14:textId="77777777" w:rsidR="003D3F95" w:rsidRPr="000479E9" w:rsidRDefault="003D3F95" w:rsidP="00483C20">
      <w:pPr>
        <w:spacing w:beforeLines="30" w:before="72" w:afterLines="30" w:after="72" w:line="240" w:lineRule="auto"/>
        <w:jc w:val="center"/>
        <w:textAlignment w:val="baseline"/>
        <w:rPr>
          <w:rFonts w:ascii="Times New Roman" w:eastAsia="Times New Roman" w:hAnsi="Times New Roman" w:cs="Times New Roman"/>
          <w:bCs/>
          <w:i/>
          <w:iCs/>
          <w:sz w:val="24"/>
          <w:szCs w:val="24"/>
          <w:lang w:eastAsia="hr-HR"/>
        </w:rPr>
      </w:pPr>
      <w:r w:rsidRPr="000479E9">
        <w:rPr>
          <w:rFonts w:ascii="Times New Roman" w:eastAsia="Times New Roman" w:hAnsi="Times New Roman" w:cs="Times New Roman"/>
          <w:bCs/>
          <w:i/>
          <w:iCs/>
          <w:sz w:val="24"/>
          <w:szCs w:val="24"/>
          <w:lang w:eastAsia="hr-HR"/>
        </w:rPr>
        <w:t>Teški prekršaji ostalih osoba</w:t>
      </w:r>
    </w:p>
    <w:p w14:paraId="21007405" w14:textId="77E1860D" w:rsidR="003D3F95" w:rsidRPr="000479E9" w:rsidRDefault="003D3F95"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Članak 707.</w:t>
      </w:r>
    </w:p>
    <w:p w14:paraId="21E09C95" w14:textId="77777777" w:rsidR="003D3F95" w:rsidRPr="000479E9" w:rsidRDefault="003D3F95"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p>
    <w:p w14:paraId="4831A166" w14:textId="418BE2FC"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Za prekršaj kaznit će se pravni subjekt novčanom kaznom u iznosu koji je višekratnik broja 1.000, a koja ne može biti manja od 5 % ukupnog prihoda koji je pravni subjekt ostvario u godini kada je počinjen prekršaj, utvrđenog na temelju godišnjih financijskih izvještaja pravnog subjekta za tu godinu, ako:</w:t>
      </w:r>
    </w:p>
    <w:p w14:paraId="3309AB49"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protivno članku 482. ovoga Zakona, ne izvrši svoju obvezu u pogledu obavještavanja o promjenama u glasačkim pravima na način propisan člancima 482. do 485. ovoga Zakona, a što je dovelo do ozbiljnog ugrožavanja financijskog tržišta</w:t>
      </w:r>
    </w:p>
    <w:p w14:paraId="14FCD235"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protivno članku 486. ovoga Zakona, ne dostavi izdavatelju i/ili Agenciji obavijest iz članka 482. stavka 1. ovoga Zakona u propisanom sadržaju i/ili s propisanim privicima, ako je primjenjivo, a što je dovelo do ozbiljnog ugrožavanja financijskog tržišta</w:t>
      </w:r>
    </w:p>
    <w:p w14:paraId="4219080E"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protivno članku 487. ovoga Zakona, ne dostavi uopće ili u propisanom roku ili ne dostavi istodobno izdavatelju i/ili Agenciji obavijest iz članka 482. stavka 1. ovoga Zakona o dosezanju, prelasku ili padu ispod propisanih pragova, a što je dovelo do ozbiljnog ugrožavanja financijskog tržišta.</w:t>
      </w:r>
    </w:p>
    <w:p w14:paraId="5556E1E4"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Iznimno od stavka 1. ovoga članka, ako je iznos novčane kazne utvrđene na temelju stavka 1. ovoga članka manji od 66.360,00 eura, pravni subjekt iz stavka 1. ovoga članka kaznit će se za prekršaj iz stavka 1. ovoga članka novčanom kaznom u iznosu od 66.360,00 do 132.720,00 eura.</w:t>
      </w:r>
    </w:p>
    <w:p w14:paraId="0124DBBF"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Iznimno od stavaka 1. i 2. ovoga članka, ako je pravni subjekt iz stavka 1. ovoga članka prekršajem iz stavka 1. ovoga članka ostvario korist ili spriječio gubitak, a iznos tako ostvarene koristi ili spriječenog gubitka može se utvrditi, pravni subjekt iz stavka 1. ovoga članka kaznit će se za prekršaj iz stavka 1. ovoga članka novčanom kaznom u iznosu dvostruko utvrđenog iznosa tako ostvarene koristi odnosno tako spriječenog gubitka, ako je taj iznos veći od propisanog najvećeg iznosa iz stavaka 1. i 2. ovoga članka.</w:t>
      </w:r>
    </w:p>
    <w:p w14:paraId="7E0EE1C9"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(4) Za prekršaj iz stavka 1. ovoga članka kaznit će se i odgovorna osoba pravnog subjekta iz stavka 1. ovoga članka novčanom kaznom u iznosu od 66.360,00 do 663.610,00 eura.</w:t>
      </w:r>
    </w:p>
    <w:p w14:paraId="1BF8CD17"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Za prekršaj iz stavka 1. ovoga članka kaznit će fizička osoba novčanom kaznom u iznosu od 132.720,00 do 2.000.000,00 eura.</w:t>
      </w:r>
    </w:p>
    <w:p w14:paraId="32E0AE1E"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Iznimno od stavka 5. ovoga članka, ako je fizička osoba iz stavka 5. ovoga članka prekršajem iz stavka 1. ovoga članka ostvarila korist ili spriječila gubitak, a iznos tako ostvarene koristi ili spriječenog gubitka može se utvrditi, fizička osoba iz stavka 5. ovoga članka kaznit će se za prekršaj iz stavka 1. ovoga članka novčanom kaznom u iznosu dvostruko utvrđenog iznosa tako ostvarene koristi odnosno tako spriječenog gubitka, ako je taj iznos veći od propisanog najvećeg iznosa novčane kazne iz stavka 5. ovoga članka.</w:t>
      </w:r>
    </w:p>
    <w:p w14:paraId="708488AA" w14:textId="77777777" w:rsidR="003D3F95" w:rsidRPr="000479E9" w:rsidRDefault="003D3F95" w:rsidP="003D3F95">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Ako je pravni subjekt matično društvo ili društvo kći matičnog društva koje je obvezno sastavljati konsolidirane financijske izvještaje u skladu s propisima Republike Hrvatske koji uređuju računovodstvo poduzetnika i primjenu standarda financijskog izvještavanja odnosno propisima države članice u kojima izdavatelj ima sjedište kojima se u njezin pravni poredak prenose odredbe Direktive 2013/34/EU, ukupan prihod iz stavka 1. ovoga članka je ukupan prihod utvrđen na temelju godišnjih konsolidiranih financijskih izvještaja krajnjeg matičnog društva pravnog subjekta za godinu kada je počinjen prekršaj.</w:t>
      </w:r>
    </w:p>
    <w:p w14:paraId="7EBA048F" w14:textId="77777777" w:rsidR="003D3F95" w:rsidRPr="000479E9" w:rsidRDefault="003D3F95"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510184BB" w14:textId="77777777" w:rsidR="00FC0A20" w:rsidRPr="000479E9" w:rsidRDefault="00FC0A20" w:rsidP="00FC0A20">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Teži prekršaji izdavatelja čiji su vrijednosni papiri uvršteni na uređeno tržište</w:t>
      </w:r>
    </w:p>
    <w:p w14:paraId="424DE5AE" w14:textId="195F4E0B" w:rsidR="00FC0A20" w:rsidRPr="000479E9" w:rsidRDefault="00FC0A20" w:rsidP="00FC0A20">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708.</w:t>
      </w:r>
    </w:p>
    <w:p w14:paraId="7841C5B9" w14:textId="77777777" w:rsidR="00B71A3D" w:rsidRPr="000479E9" w:rsidRDefault="00B71A3D" w:rsidP="00FC0A20">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417125B1"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Za prekršaj kaznit će se izdavatelj koji je pravni subjekt novčanom kaznom u iznosu od 33.180,00 do 66.360,00 eura ako:</w:t>
      </w:r>
    </w:p>
    <w:p w14:paraId="2CBFDD34"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protivno članku 338. ovoga Zakona, prilikom nove javne ponude dionica koje su istoga roda kao i dionice već uvrštene na službeno tržište, u propisanom roku ne podnese zahtjev za njihovo uvrštenje na službeno tržište</w:t>
      </w:r>
    </w:p>
    <w:p w14:paraId="5795EEED"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protivno članku 460. stavku 4. ovoga Zakona, ne objavi javnosti uopće ili u propisanom roku i/ili na propisan način informaciju o svojoj matičnoj državi članici i/ili ne obavijesti uopće ili u propisanom roku nadležna tijela država članica o svojoj matičnoj državi članici</w:t>
      </w:r>
    </w:p>
    <w:p w14:paraId="2DFBEE8A"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protivno članku 462. stavku 1. ovoga Zakona, ne objavi javnosti uopće ili u propisanom roku godišnji izvještaj</w:t>
      </w:r>
    </w:p>
    <w:p w14:paraId="34FAE1F3"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protivno članku 462. stavku 2. ovoga Zakona, ne sastavi godišnji izvještaj u propisanom sadržaju</w:t>
      </w:r>
    </w:p>
    <w:p w14:paraId="17BAFB80"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protivno članku 462. stavcima 1. i 3. ovoga Zakona, ne objavi javnosti uopće ili u propisanom roku revizorski izvještaj te, ako je izdavatelj obveznik izvještavanja o održivosti, i izvještaj o provjeri izvještaja o održivosti</w:t>
      </w:r>
    </w:p>
    <w:p w14:paraId="7B4F1744"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6. protivno članku 462. stavku 5. ovoga Zakona, ne izrađuje godišnji izvještaj u skladu s Delegiranom uredbom (EU) 2018/815 kojom se određuje jedinstveni elektronički format za izvještavanje, počevši od poslovne godine koja počinje 1. siječnja 2021. ili nakon tog datuma</w:t>
      </w:r>
    </w:p>
    <w:p w14:paraId="243C8DA1"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protivno članku 463. stavku 1. ovoga Zakona, ne sastavi godišnji izvještaj na propisani način, za izdavatelja sa sjedištem u Republici Hrvatskoj</w:t>
      </w:r>
    </w:p>
    <w:p w14:paraId="42123221"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protivno članku 463. stavku 2. ovoga Zakona, ne objavi javnosti uopće ili u propisanom roku zajedno s godišnjim izvještajem u cijelosti i odluku nadležnog organa izdavatelja o utvrđenju godišnjih financijskih izvještaja te prijedlog odluke o upotrebi dobiti ili pokriću gubitka, ako iste nisu sastavni dio godišnjeg izvještaja</w:t>
      </w:r>
    </w:p>
    <w:p w14:paraId="4F19F142"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protivno članku 463. stavku 3. ovoga Zakona, ne objavi javnosti uopće ili u propisanom roku godišnje financijske izvještaje uz naznaku da na njih nije dana suglasnost nadležnog organa izdavatelja, ako iste nije utvrdio nadležni organ izdavatelja</w:t>
      </w:r>
    </w:p>
    <w:p w14:paraId="31493F94"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protivno članku 463. stavku 3. ovoga Zakona, ne objavi javnosti uopće ili u propisanom roku ili na propisan način utvrđene godišnje financijske izvještaje i/ili odluku nadležnog organa izdavatelja o utvrđenju godišnjih financijskih izvještaja</w:t>
      </w:r>
    </w:p>
    <w:p w14:paraId="6218D8FF"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protivno članku 464. ovoga Zakona, ne sastavi godišnji izvještaj na propisani način, za izdavatelja sa sjedištem izvan Republike Hrvatske</w:t>
      </w:r>
    </w:p>
    <w:p w14:paraId="6E498C5F"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protivno članku 465. stavku 1. ovoga Zakona, ne objavi javnosti uopće ili u propisanom roku polugodišnji izvještaj</w:t>
      </w:r>
    </w:p>
    <w:p w14:paraId="169AFB45"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protivno članku 465. stavku 2. ovoga Zakona, ne sastavi polugodišnji izvještaj u propisanom sadržaju</w:t>
      </w:r>
    </w:p>
    <w:p w14:paraId="52A64920"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protivno članku 465. stavku 3. ovoga Zakona, ne objavi javnosti uopće ili u propisanom roku revizorski izvještaj ili izvješće o revizijskom uvidu, ako su polugodišnji financijski izvještaji revidirani ili je obavljen revizijski uvid</w:t>
      </w:r>
    </w:p>
    <w:p w14:paraId="50504044"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15. protivno članku 465. stavku 3. ovoga Zakona, ne da izjavu u polugodišnjem izvještaju da polugodišnji financijski izvještaji nisu revidirani ili da nije obavljen revizijski uvid, ako polugodišnji financijski izvještaji nisu revidirani ili nije obavljen revizijski uvid</w:t>
      </w:r>
    </w:p>
    <w:p w14:paraId="31BE6345"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16. protivno članku 466. ovoga Zakona, ne sastavi polugodišnji izvještaj na propisani način, za izdavatelja sa sjedištem u Republici Hrvatskoj</w:t>
      </w:r>
    </w:p>
    <w:p w14:paraId="6FF31D7D"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17. protivno članku 467. ovoga Zakona, ne sastavi polugodišnji izvještaj na propisani način, za izdavatelja sa sjedištem izvan Republike Hrvatske</w:t>
      </w:r>
    </w:p>
    <w:p w14:paraId="5CBF32EE"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18. protivno članku 468. stavku 1. ovoga Zakona, ne objavi javnosti uopće ili u propisanom roku tromjesečni izvještaj, za izdavatelja koji ima sjedište u Republici Hrvatskoj</w:t>
      </w:r>
    </w:p>
    <w:p w14:paraId="2E11AB4E"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19. protivno članku 468. stavku 2. ovoga Zakona, ne sastavi tromjesečni izvještaj u propisanom sadržaju, za izdavatelja sa sjedištem u Republici Hrvatskoj</w:t>
      </w:r>
    </w:p>
    <w:p w14:paraId="76E596D1"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20. protivno članku 468. stavku 3. ovoga Zakona, ne sastavi tromjesečni izvještaj na propisan način, za izdavatelja sa sjedištem u Republici Hrvatskoj</w:t>
      </w:r>
    </w:p>
    <w:p w14:paraId="60D7B4B4"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21. protivno članku 468. stavku 4. ovoga Zakona, kao izdavatelj sa sjedištem izvan Republike Hrvatske, ne objavi javnosti opće ili u propisanom roku i/ili ne sastavi u </w:t>
      </w:r>
      <w:r w:rsidRPr="000479E9">
        <w:rPr>
          <w:rFonts w:ascii="Times New Roman" w:eastAsia="Times New Roman" w:hAnsi="Times New Roman" w:cs="Times New Roman"/>
          <w:sz w:val="24"/>
          <w:szCs w:val="24"/>
          <w:lang w:eastAsia="hr-HR"/>
        </w:rPr>
        <w:lastRenderedPageBreak/>
        <w:t>propisanom sadržaju tromjesečni izvještaj ili izjavu rukovodstva, kada je nacionalnim propisom države u kojoj izdavatelj ima sjedište propisana obveza sastavljanja i objave tromjesečnih izvještaja ili izjave poslovodstva</w:t>
      </w:r>
    </w:p>
    <w:p w14:paraId="4E3C4311"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22. protivno članku 469. stavku 1. ovoga Zakona, ne objavi javnosti uopće ili u propisanom roku izvještaj o plaćanjima javnom sektoru</w:t>
      </w:r>
    </w:p>
    <w:p w14:paraId="78E5CFAB"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23. protivno članku 469. stavcima 2. ili 3. ovoga Zakona, ne sastavi izvještaj o plaćanjima javnom sektoru u propisanom sadržaju</w:t>
      </w:r>
    </w:p>
    <w:p w14:paraId="235CD3ED"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24. protivno članku 472. ovoga Zakona, ne objavi javnosti uopće ili u propisanom roku sve podatke sadržane u zaprimljenoj obavijesti iz članka 482. stavka 1. ovoga Zakona</w:t>
      </w:r>
    </w:p>
    <w:p w14:paraId="3B3AE7DD"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25. protivno članku 473. ovoga Zakona, ne objavi javnosti uopće ili u propisanom roku informaciju o promjenama broja dionica s pravom glasa na koje je podijeljen temeljni kapital izdavatelja ili promjene broja glasačkih prava iz tih dionica odnosno o novom ukupnom broju dionica s pravom glasa</w:t>
      </w:r>
    </w:p>
    <w:p w14:paraId="5DDDEF09"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26. protivno članku 474. stavku 1. ovoga Zakona, ne objavi javnosti uopće ili u propisanom roku broj vlastitih dionica (u apsolutnom i relativnom iznosu) koje drži nakon svakog stjecanja ili otpuštanja vlastitih dionica</w:t>
      </w:r>
    </w:p>
    <w:p w14:paraId="26281FBC"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27. protivno članku 475. stavku 1. ovoga Zakona, ne objavi javnosti uopće ili u propisanom roku svaku promjenu u pravima iz izdanih dionica, uključujući i promjene u pravima iz izvedenih vrijednosnih papira koje je izdao izdavatelj i koje daju pristup dionicama tog izdavatelja</w:t>
      </w:r>
    </w:p>
    <w:p w14:paraId="6C56459D"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28. protivno članku 475. stavku 2. ovoga Zakona, ne objavi javnosti uopće ili u propisanom roku svaku promjenu u pravima iz izdanih vrijednosnih papira koji nisu dionice, uključujući i promjene uvjeta tih vrijednosnih papira koji mogu posredno utjecati na odnosna prava, i koji su nastali posebice zbog promjene uvjeta zaduženja ili kamatnih stopa</w:t>
      </w:r>
    </w:p>
    <w:p w14:paraId="44B97B77"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29. protivno članku 494. ovoga Zakona, ne objavi javnosti propisane informacije na propisanom jeziku</w:t>
      </w:r>
    </w:p>
    <w:p w14:paraId="1AC25F92"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30. protivno članku 496. stavku 1. ovoga Zakona, ne objavljuje javnosti propisane informacije na način koji javnosti osigurava brz pristup do propisanih informacija na ravnopravnoj osnovi</w:t>
      </w:r>
    </w:p>
    <w:p w14:paraId="2DD927A0"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31. protivno članku 496. stavku 2. ovoga Zakona, za distribuiranje propisanih informacija javnosti ne koristi medije na koje se opravdano može osloniti da će propisane informacije, koliko god je to moguće, istodobno učinkovito distribuirati najširoj javnosti u Republici Hrvatskoj i u drugim državama članicama</w:t>
      </w:r>
    </w:p>
    <w:p w14:paraId="7ED1F8D1"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32. protivno članku 496. stavku 3. ovoga Zakona, ne dostavi propisane informacije medijima u cijelom njihovu propisanom sadržaju</w:t>
      </w:r>
    </w:p>
    <w:p w14:paraId="58436602"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33. protivno članku 496. stavku 4. ovoga Zakona, kod dostave propisanih informacija medijima, jasno ne naznači da se radi o propisanoj informaciji, te jasno ne naznači na kojeg izdavatelja se odnosi propisana informacija, predmet propisane informacije te datum i vrijeme dostavljanja propisane informacije medijima</w:t>
      </w:r>
    </w:p>
    <w:p w14:paraId="2CAD2CC6"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34. protivno članku 496. stavku 5. ovoga Zakona, ne osigura dostavu propisanih informacija medijima na propisan način</w:t>
      </w:r>
    </w:p>
    <w:p w14:paraId="0A9B7DCD"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35. protivno članku 496. stavku 7. ovoga Zakona, na zahtjev Agencije ne dostavi uopće ili ne dostavi u propisanome roku zahtijevane podatke</w:t>
      </w:r>
    </w:p>
    <w:p w14:paraId="0A35DB19"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36. protivno članku 497. stavku 1. ovoga Zakona, propisane informacije ne dostavi Agenciji i/ili u službeni registar propisanih informacija uopće ili istodobno kada ih objavljuje javnosti i/ili ih ne dostavi u cijelom njihovu propisanom sadržaju</w:t>
      </w:r>
    </w:p>
    <w:p w14:paraId="4F22F558"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37. protivno članku 500. ovoga Zakona, ne objavi javnosti uopće ili ne objavi javnosti u skladu s člancima 494. do 497. ovoga Zakona sve informacije koje objavljuje javnosti prema propisima treće zemlje svoga sjedišta, a koje mogu biti od važnosti za javnost u državama članicama, čak i ako se iste ne smatraju propisanim informacijama u smislu članka 455. točke9. ovoga Zakona</w:t>
      </w:r>
    </w:p>
    <w:p w14:paraId="0B2B11B4"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38. ne postupi u skladu sa zahtjevom Agencije, postavljenim u skladu s člankom 502. ovoga Zakona, uopće ili na način i/ili u roku koji odredi Agencija</w:t>
      </w:r>
    </w:p>
    <w:p w14:paraId="0E52ECFA"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39. ne postupi u skladu s rješenjem Agencije, izrečenim u skladu s člankom 503. ovoga Zakona, uopće ili na način i/ili u roku koji odredi Agencija</w:t>
      </w:r>
    </w:p>
    <w:p w14:paraId="1E59EA58"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40. ne postupi u skladu sa zahtjevom ili rješenjem Agencije, postavljenim odnosno izrečenim u skladu s člancima 502. i/ili 503. i/ili 507. ovoga Zakona.</w:t>
      </w:r>
    </w:p>
    <w:p w14:paraId="7A7FFC4B"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Za prekršaj iz stavka 1. ovoga članka kaznit će se i odgovorna osoba izdavatelja iz stavka 1. ovoga članka novčanom kaznom u iznosu od 6630,00 do 9950,00 eura.</w:t>
      </w:r>
    </w:p>
    <w:p w14:paraId="1AFED0A5"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Za prekršaj iz stavka 1. točaka 2. i 28. do 40. ovoga članka kaznit će se izdavatelj koji je fizička osoba novčanom kaznom u iznosu od 6630,00 do 13.270,00 eura.</w:t>
      </w:r>
    </w:p>
    <w:p w14:paraId="3C97061C"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Za prekršaj iz stavka 1. ovoga članka kaznit će se pravni subjekt koji je tražio uvrštenje vrijednosnih papira izdavatelja na uređeno tržište bez njegove suglasnosti novčanom kaznom u iznosu od 33.180,00 do 66.360,00 eura, ako su vrijednosni papiri izdavatelja uvršteni na uređeno tržište bez suglasnosti izdavatelja.</w:t>
      </w:r>
    </w:p>
    <w:p w14:paraId="08D2348B" w14:textId="77777777"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Za prekršaj iz stavka 1. ovoga članka kaznit će se i odgovorna osoba pravnog subjekta iz stavka 4. ovoga članka koji je tražio uvrštenje vrijednosnih papira izdavatelja na uređeno tržište bez njegove suglasnosti novčanom kaznom u iznosu od 6630,00 do 9950,00 eura.</w:t>
      </w:r>
    </w:p>
    <w:p w14:paraId="03368035" w14:textId="012E8CF1" w:rsidR="00FC0A20" w:rsidRPr="000479E9" w:rsidRDefault="00FC0A2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Za prekršaj iz stavka 1. točaka 2. i 28. do 40. ovoga članka kaznit će se fizička osoba koja je tražila uvrštenje vrijednosnih papira izdavatelja na uređeno tržište bez suglasnosti izdavatelja novčanom kaznom u iznosu od 6630,00 do 13.270,00 eura, ako su vrijednosni papiri izdavatelja uvršteni na uređeno tržište bez njegove suglasnosti.</w:t>
      </w:r>
    </w:p>
    <w:p w14:paraId="71E19832" w14:textId="77777777" w:rsidR="00900C40" w:rsidRPr="000479E9" w:rsidRDefault="00900C40"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86D54C4" w14:textId="77777777" w:rsidR="00B96732" w:rsidRPr="000479E9" w:rsidRDefault="00B96732" w:rsidP="00B96732">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Lakši prekršaji ostalih osoba</w:t>
      </w:r>
    </w:p>
    <w:p w14:paraId="05599F73" w14:textId="77777777" w:rsidR="00B96732" w:rsidRPr="000479E9" w:rsidRDefault="00B96732" w:rsidP="00B96732">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711.</w:t>
      </w:r>
    </w:p>
    <w:p w14:paraId="5A46B3C0" w14:textId="77777777" w:rsidR="00B96732" w:rsidRPr="000479E9" w:rsidRDefault="00B96732" w:rsidP="00B96732">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Za prekršaj kaznit će se matično društvo društva za upravljanje ili investicijskog društva novčanom kaznom u iznosu od 13.270,00 do 33.180,00 eura, ako, protivno članku 490. stavku 5. ovoga Zakona, ne dokaže Agenciji ispunjavanje propisanih uvjeta.</w:t>
      </w:r>
    </w:p>
    <w:p w14:paraId="656AB6B2" w14:textId="77777777" w:rsidR="00B96732" w:rsidRPr="000479E9" w:rsidRDefault="00B96732" w:rsidP="00B96732">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(2) Za prekršaj kaznit će se održavatelj tržišta novčanom kaznom u iznosu od 13.270,00 do 33.180,00 eura ako:</w:t>
      </w:r>
    </w:p>
    <w:p w14:paraId="49EFC4B9" w14:textId="77777777" w:rsidR="00B96732" w:rsidRPr="000479E9" w:rsidRDefault="00B96732" w:rsidP="00B96732">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protivno članku 492. stavku 2. ovoga Zakona, ne obavijesti Agenciju uopće ili u propisanom roku da djeluje ili namjerava djelovati kao održavatelj tržišta u odnosu na određenog izdavatelja</w:t>
      </w:r>
    </w:p>
    <w:p w14:paraId="0E5AC2EE" w14:textId="77777777" w:rsidR="00B96732" w:rsidRPr="000479E9" w:rsidRDefault="00B96732" w:rsidP="00B96732">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protivno članku 492. stavku 3. ovoga Zakona, ne obavijesti Agenciju uopće ili u propisanom roku o prestanku djelovanja kao održavatelj tržišta</w:t>
      </w:r>
    </w:p>
    <w:p w14:paraId="4AF4D025" w14:textId="77777777" w:rsidR="00B96732" w:rsidRPr="000479E9" w:rsidRDefault="00B96732" w:rsidP="00B96732">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protivno članku 492. stavku 4. ovoga Zakona, ne dostavi na zahtjev Agencije dokaz o dionicama i/ili financijskim instrumentima iz članka 484. stavka 1. ovoga Zakona koje drži ili namjerava držati u svrhu djelovanja kao održavatelj tržišta</w:t>
      </w:r>
    </w:p>
    <w:p w14:paraId="2CE1F150" w14:textId="77777777" w:rsidR="00B96732" w:rsidRPr="000479E9" w:rsidRDefault="00B96732" w:rsidP="00B96732">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protivno članku 492. stavku 4. ovoga Zakona, ne drži na zahtjev Agencije dionice i/ili financijske instrumente na posebnom računu u svrhu potrebne identifikacije.</w:t>
      </w:r>
    </w:p>
    <w:p w14:paraId="72F343AE" w14:textId="77777777" w:rsidR="00B96732" w:rsidRPr="000479E9" w:rsidRDefault="00B96732" w:rsidP="00B96732">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Za prekršaj iz stavaka 1. i 2. ovoga članka kaznit će se i odgovorna osoba pravnog subjekta iz stavaka 1. i 2. ovoga članka novčanom kaznom u iznosu od 1320,00 do 6630,00 eura.</w:t>
      </w:r>
    </w:p>
    <w:p w14:paraId="680AFFF4" w14:textId="77777777" w:rsidR="000C6803" w:rsidRPr="000479E9" w:rsidRDefault="000C6803" w:rsidP="00FC0A20">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45C062E6" w14:textId="77777777" w:rsidR="00900C40" w:rsidRPr="000479E9" w:rsidRDefault="00900C40" w:rsidP="00900C4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POGLAVLJE V.</w:t>
      </w:r>
    </w:p>
    <w:p w14:paraId="009EFCC8" w14:textId="77777777" w:rsidR="00900C40" w:rsidRPr="000479E9" w:rsidRDefault="00900C40" w:rsidP="00900C4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Teži prekršaji u svezi sa zlouporabom tržišta</w:t>
      </w:r>
    </w:p>
    <w:p w14:paraId="6E54355B" w14:textId="54EEA50E" w:rsidR="00900C40" w:rsidRPr="000479E9" w:rsidRDefault="00900C40" w:rsidP="00900C4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Članak 712.</w:t>
      </w:r>
    </w:p>
    <w:p w14:paraId="623EFC6D" w14:textId="77777777" w:rsidR="00900C40" w:rsidRPr="000479E9" w:rsidRDefault="00900C40" w:rsidP="00900C4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p>
    <w:p w14:paraId="5AB4C40B" w14:textId="3B018BE9"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 Novčanom kaznom u iznosu koji je višekratnik broja 1.000, a koja ne može biti manja od 1 % ni veća od 10 % ukupnog prihoda koji je ostvarila u godini kada je počinjen prekršaj, utvrđenog službenim financijskim izvještajima za tu godinu, kaznit će se za prekršaj počinjen iz nehaja pravna osoba:</w:t>
      </w:r>
    </w:p>
    <w:p w14:paraId="63D1CA89"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 koja stupi u transakciju ili da nalog za trgovanje ili obavi bilo koji drugi postupak koji daje ili vjerojatno daje lažne ili obmanjujuće signale u pogledu ponude, potražnje ili cijene financijskog instrumenta, povezanog promptnog ugovora za robu iz članka 3. stavka 1. točke 15. Uredbe (EU) br. 596/2014 ili proizvoda na dražbi na temelju emisijskih jedinica, protivno zabrani iz članka 15. Uredbe (EU) br. 596/2014, osim ako osoba ne dokaže da je takva transakcija, nalog ili postupak učinjen iz legitimnih razloga u smislu članka 9. Uredbe (EU) br. 596/2014, te da je u skladu s prihvaćenom tržišnom praksom utvrđenom u skladu s člankom 13. Uredbe (EU) br. 596/2014</w:t>
      </w:r>
    </w:p>
    <w:p w14:paraId="0253E33B"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2. koja stupi u transakciju ili da nalog za trgovanje ili obavi bilo koji drugi postupak koji drži ili vjerojatno drži cijenu jednog ili nekoliko financijskih instrumenata, povezanog promptnog ugovora za robu iz članka 3. stavka 1. točke 15. Uredbe (EU) br. 596/2014 ili proizvoda na dražbi na temelju emisijskih jedinica na neuobičajenoj ili umjetnoj razini protivno zabrani iz članka 15. Uredbe (EU) br. 596/2014, osim ako osoba ne dokaže da je takva transakcija, nalog ili postupak učinjen iz legitimnih razloga u smislu članka 9. Uredbe (EU) br. 596/2014, te da je u skladu s prihvaćenom tržišnom praksom utvrđenom u skladu s člankom 13. Uredbe (EU) br. 596/2014</w:t>
      </w:r>
    </w:p>
    <w:p w14:paraId="674112C4"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lastRenderedPageBreak/>
        <w:t>3. koja stupi u transakciju, da nalog za trgovanje ili obavi bilo koju drugu aktivnost ili drugi postupak koji utječe ili vjerojatno utječe na cijenu jednog ili nekoliko financijskih instrumenata, povezanog promptnog ugovora za robu iz članka 3. stavka 1. točke 15. Uredbe (EU) br. 596/2014 ili proizvoda na dražbi na temelju emisijskih jedinica, a u kojima se upotrebljavaju fiktivni postupci ili bilo koji drugi oblik obmane ili prijevare, protivno zabrani iz članka 15. Uredbe (EU) br. 596/2014</w:t>
      </w:r>
    </w:p>
    <w:p w14:paraId="4679DC38"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4. koja, protivno zabrani iz članka 15. Uredbe (EU) br. 596/2014, širi informacije putem medija, uključujući i internet ili nekim drugim načinom, koje daju ili bi mogle davati lažne ili obmanjujuće signale u pogledu ponude, potražnje ili cijene financijskog instrumenta, povezanog promptnog ugovora za robu iz članka 3. stavka 1. točke 15. Uredbe (EU) br. 596/2014 ili proizvoda na dražbi na temelju emisijskih jedinica, ili drže ili bi mogle držati cijenu jednog ili nekoliko financijskih instrumenata ili povezanog promptnog ugovora za robu ili proizvoda na dražbi na temelju emisijskih jedinica na neuobičajenoj ili umjetnoj razini, uključujući i širenje glasina, kada je osoba koja je proširila informacije znala ili trebala znati da su one lažne ili obmanjujuće</w:t>
      </w:r>
    </w:p>
    <w:p w14:paraId="4C023A38"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5. koja, protivno zabrani iz članka 15. Uredbe (EU) br. 596/2014, prenosi lažne ili obmanjujuće informacije ili daje lažne ili obmanjujuće osnovne podataka u odnosu na referentnu vrijednost iz članka 3. stavka 1. točke 29. Uredbe (EU) br. 596/2014, pri čemu je osoba koja je prenijela informaciju ili dala osnovni podatak znala ili trebala znati da su oni lažni ili obmanjujući</w:t>
      </w:r>
    </w:p>
    <w:p w14:paraId="0C804313"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6. koja, protivno zabrani iz članka 15. Uredbe (EU) br. 596/2014, obavi bilo koji drugi postupak kojim se manipulira izračunom referentne vrijednosti iz članka 3. stavka 1. točke 29. Uredbe (EU) br. 596/2014</w:t>
      </w:r>
    </w:p>
    <w:p w14:paraId="2F99E361"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7. koja, protivno zabrani iz članka 15. Uredbe (EU) br. 596/2014, a vezano za članak 12. stavak 2. točku b. Uredbe (EU) br. 596/2014, kupi ili proda financijske instrumente na početku ili pred kraj trgovinskog dana, a takva kupnja ili prodaj ima ili bi mogla imati učinak obmanjivanja ulagatelja koji djeluju na temelju objavljenih cijena, uključujući početne ili zadnje cijene trgovanja</w:t>
      </w:r>
    </w:p>
    <w:p w14:paraId="3DB4D1E9"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8. koja, protivno zabrani iz članka 15. Uredbe (EU) br. 596/2014, a vezano za članak 12. stavak 2. točku c. Uredbe (EU) br. 596/2014, izloži nalog na mjesto trgovanja bilo kojim dostupnim sredstvima trgovanja, uključujući elektroničkim sredstvima poput algoritamskih i visokofrekventnih strategija trgovanja, ili takav nalog povuče ili izmjeni, a takve aktivnosti imaju ili bi mogle imati učinak izravnog ili neizravnog određivanja kupovnih ili prodajnih cijena ili ako bi takve aktivnosti stvaraju ili bi mogle stvoriti druge nepravedne uvjete trgovanja, ometajući ili odgađajući funkcioniranje sustava trgovanja na mjestu trgovanja ili vjerojatno tako djelujući</w:t>
      </w:r>
    </w:p>
    <w:p w14:paraId="5CE5B108"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 xml:space="preserve">9. koja, protivno zabrani iz članka 15. Uredbe (EU) br. 596/2014, a vezano za članak 12. stavak 2. točku c. Uredbe (EU) br. 596/2014, izloži nalog na mjesto trgovanja bilo kojim dostupnim sredstvima trgovanja, uključujući elektroničkim sredstvima poput algoritamskih i visokofrekventnih strategija trgovanja, ili takav nalog povuče ili izmjeni, a takve aktivnosti imaju ili bi mogle imati učinak izravnog ili neizravnog određivanja kupovnih ili prodajnih cijena ili ako bi takve aktivnosti stvaraju ili bi </w:t>
      </w:r>
      <w:r w:rsidRPr="000479E9">
        <w:rPr>
          <w:rFonts w:ascii="Times New Roman" w:eastAsia="Times New Roman" w:hAnsi="Times New Roman" w:cs="Times New Roman"/>
          <w:iCs/>
          <w:sz w:val="24"/>
          <w:szCs w:val="24"/>
          <w:lang w:eastAsia="hr-HR"/>
        </w:rPr>
        <w:lastRenderedPageBreak/>
        <w:t>mogle stvoriti druge nepravedne uvjete trgovanja, otežavajući ili vjerojatno otežavajući drugim osobama da prepoznaju stvarne naloge u sustavu trgovanja na mjestu trgovanja, uključujući i kada unose naloge koji dovode do preopterećenja ili destabilizacije knjige naloga</w:t>
      </w:r>
    </w:p>
    <w:p w14:paraId="72C5747E"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10. koja, protivno zabrani iz članka 15. Uredbe (EU) br. 596/2014, a vezano za članak 12. stavak 2. točku c. Uredbe (EU) br. 596/2014, izloži nalog na mjesto trgovanja bilo kojim dostupnim sredstvima trgovanja, uključujući elektroničkim sredstvima poput algoritamskih i visokofrekventnih strategija trgovanja, ili takav nalog povuče ili izmjeni, a takve aktivnosti imaju ili bi mogle imati učinak izravnog ili neizravnog određivanja kupovnih ili prodajnih cijena ili ako bi takve aktivnosti stvaraju ili bi mogle stvoriti druge nepravedne uvjete trgovanja, stvarajući ili vjerojatno stvarajući lažni ili obmanjujući signal o ponudi ili potražnji za financijskim instrumentom ili njegovoj cijeni, a posebno kada unose nalog da se pokrene ili pojača neki trend</w:t>
      </w:r>
    </w:p>
    <w:p w14:paraId="1C12F7E4"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11. koja, protivno zabrani iz članka 15. Uredbe (EU) br. 596/2014, a vezano za članak 12. stavak 2. točku d. Uredbe (EU) br. 596/2014, koristi povremeni ili redovni pristup tradicionalnim ili elektroničkim medijima iznošenjem mišljenja o financijskom instrumentu, povezanom promptnom ugovoru za robu iz članka 3. stavka 1. točke 15. Uredbe (EU) br. 596/2014 ili proizvodu na dražbi na temelju emisijskih jedinica (ili neizravno o njegovu izdavatelju), nakon prethodnog zauzimanja pozicije u tom financijskom instrumentu, povezanom promptnom ugovoru za robu iz članka 3. stavka 1. točke 15. Uredbe (EU) br. 596/2014 ili proizvodu na dražbi na temelju emisijskih jedinica, te posljedično ima koristi od utjecaja iznesenog mišljenja na cijenu tog instrumenta, povezanog promptnog ugovora za robu ili proizvoda na dražbi na temelju emisijskih jedinica, a ta osoba u isto vrijeme javnosti nije na odgovarajući i učinkovit način objavila taj sukob interesa</w:t>
      </w:r>
    </w:p>
    <w:p w14:paraId="1EBCB1E2"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12. koja, protivno zabrani iz članka 15. Uredbe (EU) br. 596/2014, a vezano za članak 12. stavak 2. točku e. Uredbe (EU) br. 596/2014, kupi ili proda na sekundarnom tržištu emisijskih jedinica ili povezanih izvedenica prije održavanja dražbe u skladu s Uredbom (EU) br. 1031/2010, a takva kupnja ili prodaja ima učinak namještanja konačne dražbovne cijene proizvoda na dražbi na neprimjerenu ili umjetnu razinu ili učinak obmanjivanja ponuditelja koji sudjeluju u nadmetanju na dražbi</w:t>
      </w:r>
    </w:p>
    <w:p w14:paraId="4800EC97"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13. koja, kada posjeduje povlaštene informacije u smislu članka 7. Uredbe (EU) br. 596/2014, iste koristi pri stjecanju ili otpuštanju financijskog instrumenta na koji se ta informacija odnosi, za vlastiti račun ili za račun treće osobe, izravno ili neizravno, a protivno zabrani iz članka 14. točke a. Uredbe (EU) br. 596/2014, vezano za članak 8. stavak 1. Uredbe (EU) br. 596/2014, na način da trguje ili pokuša trgovati na temelju povlaštenih informacija ili na način da otkaže ili izmjeni nalog u vezi s financijskim instrumentom na koji se ta informacija odnosi kada je nalog predan prije nego što je ta osoba posjedovala povlaštenu informaciju</w:t>
      </w:r>
    </w:p>
    <w:p w14:paraId="66812D40"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 xml:space="preserve">14. koja, kada posjeduje povlaštene informacije u smislu članka 7. Uredbe (EU) br. 596/2014, iste koristi pri stjecanju ili otpuštanju emisijskih jedinica na koji se ta informacija odnosi ili drugih proizvoda na dražbi koji se na njima temelje koje se održavaju u skladu s Uredbom (EU) br. 1031/2010, za vlastiti račun ili za račun treće osobe, izravno ili neizravno, a protivno zabrani iz članka 14. točke a. Uredbe (EU) </w:t>
      </w:r>
      <w:r w:rsidRPr="000479E9">
        <w:rPr>
          <w:rFonts w:ascii="Times New Roman" w:eastAsia="Times New Roman" w:hAnsi="Times New Roman" w:cs="Times New Roman"/>
          <w:iCs/>
          <w:sz w:val="24"/>
          <w:szCs w:val="24"/>
          <w:lang w:eastAsia="hr-HR"/>
        </w:rPr>
        <w:lastRenderedPageBreak/>
        <w:t>br. 596/2014, vezano za članak 8. stavak 1. Uredbe (EU) br. 596/2014, na način da trguje ili pokuša trgovati na temelju povlaštenih informacija ili na način da podnese, promjeni ili povuče ponudu za kupnju za vlastiti račun ili za račun treće osobe</w:t>
      </w:r>
    </w:p>
    <w:p w14:paraId="04B1ECA3"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15. koja, kada posjeduje povlaštene informacije u smislu članka 7. Uredbe (EU) br. 596/2014, preporuča, na temelju tih informacija, da druga osoba stekne ili otpusti financijske instrumente na koje se te informacije odnose ili potiče tu osobu na takvo stjecanje ili otpuštanje, a protivno zabrani iz članka 14. točke b. Uredbe (EU) br. 596/2014, vezano za članak 8. stavak 2. točku a. Uredbe (EU) br. 596/2014</w:t>
      </w:r>
    </w:p>
    <w:p w14:paraId="38CFCA69"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16. koja, kada posjeduje povlaštene informacije u smislu članka 7. Uredbe (EU) br. 596/2014, preporuča, na temelju tih informacija, da druga osoba otkaže ili izmijeni nalog u vezi s financijskim instrumentom na koji se ta informacija odnosi ili potiče tu osobu na takvo otkazivanje ili izmjenu, a protivno zabrani iz članka 14. točke b. Uredbe (EU) br. 596/2014, vezano za članak 8. stavak 2. točku b. Uredbe (EU) br. 596/2014</w:t>
      </w:r>
    </w:p>
    <w:p w14:paraId="1694E388"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17. koja, kada posjeduje povlaštene informacije u smislu članka 7. Uredbe (EU) br. 596/2014 i objavi te informacije bilo kojoj drugoj osobi, osim kada se informacije objavljuju u normalnom obavljanju posla, profesije ili dužnosti, protivno zabrani iz članka 14. točke c. Uredbe (EU) br. 596/2014.</w:t>
      </w:r>
    </w:p>
    <w:p w14:paraId="68E99386"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(2) Iznimno od stavka 1. ovoga članka, ako bi iznos novčane kazne utvrđene na temelju stavka 1. ovoga članka bio manji od 13.270,00 eura, pravna osoba iz stavka 1. ovoga članka kaznit će se za prekršaj iz stavka 1. ovoga članka novčanom kaznom u iznosu od 13.270,00 do 132.720,00 eura.</w:t>
      </w:r>
    </w:p>
    <w:p w14:paraId="63CD6195"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(3) Iznimno od stavaka 1. i 2. ovoga članka, u slučaju da je pravna osoba prekršajem iz stavka 1. ovoga članka ostvarila korist ili spriječila gubitak, a iznos tako ostvarene koristi ili spriječenog gubitka može se utvrditi, kaznit će se za prekršaj novčanom kaznom u iznosu dvostruko utvrđenog iznosa tako ostvarene koristi odnosno tako spriječenog gubitka, ako je taj iznos veći od propisanog najvećeg iznosa novčane kazne iz stavaka 1. i 2. ovoga članka.</w:t>
      </w:r>
    </w:p>
    <w:p w14:paraId="59256C2A" w14:textId="77777777"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(4) Za prekršaj iz stavka 1. ovoga članka kaznit će se i odgovorna osoba pravne osobe novčanom kaznom u iznosu od 6630,00 do 1.327.220,00 eura.</w:t>
      </w:r>
    </w:p>
    <w:p w14:paraId="0BB37BB3" w14:textId="4CBB74BA" w:rsidR="00900C40" w:rsidRPr="000479E9" w:rsidRDefault="00900C40" w:rsidP="00483C20">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(5) Za prekršaj iz stavka 1. ovoga članka kaznit će se i fizičke osobe koje sudjeluju u odluci da se obave aktivnosti za račun pravne osobe iz stavka 1. ovoga članka, novčanom kaznom u iznosu od 6630,00 do 1.327.220,00 eura.</w:t>
      </w:r>
    </w:p>
    <w:p w14:paraId="4E79D9E3" w14:textId="77777777" w:rsidR="00900C40" w:rsidRPr="000479E9" w:rsidRDefault="00900C40" w:rsidP="00900C40">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p>
    <w:p w14:paraId="1B34F8B8" w14:textId="77777777" w:rsidR="00B9273F" w:rsidRPr="000479E9" w:rsidRDefault="00B9273F" w:rsidP="00B9273F">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Ostali teži prekršaji u svezi sa zlouporabom tržišta</w:t>
      </w:r>
    </w:p>
    <w:p w14:paraId="5A367CAA" w14:textId="585F4307" w:rsidR="00B9273F" w:rsidRPr="000479E9" w:rsidRDefault="00B9273F" w:rsidP="00B9273F">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713.</w:t>
      </w:r>
    </w:p>
    <w:p w14:paraId="599B5489" w14:textId="77777777" w:rsidR="00B71A3D" w:rsidRPr="000479E9" w:rsidRDefault="00B71A3D" w:rsidP="00B9273F">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77596D15"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Novčanom kaznom u iznosu izraženom u postotku od 2 % do 5 % ukupnog prihoda koji je pravna osoba ostvarila u godini kada je počinjen prekršaj, utvrđenog na temelju godišnjih financijskih izvještaja za tu godinu, kaznit će se za prekršaj pravna osoba:</w:t>
      </w:r>
    </w:p>
    <w:p w14:paraId="3CBAAAFA"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1. ako kao tržišni operater i/ili investicijsko društvo ne propiše i/ili ne primjenjuje i/ili ne održava učinkovite mjere, sustave i postupke kojima je cilj spriječiti i otkriti trgovanje na temelju povlaštenih informacija, manipuliranje tržištem i pokušaje trgovanja na temelju povlaštenih informacija i manipuliranja tržištem, suprotno odredbama članka 16. stavka 1. podstavka 1. Uredbe (EU) br. 596/2014</w:t>
      </w:r>
    </w:p>
    <w:p w14:paraId="603E0578"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ako kao tržišni operater i/ili investicijsko društvo bez odgode ne prijavi Agenciji informacije iz članka 16. stavka 1. podstavka 2. Uredbe (EU) br. 596/2014</w:t>
      </w:r>
    </w:p>
    <w:p w14:paraId="4664C5D4"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ako kao osoba koja u okviru svojega poslovanja dogovara ili izvršava transakcije ne uspostavi i/ili ne održava učinkovite mjere, sustave i postupke za otkrivanje i prijavljivanje sumnjivih naloga i transakcija, suprotno odredbama članka 16. stavka 2. Uredbe (EU) br. 596/2014</w:t>
      </w:r>
    </w:p>
    <w:p w14:paraId="23062BD0"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kao osoba koja u okviru svojega poslovanja dogovara ili izvršava transakcije ne obavijesti Agenciju o slučajevima za koje opravdano sumnja da se radi o zlouporabi tržišta, suprotno odredbama članka 16. stavka 2. Uredbe (EU) br. 596/2014</w:t>
      </w:r>
    </w:p>
    <w:p w14:paraId="3ECB7D37"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ako kao izdavatelj, na propisani način i pod propisanim uvjetima ne obavijesti javnost o povlaštenim informacijama koje se izravno odnose na njega, suprotno odredbama članka 17. stavka 1. Uredbe (EU) br. 596/2014</w:t>
      </w:r>
    </w:p>
    <w:p w14:paraId="1F8F78BB"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ako kao sudionik na tržištu emisijskih jedinica, na propisani način i pod propisanim uvjetima ne objavljuje povlaštene informacije, suprotno odredbama članka 17. stavka 2. Uredbe (EU) br. 596/2014</w:t>
      </w:r>
    </w:p>
    <w:p w14:paraId="5E1757ED"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ako kao izdavatelj ili sudionik na tržištu emisijskih jedinica, odgodi objavljivanje povlaštene informacije suprotno uvjetima iz članka 17. stavka 4. Uredbe (EU) br. 596/2014</w:t>
      </w:r>
    </w:p>
    <w:p w14:paraId="40950F91"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ako kao kreditna institucija ili financijska institucija, odgodi objavljivanje povlaštene informacije suprotno odredbama članka 17. stavka 5. Uredbe (EU) br. 596/2014</w:t>
      </w:r>
    </w:p>
    <w:p w14:paraId="3182F9CE"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ako kao izdavatelj ili sudionik na tržištu emisijskih jedinica ili osoba koja djeluje u njihovo ime ili za njihov račun ne objavi povlaštene informacije u slučajevima namjernog ili nenamjernog objavljivanja u slučaju objave trećoj osobi, suprotno odredbama članka 17. stavka 8. Uredbe (EU) br. 596/2014.</w:t>
      </w:r>
    </w:p>
    <w:p w14:paraId="08B61C4C"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Novčanom kaznom u iznosu od 13.270,00 do 663.610,00 eura kaznit će se za prekršaj iz stavka 1. ovoga članka i odgovorna osoba pravne osobe.</w:t>
      </w:r>
    </w:p>
    <w:p w14:paraId="4D683586"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Kada je izračunani iznos iz stavka 1. ovoga članka manji od 66.360,00 eura, pravna osoba iz stavka 1. ovoga članka kaznit će se za prekršaj iz stavka 1. ovoga članka novčanom kaznom u iznosu od 66.360,00 do 2.500.000,00 eura.</w:t>
      </w:r>
    </w:p>
    <w:p w14:paraId="31DA2C13"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Kada je pravna osoba iz stavka 1. ovoga članka ostvarila korist ili spriječila gubitak, a iznos tako ostvarene koristi ili spriječenog gubitka moguće je utvrditi, pravna osoba iz stavka 1. ovoga članka kaznit će se za prekršaj iz stavka 1. ovoga članka novčanom kaznom u iznosu do visine trostruko utvrđenog iznosa tako ostvarene koristi odnosno tako spriječenog gubitka, ako je taj iznos veći od propisanog maksimalnog iznosa iz stavaka 1. i 3. ovoga članka.</w:t>
      </w:r>
    </w:p>
    <w:p w14:paraId="19D998F1"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4BCD0654" w14:textId="77777777" w:rsidR="00B9273F" w:rsidRPr="000479E9" w:rsidRDefault="00B9273F" w:rsidP="00B9273F">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Lakši prekršaji u svezi sa zlouporabom tržišta</w:t>
      </w:r>
    </w:p>
    <w:p w14:paraId="1378A7E0" w14:textId="6FA20CA1" w:rsidR="00B9273F" w:rsidRPr="000479E9" w:rsidRDefault="00B9273F" w:rsidP="00B9273F">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Članak 714.</w:t>
      </w:r>
    </w:p>
    <w:p w14:paraId="36CB6AB5" w14:textId="77777777" w:rsidR="00B71A3D" w:rsidRPr="000479E9" w:rsidRDefault="00B71A3D" w:rsidP="00B9273F">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16CCEA4F"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Novčanom kaznom u iznosu od 13.270,00 do 1.000.000,00 eura kaznit će se za prekršaj pravna osoba:</w:t>
      </w:r>
    </w:p>
    <w:p w14:paraId="4E459970"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ako kao izdavatelj ili osoba koja djeluje u njegovo ime ili za njegov račun ne sastavi, ne vodi i/ili ne ažurira i/ili ne čuva popis upućenih osoba i/ili ako ne dostavi popis upućenih osoba Agenciji na njezin zahtjev, suprotno odredbama članka 18. stavcima 1., 2., 3., 4., 5. i 6. Uredbe (EU) br. 596/2014</w:t>
      </w:r>
    </w:p>
    <w:p w14:paraId="5F1C3521"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ako kao izdavatelj ili sudionik na tržištu emisijskih jedinica, a vezano uz transakcije rukovoditelja, ne postupi sukladno odredbama članka 19. stavcima 3. i 5. Uredbe (EU) br. 596/2014</w:t>
      </w:r>
    </w:p>
    <w:p w14:paraId="582F0BDA"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ako kao osoba koja izrađuje i/ili širi preporuke za ulaganja ili druge informacije kojima se preporuča ili sugerira strategija ulaganja ne izrađuje i/ili ne širi preporuke za ulaganja na način i pod uvjetima iz članka 20. stavka 1. Uredbe (EU) br. 596/2014</w:t>
      </w:r>
    </w:p>
    <w:p w14:paraId="1FE6945F"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kao izdavatelj ne propiše i/ili ne primjenjuje mjere i postupke kojima uređuje postupanje s povlaštenim informacijama sukladno odredbama članka 517. ovoga Zakona</w:t>
      </w:r>
    </w:p>
    <w:p w14:paraId="6BD6C2BF"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ako ne sudjeluje ili se ne pridržava pravila prilikom istrage, nadzora ili zahtjeva sukladno članku 23. stavku 2. Uredbe (EU) br. 596/2014.</w:t>
      </w:r>
    </w:p>
    <w:p w14:paraId="28FA091B"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Novčanom kaznom u iznosu od 2650,00 do 265.440,00 eura kaznit će se za prekršaj iz stavka 1. ovoga članka i odgovorna osoba u pravnoj osobi.</w:t>
      </w:r>
    </w:p>
    <w:p w14:paraId="1B3C240E" w14:textId="77777777" w:rsidR="00B9273F" w:rsidRPr="000479E9" w:rsidRDefault="00B9273F"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Kada je pravna osoba iz stavka 1. ovoga članka ostvarila korist ili spriječila gubitak, a iznos tako ostvarene koristi ili spriječenog gubitka moguće je utvrditi, pravna osoba iz stavka 1. ovoga članka kaznit će se za prekršaj iz stavka 1. ovoga članka, osim za prekršaj propisan u točki 5. stavku 1. ovoga članka, novčanom kaznom u iznosu do visine trostruko utvrđenog iznosa tako ostvarene koristi odnosno tako spriječenog gubitka ako je taj iznos veći od propisanog maksimalnog iznosa iz stavaka 1. i 2. ovoga članka.</w:t>
      </w:r>
    </w:p>
    <w:p w14:paraId="6D3FFF5B" w14:textId="583FA261" w:rsidR="00B9273F" w:rsidRPr="000479E9" w:rsidRDefault="00B9273F" w:rsidP="00483C20">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72A44F7A" w14:textId="77777777" w:rsidR="00EA5A04" w:rsidRPr="000479E9" w:rsidRDefault="00EA5A04" w:rsidP="00483C2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Teži prekršaji fizičke osobe u svezi sa zlouporabom tržišta</w:t>
      </w:r>
    </w:p>
    <w:p w14:paraId="2489F7A1" w14:textId="6DB6B8D4" w:rsidR="00EA5A04" w:rsidRPr="000479E9" w:rsidRDefault="00EA5A04"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Članak 715.</w:t>
      </w:r>
    </w:p>
    <w:p w14:paraId="15DD9D85" w14:textId="77777777" w:rsidR="00EA5A04" w:rsidRPr="000479E9" w:rsidRDefault="00EA5A04"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p>
    <w:p w14:paraId="1676B336"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Novčanom kaznom u iznosu od 6630,00 do 5.000.000,00 eura kaznit će se za prekršaj počinjen iz nehaja fizička osoba:</w:t>
      </w:r>
    </w:p>
    <w:p w14:paraId="62C5C98D"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koja stupi u transakciju ili da nalog za trgovanje ili obavi bilo koji drugi postupak koji daje ili vjerojatno daje lažne ili obmanjujuće signale u pogledu ponude, potražnje ili cijene financijskog instrumenta, povezanog promptnog ugovora za robu iz članka 3. stavka 1. točke 15. Uredbe (EU) br. 596/2014 ili proizvoda na dražbi na temelju emisijskih jedinica, protivno zabrani iz članka 15. Uredbe (EU) br. 596/2014, osim ako osoba ne dokaže da je takva transakcija, nalog ili postupak učinjen iz legitimnih razloga u smislu članka 9. Uredbe (EU) br. 596/2014, te da je u skladu s prihvaćenom tržišnom praksom utvrđenom u skladu s člankom 13. Uredbe (EU) br. 596/2014</w:t>
      </w:r>
    </w:p>
    <w:p w14:paraId="58D20322"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2. koja stupi u transakciju ili da nalog za trgovanje ili obavi bilo koji drugi postupak koji drži ili vjerojatno drži cijenu jednog ili nekoliko financijskih instrumenata, povezanog promptnog ugovora za robu iz članka 3. stavka 1. točke 15. Uredbe (EU) br. 596/2014 ili proizvoda na dražbi na temelju emisijskih jedinica na neuobičajenoj ili umjetnoj razini protivno zabrani iz članka 15. Uredbe (EU) br. 596/2014, osim ako osoba ne dokaže da je takva transakcija, nalog ili postupak učinjen iz legitimnih razloga u smislu članka 9. Uredbe (EU) br. 596/2014, te da je u skladu s prihvaćenom tržišnom praksom utvrđenom u skladu s člankom 13. Uredbe (EU) br. 596/2014</w:t>
      </w:r>
    </w:p>
    <w:p w14:paraId="0BCF122F"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koja stupi u transakciju, da nalog za trgovanje ili obavi bilo koju drugu aktivnost ili drugi postupak koji utječe ili vjerojatno utječe na cijenu jednog ili nekoliko financijskih instrumenata, povezanog promptnog ugovora za robu iz članka 3. stavka 1. točke 15. Uredbe (EU) br. 596/2014 ili proizvoda na dražbi na temelju emisijskih jedinica, a u kojima se upotrebljavaju fiktivni postupci ili bilo koji drugi oblik obmane ili prijevare, protivno zabrani iz članka 15. Uredbe (EU) br. 596/2014</w:t>
      </w:r>
    </w:p>
    <w:p w14:paraId="21F95EF5"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koja, protivno zabrani iz članka 15. Uredbe (EU) br. 596/2014, širi informacije putem medija, uključujući i internet, ili nekim drugim načinom, koje daju ili bi mogle davati lažne ili obmanjujuće signale u pogledu ponude, potražnje ili cijene financijskog instrumenta, povezanog promptnog ugovora za robu iz članka 3. stavka 1. točke 15. Uredbe (EU) br. 596/2014 ili proizvoda na dražbi na temelju emisijskih jedinica ili drže ili bi mogle držati cijenu jednog ili nekoliko financijskih instrumenata ili povezanog promptnog ugovora za robu ili proizvoda na dražbi na temelju emisijskih jedinica na neuobičajenoj ili umjetnoj razini, uključujući i širenje glasina, kada je osoba koja je proširila informacije znala ili trebala znati da su one lažne ili obmanjujuće</w:t>
      </w:r>
    </w:p>
    <w:p w14:paraId="76BC9439"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koja, protivno zabrani iz članka 15. Uredbe (EU) br. 596/2014, prenosi lažne ili obmanjujuće informacije ili daje lažne ili obmanjujuće osnovne podataka u odnosu na referentnu vrijednost iz članka 3. stavka 1. točke 29. Uredbe (EU) br. 596/2014, pri čemu je osoba koja je prenijela informaciju ili dala osnovni podatak znala ili trebala znati da su oni lažni ili obmanjujući</w:t>
      </w:r>
    </w:p>
    <w:p w14:paraId="3B8F49E4"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koja, protivno zabrani iz članka 15. Uredbe (EU) br. 596/2014, obavi bilo koji drugi postupak kojim se manipulira izračunom referentne vrijednosti iz članka 3. stavka 1. točke 29. Uredbe (EU) br. 596/2014</w:t>
      </w:r>
    </w:p>
    <w:p w14:paraId="03127AFC"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koja, protivno zabrani iz članka 15. Uredbe (EU) br. 596/2014, a vezano za članak 12. stavak 2. točku b. Uredbe (EU) br. 596/2014, kupi ili proda financijske instrumente na početku ili pred kraj trgovinskog dana koja, a takva kupnja ili prodaj ima ili bi mogla imati učinak obmanjivanja ulagatelja koji djeluju na temelju objavljenih cijena, uključujući početne ili zadnje cijene trgovanja</w:t>
      </w:r>
    </w:p>
    <w:p w14:paraId="7704D023"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8. koja, protivno zabrani iz članka 15. Uredbe (EU) br. 596/2014, a vezano za članak 12. stavak 2. točku c. Uredbe (EU) br. 596/2014, izloži nalog na mjesto trgovanja bilo kojim dostupnim sredstvima trgovanja, uključujući elektroničkim sredstvima poput algoritamskih i visokofrekventnih strategija trgovanja, ili takav nalog povuče ili izmjeni, a takve aktivnosti imaju ili bi mogle imati učinak izravnog ili neizravnog određivanja kupovnih ili prodajnih cijena ili ako bi takve aktivnosti stvaraju ili bi </w:t>
      </w:r>
      <w:r w:rsidRPr="000479E9">
        <w:rPr>
          <w:rFonts w:ascii="Times New Roman" w:eastAsia="Times New Roman" w:hAnsi="Times New Roman" w:cs="Times New Roman"/>
          <w:sz w:val="24"/>
          <w:szCs w:val="24"/>
          <w:lang w:eastAsia="hr-HR"/>
        </w:rPr>
        <w:lastRenderedPageBreak/>
        <w:t>mogle stvoriti druge nepravedne uvjete trgovanja, ometajući ili odgađajući funkcioniranje sustava trgovanja na mjestu trgovanja ili vjerojatno tako djelujući</w:t>
      </w:r>
    </w:p>
    <w:p w14:paraId="0EB1D092"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koja, protivno zabrani iz članka 15. Uredbe (EU) br. 596/2014, a vezano za članak 12. stavak 2. točku c. Uredbe (EU) br. 596/2014, izloži nalog na mjesto trgovanja bilo kojim dostupnim sredstvima trgovanja, uključujući elektroničkim sredstvima poput algoritamskih i visokofrekventnih strategija trgovanja, ili takav nalog povuče ili izmjeni, a takve aktivnosti imaju ili bi mogle imati učinak izravnog ili neizravnog određivanja kupovnih ili prodajnih cijena ili ako bi takve aktivnosti stvaraju ili bi mogle stvoriti druge nepravedne uvjete trgovanja, otežavajući ili vjerojatno otežavajući drugim osobama da prepoznaju stvarne naloge u sustavu trgovanja na mjestu trgovanja, uključujući i kada unose naloge koji dovode do preopterećenja ili destabilizacije knjige naloga</w:t>
      </w:r>
    </w:p>
    <w:p w14:paraId="569B3333"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koja, protivno zabrani iz članka 15. Uredbe (EU) br. 596/2014, a vezano za članak 12. stavak 2. točku c. Uredbe (EU) br. 596/2014, izloži nalog na mjesto trgovanja bilo kojim dostupnim sredstvima trgovanja, uključujući elektroničkim sredstvima poput algoritamskih i visokofrekventnih strategija trgovanja, ili takav nalog povuče ili izmjeni, a takve aktivnosti imaju ili bi mogle imati učinak izravnog ili neizravnog određivanja kupovnih ili prodajnih cijena ili ako bi takve aktivnosti stvaraju ili bi mogle stvoriti druge nepravedne uvjete trgovanja, stvarajući ili vjerojatno stvarajući lažni ili obmanjujući signal o ponudi ili potražnji za financijskim instrumentom ili njegovoj cijeni, a posebno kada unose nalog da se pokrene ili pojača neki trend</w:t>
      </w:r>
    </w:p>
    <w:p w14:paraId="1B081448"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koja, protivno zabrani iz članka 15. Uredbe (EU) br. 596/2014, a vezano za članak 12. stavak 2. točku d. Uredbe (EU) br. 596/2014, koristi povremeni ili redovni pristup tradicionalnim ili elektroničkim medijima iznošenjem mišljenja o financijskom instrumentu, povezanom promptnom ugovoru za robu iz članka 3. stavka 1. točke 15. Uredbe (EU) br. 596/2014 ili proizvodu na dražbi na temelju emisijskih jedinica (ili neizravno o njegovu izdavatelju), nakon prethodnog zauzimanja pozicije u tom financijskom instrumentu, povezanom promptnom ugovoru za robu iz članka 3. stavka 1. točke 15. Uredbe (EU) br. 596/2014 ili proizvodu na dražbi na temelju emisijskih jedinica, te posljedično ima koristi od utjecaja iznesenog mišljenja na cijenu tog instrumenta, povezanog promptnog ugovora za robu ili proizvoda na dražbi na temelju emisijskih jedinica, a ta osoba u isto vrijeme javnosti nije na odgovarajući i učinkovit način objavila taj sukob interesa</w:t>
      </w:r>
    </w:p>
    <w:p w14:paraId="1FFEBF16"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koja, protivno zabrani iz članka 15. Uredbe (EU) br. 596/2014, a vezano za članak 12. stavak 2. točku e. Uredbe (EU) br. 596/2014, kupi ili proda na sekundarnom tržištu emisijskih jedinica ili povezanih izvedenica prije održavanja dražbe u skladu s Uredbom (EU) br. 1031/2010, a takva kupnja ili prodaja ima učinak namještanja konačne dražbovne cijene proizvoda na dražbi na neprimjerenu ili umjetnu razinu ili učinak obmanjivanja ponuditelja koji sudjeluju u nadmetanju na dražbi</w:t>
      </w:r>
    </w:p>
    <w:p w14:paraId="0AF579ED"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13. koja, kada posjeduje povlaštene informacije u smislu članka 7. Uredbe (EU) br. 596/2014, iste koristi pri stjecanju ili otpuštanju financijskog instrumenta na koji se ta informacija odnosi, za vlastiti račun ili za račun treće osobe, izravno ili neizravno, a protivno zabrani iz članka 14. točke a. Uredbe (EU) br. 596/2014, vezano za članak </w:t>
      </w:r>
      <w:r w:rsidRPr="000479E9">
        <w:rPr>
          <w:rFonts w:ascii="Times New Roman" w:eastAsia="Times New Roman" w:hAnsi="Times New Roman" w:cs="Times New Roman"/>
          <w:sz w:val="24"/>
          <w:szCs w:val="24"/>
          <w:lang w:eastAsia="hr-HR"/>
        </w:rPr>
        <w:lastRenderedPageBreak/>
        <w:t>8. stavak 1. Uredbe (EU) br. 596/2014, na način da trguje ili pokuša trgovati na temelju povlaštenih informacija ili na način da otkaže ili izmjeni nalog u vezi s financijskim instrumentom na koji se ta informacija odnosi kada je nalog predan prije nego što je ta osoba posjedovala povlaštenu informaciju</w:t>
      </w:r>
    </w:p>
    <w:p w14:paraId="06531ECA"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koja, kada posjeduje povlaštene informacije u smislu članka 7. Uredbe (EU) br. 596/2014, iste koristi pri stjecanju ili otpuštanju emisijskih jedinica na koji se ta informacija odnosi ili drugih proizvoda na dražbi koji se na njima temelje koje se održavaju u skladu s Uredbom (EU) br. 1031/2010, za vlastiti račun ili za račun treće osobe, izravno ili neizravno, a protivno zabrani iz članka 14. točke a. Uredbe (EU) br. 596/2014, vezano za članak 8. stavak 1. Uredbe (EU) br. 596/2014, na način da trguje ili pokuša trgovati na temelju povlaštenih informacija ili na način da podnese, promjeni ili povuče ponudu za kupnju za vlastiti račun ili za račun treće osobe</w:t>
      </w:r>
    </w:p>
    <w:p w14:paraId="3DD0ECDF"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15. koja, kada posjeduje povlaštene informacije u smislu članka 7. Uredbe (EU) br. 596/2014, preporuča, na temelju tih informacija, da druga osoba stekne ili otpusti financijske instrumente na koje se te informacije odnose ili potiče tu osobu na takvo stjecanje ili otpuštanje, a protivno zabrani iz članka 14. točke b. Uredbe (EU) br. 596/2014, vezano za članak 8. stavak 2. točku a. Uredbe (EU) br. 596/2014</w:t>
      </w:r>
    </w:p>
    <w:p w14:paraId="131BF76A"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16. koja, kada posjeduje povlaštene informacije u smislu članka 7. Uredbe (EU) br. 596/2014, preporuča, na temelju tih informacija, da druga osoba otkaže ili izmijeni nalog u vezi s financijskim instrumentom na koji se ta informacija odnosi ili potiče tu osobu na takvo otkazivanje ili izmjenu, a protivno zabrani iz članka 14. točke b. Uredbe (EU) br. 596/2014, vezano za članak 8. stavak 2. točku b. Uredbe (EU) br. 596/2014</w:t>
      </w:r>
    </w:p>
    <w:p w14:paraId="32EF4D2A" w14:textId="77777777" w:rsidR="00EA5A04" w:rsidRPr="000479E9" w:rsidRDefault="00EA5A04" w:rsidP="00EA5A04">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17. koja, kada posjeduje povlaštene informacije u smislu članka 7. Uredbe (EU) br. 596/2014 i objavi te informacije bilo kojoj drugoj osobi, osim kada se informacije objavljuju u normalnom obavljanju posla, profesije ili dužnosti, protivno zabrani iz članka 14. točke c. Uredbe (EU) br. 596/2014.</w:t>
      </w:r>
    </w:p>
    <w:p w14:paraId="1C4537FC" w14:textId="574D6D46" w:rsidR="00EA5A04" w:rsidRPr="000479E9" w:rsidRDefault="00EA5A04"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0E7A026E" w14:textId="77777777" w:rsidR="002A3323" w:rsidRPr="000479E9" w:rsidRDefault="002A3323" w:rsidP="00483C2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Ostali prekršaji fizičke osobe u svezi sa zlouporabom tržišta</w:t>
      </w:r>
    </w:p>
    <w:p w14:paraId="79BBFF9D" w14:textId="77777777" w:rsidR="002A3323" w:rsidRPr="000479E9" w:rsidRDefault="002A3323"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Članak 716.</w:t>
      </w:r>
    </w:p>
    <w:p w14:paraId="66B76568" w14:textId="65A94D6E"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4BA28F0"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Novčanom kaznom u iznosu od 13.270,00 do 1.000.000,00 eura kaznit će se za prekršaj fizička osoba:</w:t>
      </w:r>
    </w:p>
    <w:p w14:paraId="14C15715"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ako kao osoba koja u okviru svojega poslovanja dogovara ili izvršava transakcije, ne uspostavi i/ili ne održava učinkovite mjere, sustave i postupke za otkrivanje i prijavljivanje sumnjivih naloga i transakcija, suprotno odredbama članka 16. stavka 2. Uredbe (EU) br. 596/2014</w:t>
      </w:r>
    </w:p>
    <w:p w14:paraId="58367693"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ako kao osoba koja u okviru svojega poslovanja dogovara ili izvršava transakcije ne obavijesti Agenciju o slučajevima za koje opravdano sumnja da se radi o zlouporabi tržišta, suprotno odredbama članka 16. stavka 2. Uredbe (EU) br. 596/2014</w:t>
      </w:r>
    </w:p>
    <w:p w14:paraId="3C6FDD37"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3. ako kao osoba koja djeluje u ime ili račun izdavatelja ili sudionika na tržištu emisijskih jedinica ne objavi javnosti povlaštenu informaciju suprotno odredbama članka 17. stavcima 2., 4. i 8. Uredbe (EU) br. 596/2014.</w:t>
      </w:r>
    </w:p>
    <w:p w14:paraId="2A864B77"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Novčanom kaznom u iznosu od 6630,00 do 500.000,00 eura kaznit će se za prekršaj fizička osoba:</w:t>
      </w:r>
    </w:p>
    <w:p w14:paraId="7D09EED1"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ako kao osoba koja djeluje u ime ili račun izdavatelja ne sastavi, ne vodi, ne ažurira, ne čuva popis upućenih osoba odnosno ako ne dostavi popis upućenih osoba Agenciji na njezin zahtjev, suprotno odredbama članka 18. stavcima 1., 2., 3., 4., 5. i 6. Uredbe (EU) br. 596/2014</w:t>
      </w:r>
    </w:p>
    <w:p w14:paraId="011BB8EC"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ako kao osoba koja obavlja rukovoditeljske dužnosti ili osoba s njom usko povezana ne prijavi transakcije na način, u sadržaju i roku propisanom člankom 19. stavcima 1., 2., 6. i 7. Uredbe (EU) br. 596/2014</w:t>
      </w:r>
    </w:p>
    <w:p w14:paraId="1F91E5EA"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ako kao osoba koja obavlja rukovoditeljske dužnosti postupa suprotno zabrani trgovanja propisanoj člankom 19. stavkom 11. Uredbe (EU) br. 596/2014</w:t>
      </w:r>
    </w:p>
    <w:p w14:paraId="3B2E13FB"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kao osoba koja obavlja rukovoditeljske dužnosti ne obavijesti osobe koje su njom usko povezane o njihovim obvezama iz članka 19. Uredbe (EU) br. 596/2014 i ne čuva presliku te obavijesti</w:t>
      </w:r>
    </w:p>
    <w:p w14:paraId="71C15E95"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ako kao osoba koja izrađuje i/ili širi preporuke za ulaganja ili druge informacije kojima se preporuča ili sugerira strategija ulaganja ne izrađuje i/ili ne širi preporuke za ulaganja na način i pod uvjetima iz članka 20. stavka 1. Uredbe (EU) br. 596/2014</w:t>
      </w:r>
    </w:p>
    <w:p w14:paraId="22566CEC"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ako ne sudjeluje ili se ne pridržava pravila prilikom istrage, nadzora ili zahtjeva sukladno članku 23. stavku 2. Uredbe (EU) br. 596/2014.</w:t>
      </w:r>
    </w:p>
    <w:p w14:paraId="689D57B3" w14:textId="77777777" w:rsidR="002A3323" w:rsidRPr="000479E9" w:rsidRDefault="002A3323" w:rsidP="002A3323">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Kada je fizička osoba iz stavaka 1. i 2. ovoga članka ostvarila korist ili spriječila gubitak, a iznos tako ostvarene koristi ili spriječenog gubitka moguće je utvrditi, fizička osoba iz stavaka 1. i 2. ovoga članka kaznit će se za prekršaj iz stavaka 1. i 2. ovoga članka, osim za prekršaj propisan u stavku 2. točki 6. ovoga članka, novčanom kaznom u iznosu do visine trostruko utvrđenog iznosa tako ostvarene koristi odnosno tako spriječenog gubitka ako je taj iznos veći od propisanog maksimalnog iznosa iz stavaka 1. i 2. ovoga članka.</w:t>
      </w:r>
    </w:p>
    <w:p w14:paraId="506603C0" w14:textId="77777777" w:rsidR="00EA5A04" w:rsidRPr="000479E9" w:rsidRDefault="00EA5A04" w:rsidP="00B9273F">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998F21F" w14:textId="77777777" w:rsidR="00030F67" w:rsidRPr="000479E9" w:rsidRDefault="00030F67" w:rsidP="00030F67">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Teži prekršaji središnje druge ugovorne strane</w:t>
      </w:r>
    </w:p>
    <w:p w14:paraId="3B8D7145" w14:textId="64CA6F74" w:rsidR="00030F67" w:rsidRPr="000479E9" w:rsidRDefault="00030F67" w:rsidP="00030F67">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Članak 717.</w:t>
      </w:r>
    </w:p>
    <w:p w14:paraId="4522A828" w14:textId="77777777" w:rsidR="002B26AF" w:rsidRPr="000479E9" w:rsidRDefault="002B26AF" w:rsidP="00030F67">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3C3F2E05"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Novčanom kaznom u iznosu od 26.540,00 do 132.720,00 eura kaznit će se za prekršaj središnja druga ugovorna strana ako:</w:t>
      </w:r>
    </w:p>
    <w:p w14:paraId="5ED55A5E"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ne postupi prema rješenju Agencije o izricanju mjera, u skladu s člankom 554. stavkom 1. ovoga Zakona, a takvo nepostupanje ima ili može imati materijalni utjecaj na usklađenost središnje druge ugovorne strane s odredbama Uredbe (EU) br. 648/2012 ili je dovelo ili može dovesti do teških poremećaja u sustavu poravnanja kojim središnja druga ugovorna strana upravlja</w:t>
      </w:r>
    </w:p>
    <w:p w14:paraId="39F8BF36"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2. ne izradi i/ili ne dostavi Agenciji godišnje financijske izvještaje i/ili godišnje izvješće i/ili revizorski izvještaj o obavljenoj reviziji za potrebe Agencije, u skladu s člankom 547. stavkom 1. odnosno stavkom 3. ovoga Zakona, ili navedene izvještaje Agenciji ne dostavi u roku propisanom člankom 547. stavkom 1. ovoga Zakona ili u roku koji je sukladno članku 547. stavku 3. ovoga Zakona odredila Agencija, pri čemu je takvo kašnjenje dulje od mjesec dana od isteka roka za dostavu i Agenciju onemogućuje u provođenju efikasnog nadzora nad središnjom drugom ugovornom stranom</w:t>
      </w:r>
    </w:p>
    <w:p w14:paraId="16CC4626"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povjeri uzastopno osam i/ili više revizija godišnjih financijskih izvještaja istom revizoru, protivno članku 547. stavku 4. ovoga Zakona</w:t>
      </w:r>
    </w:p>
    <w:p w14:paraId="35ABD6E1"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ne izradi i/ili ne dostavi Agenciji nadzorne izvještaje iz članka 548. stavaka 1. do 3. ovoga Zakona, a na način kako je to propisano člankom 548. stavcima 3. do 5. ovoga Zakona kroz više izvještajnih razdoblja</w:t>
      </w:r>
    </w:p>
    <w:p w14:paraId="1C5F3C9F"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ne obavijesti Agenciju bez odgode o svakom incidentu koji ima značajan negativan učinak na sigurnost njezinih mrežnih i informacijskih sustava u skladu s člankom 548. stavkom 7. ovoga Zakona, a zbog kojeg je više od polovine ukupnog broja korisnika pogođeno prekidom obavljanja djelatnosti, isto je izazvalo potpuni prekid obavljanja djelatnosti na širem zemljopisnom području te ostale okolnosti koje su dovele ili mogle dovesti do teških poremećaja u sustavu poravnanja kojim središnja druga ugovorna strana upravlja</w:t>
      </w:r>
    </w:p>
    <w:p w14:paraId="0CA57329"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ne obavijesti Agenciju o prestanku mandata pojedinog člana uprave ili nadzornog odbora središnjeg depozitorija, u skladu s obvezom iz članka 570. stavka 5. ovoga Zakona, a u vezi s člankom 550. stavkom 5. ovoga Zakona</w:t>
      </w:r>
    </w:p>
    <w:p w14:paraId="423FA5BD"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ne osigura da zahtjev za izdavanje suglasnosti iz članka 573. stavka 2. ovoga Zakona bude podnesen najmanje tri mjeseca prije isteka mandata pojedinom članu uprave u skladu s člankom 573. stavkom 8. ovoga Zakona, a u vezi s člankom 550. stavkom 5. ovoga Zakona</w:t>
      </w:r>
    </w:p>
    <w:p w14:paraId="1EC62631"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ne osigura da novi zahtjev za izdavanje suglasnosti iz članka 573. stavka 2. ovoga Zakona bude podnesen najmanje 30 radnih dana od dana primitka obavijesti o ukidanju ili odbijanju izdavanja suglasnosti za imenovanje člana uprave u skladu s člankom 574. stavkom 6. ovoga Zakona, a u vezi s člankom 550. stavkom 5. ovoga Zakona</w:t>
      </w:r>
    </w:p>
    <w:p w14:paraId="32B3FA2C"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ne donese i/ili ne primjenjuje operativna pravila rada u skladu s člankom 551. stavkom 1. ovoga Zakona, pri čemu takvo postupanje ima ili može imati materijalni utjecaj na usklađenost središnje druge ugovorne strane s odredbama Uredbe (EU) br. 648/2012 ili je dovelo ili može dovesti do teških poremećaja u sustavu poravnanja kojim središnja druga ugovorna strana upravlja</w:t>
      </w:r>
    </w:p>
    <w:p w14:paraId="3D9131B1"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ne dostavi Agenciji operativna pravila rada i/ili njihove promjene, u skladu s člankom 566. stavkom 4. ovoga Zakona, a vezano za članak 551. stavak 2. ovoga Zakona</w:t>
      </w:r>
    </w:p>
    <w:p w14:paraId="062C26A0"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ne dostavi Agenciji prijedlog cjenika i/ili njegovih izmjena i dopuna u skladu s člankom 567. stavkom 4. ovoga Zakona, a vezano za članak 551. stavak 3. ovoga Zakona</w:t>
      </w:r>
    </w:p>
    <w:p w14:paraId="66D27B00"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ne usvoji plan oporavka, u skladu s člankom 555. stavcima 1. do 3. ovoga Zakona</w:t>
      </w:r>
    </w:p>
    <w:p w14:paraId="33C595A7"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13. ne donese interni akt kojim se pobliže propisuje postupak izrade, provedbe i ažuriranja plana oporavka iz članka 555. stavka 1. ovoga Zakona, protivno obvezi iz članka članka 556. ovoga Zakona</w:t>
      </w:r>
    </w:p>
    <w:p w14:paraId="3E0AFBAA"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ne provodi interni akt kojim se pobliže propisuje postupak izrade, provedbe i ažuriranja plana oporavka iz članka 555. stavka 1. ovoga Zakona, protivno obvezi iz članka 556. ovoga Zakona, pri čemu takvo postupanje ima ili može imati materijalni utjecaj na usklađenost središnje druge ugovorne strane s odredbama Uredbe (EU) br. 648/2012 ili je dovelo ili može dovesti do teških poremećaja u sustavu poravnanja kojim središnja druga ugovorna strana upravlja ili u velikom stupnju otežava mogućnost provođenja plana oporavka</w:t>
      </w:r>
    </w:p>
    <w:p w14:paraId="466573FC" w14:textId="77777777" w:rsidR="00030F67" w:rsidRPr="000479E9" w:rsidRDefault="00030F67" w:rsidP="00030F67">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15. ne dostavi Agenciji plan oporavka iz članka 555. stavka 1. ovoga Zakona ili njegove naknadne izmjene i dopune, u skladu s člankom 555. stavkom 4. ovoga Zakona</w:t>
      </w:r>
    </w:p>
    <w:p w14:paraId="3D1F7279"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16. ne omogući Agenciji obavljanje nadzora, u skladu s člankom 622. stavkom 1. ovoga Zakona, a vezano za članke 684. i 688. do 690. ovoga Zakona.</w:t>
      </w:r>
    </w:p>
    <w:p w14:paraId="7A776352"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Novčanom kaznom u iznosu od 1320,00 do 6630,00 eura kaznit će se za prekršaje iz stavka 1. ovoga članka i odgovorna osoba središnje druge ugovorne strane.</w:t>
      </w:r>
    </w:p>
    <w:p w14:paraId="512A390C"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5BDB6FBA" w14:textId="77777777" w:rsidR="00030F67" w:rsidRPr="000479E9" w:rsidRDefault="00030F67" w:rsidP="00030F67">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Ostali prekršaji središnje druge ugovorne strane</w:t>
      </w:r>
    </w:p>
    <w:p w14:paraId="0C5A21C4" w14:textId="34A27827" w:rsidR="00030F67" w:rsidRPr="000479E9" w:rsidRDefault="00030F67" w:rsidP="00030F67">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ab/>
        <w:t xml:space="preserve">Članak 718. </w:t>
      </w:r>
    </w:p>
    <w:p w14:paraId="57E837B9" w14:textId="77777777" w:rsidR="002B26AF" w:rsidRPr="000479E9" w:rsidRDefault="002B26AF" w:rsidP="00030F67">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78CE24F5"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Novčanom kaznom u iznosu od 6630,00 do 26.540,00 eura kaznit će se za prekršaj središnja druga ugovorna strana ako:</w:t>
      </w:r>
    </w:p>
    <w:p w14:paraId="176CB328"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ne postupi prema rješenju Agencije o izricanju mjera, u skladu s člankom 557. stavkom 2. ovoga Zakona, a takvo postupanje nema značaj iz članka 717. stavka 1. točke 1. ovoga Zakona</w:t>
      </w:r>
    </w:p>
    <w:p w14:paraId="4021CB97"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ne dostavi Agenciji godišnje financijske izvještaje ili godišnje izvješće ili revizijsko izvješće ili revizorski izvještaj o obavljenoj reviziji za potrebe Agencije, u roku propisanom člankom 547. ovoga Zakona, pri čemu takvo kašnjenje nema značaj iz članka 717. stavka 1. točke 2. ovoga Zakona</w:t>
      </w:r>
    </w:p>
    <w:p w14:paraId="6B8C3353"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ne obavijesti Agenciju o zaprimanju zahtjeva za pristup ili podnošenju zahtjeva za pristup, u skladu s člankom 546. ovoga Zakona</w:t>
      </w:r>
    </w:p>
    <w:p w14:paraId="7C99DE53"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ne obavijesti Agenciju bez odgode o svakom incidentu koji ima značajan negativan učinak na sigurnost njezinih mrežnih i informacijskih sustava u skladu s člankom 548. stavkom 7. ovoga Zakona, pri čemu takvo nepostupanje nema značaj iz članka 717. stavka 1. točke 5. ovoga Zakona</w:t>
      </w:r>
    </w:p>
    <w:p w14:paraId="35F31B00"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ne dostavi Agenciji jedan ili više nadzornih izvještaja u propisanom roku, u skladu s člankom 548. ovoga Zakona, pri čemu takvo kašnjenje nema značaj iz članka 717. stavka 1. točke 4. ovoga Zakona</w:t>
      </w:r>
    </w:p>
    <w:p w14:paraId="4A5FAAC9"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ne obavijesti Agenciju o prestanku mandata pojedinog člana uprave ili nadzornog odbora središnjeg depozitorija, u roku iz članka 570. stavka 5. ovoga Zakona, a u vezi s člankom 550. stavkom 5. ovoga Zakona</w:t>
      </w:r>
    </w:p>
    <w:p w14:paraId="5327CE6A"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7. članovima ne učini dostupnim prijedlog operativnih pravila rada ili njihovih izmjena i dopuna najmanje 30 dana prije njihova upućivanja Agenciji ili članove ne pozove na dostavu primjedbi i prijedloga, u skladu s člankom 551. stavkom 2. a u vezi s člankom 566. stavkom 2. ovoga Zakona</w:t>
      </w:r>
    </w:p>
    <w:p w14:paraId="392699D7"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ne dostavi Agenciji operativna pravila rada ili njihove promjene u roku iz članka 551. stavka 2. a u vezi s člankom 566. stavkom 4. ovoga Zakona, a takvo kašnjenje ima ili može imati utjecaja na mogućnost Agencije da, u skladu s člankom 566. stavcima 5. i 6., procijeni značajnost takvih izmjena operativnih pravila rada</w:t>
      </w:r>
    </w:p>
    <w:p w14:paraId="18E8A513"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ne objavi usvojena operativna pravila rada na svojim internetskim stranicama ili o njihovu donošenju ili promjeni pravodobno ne obavijesti članove, u skladu s člankom 551. stavkom 2. a u vezi s člankom 566. stavkom 10. ovoga Zakona</w:t>
      </w:r>
    </w:p>
    <w:p w14:paraId="301186D2" w14:textId="77777777"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prijedlog cjenika ili njegovih izmjena i dopuna ne učini dostupnim članovima, u skladu s člankom 551. stavkom 3. a u vezi s člankom 567. stavkom 4. ovoga Zakona.</w:t>
      </w:r>
    </w:p>
    <w:p w14:paraId="2B6DF39E" w14:textId="2110771A" w:rsidR="00030F67" w:rsidRPr="000479E9" w:rsidRDefault="00030F67" w:rsidP="00030F67">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(2) Novčanom kaznom u iznosu od 1320,00 do 6630,00 eura kaznit će se za prekršaj iz stavka 1. ovoga članka i odgovorna osoba središnje druge ugovorne strane.</w:t>
      </w:r>
    </w:p>
    <w:p w14:paraId="0FB5F5B8" w14:textId="77777777" w:rsidR="002B26AF" w:rsidRPr="000479E9" w:rsidRDefault="002B26AF" w:rsidP="00030F67">
      <w:pPr>
        <w:spacing w:beforeLines="30" w:before="72" w:afterLines="30" w:after="72" w:line="240" w:lineRule="auto"/>
        <w:jc w:val="both"/>
        <w:textAlignment w:val="baseline"/>
        <w:rPr>
          <w:rFonts w:ascii="Times New Roman" w:eastAsia="Times New Roman" w:hAnsi="Times New Roman" w:cs="Times New Roman"/>
          <w:iCs/>
          <w:sz w:val="24"/>
          <w:szCs w:val="24"/>
          <w:lang w:eastAsia="hr-HR"/>
        </w:rPr>
      </w:pPr>
    </w:p>
    <w:p w14:paraId="07EE000D" w14:textId="77777777" w:rsidR="009351EA" w:rsidRPr="000479E9" w:rsidRDefault="009351EA" w:rsidP="009351EA">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Teži prekršaji središnjeg depozitorija</w:t>
      </w:r>
    </w:p>
    <w:p w14:paraId="5084AB5E" w14:textId="34F1DB58" w:rsidR="009351EA" w:rsidRPr="000479E9" w:rsidRDefault="009351EA" w:rsidP="009351EA">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ab/>
        <w:t>Članak 720.</w:t>
      </w:r>
    </w:p>
    <w:p w14:paraId="3D788C4C" w14:textId="77777777" w:rsidR="002B26AF" w:rsidRPr="000479E9" w:rsidRDefault="002B26AF" w:rsidP="009351EA">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0CAF1B47"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Za prekršaj kaznit će se središnji depozitorij novčanom kaznom u iznosu koji je višekratnik broja 1.000, a koja ne može biti manja od 1 % ni veća od 5 % od ukupnog prihoda koji je ostvario u godini kada je počinjen prekršaj, utvrđenog na temelju godišnjih financijskih izvještaja izdavatelja za tu godinu, ako:</w:t>
      </w:r>
    </w:p>
    <w:p w14:paraId="34B63C60"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ne donese ili ne primjenjuje operativna pravila rada iz članka 566. stavka 1. ovoga Zakona, pri čemu takvo postupanje ima ili može imati materijalni utjecaj na usklađenost središnje druge ugovorne strane s odredbama Uredbe (EU) br. 909/2014 ili je dovelo ili može dovesti do teških poremećaja u sustavu namire kojim središnji depozitorij upravlja</w:t>
      </w:r>
    </w:p>
    <w:p w14:paraId="4E36F096"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ne dostavi Agenciji operativna pravila rada ili njihove promjene prije njihova usvajanja protivno obvezi iz članka 566. stavka 4. ovoga Zakona</w:t>
      </w:r>
    </w:p>
    <w:p w14:paraId="2CB88FCC"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prijedlog cjenika ili njegovih izmjena i dopuna ne dostavi Agenciji, protivno obvezi iz članka 567. stavka 4. ovoga Zakona</w:t>
      </w:r>
    </w:p>
    <w:p w14:paraId="3F714EC4"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ne obavještava izdavatelje nematerijaliziranih vrijednosnih papira, imatelje i sudionike, na način i u opsegu propisanom svojim operativnim pravilima, u skladu s člankom 569. stavkom 1. ovoga Zakona, zbog čega je za navedene subjekte nastupila šteta ili je izvjesno da će šteta nastupiti</w:t>
      </w:r>
    </w:p>
    <w:p w14:paraId="78E77DE1"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ne izradi ili uopće ne dostavi Agenciji godišnje financijske izvještaje ili godišnje izvješće ili revizorski izvještaj, u skladu s člankom 581. stavkom 1. ovoga Zakona ili navedene izvještaje Agenciji ne dostavi u roku propisanom člankom 581. stavkom 1. ovoga Zakona, pri čemu je takvo kašnjenje dulje od mjesec dana od isteka roka za dostavu i Agenciju onemogućuje u provođenju efikasnog nadzora nad središnjim depozitorijem</w:t>
      </w:r>
    </w:p>
    <w:p w14:paraId="63D52848"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6. povjeri uzastopno osam i/ili više revizija godišnjih financijskih izvještaja istom revizoru, protivno članku 581. stavku 4. ovoga Zakona</w:t>
      </w:r>
    </w:p>
    <w:p w14:paraId="037742A1"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ne omogući Agenciji obavljanje nadzora, u skladu s člankom 622. stavkom 2. ovoga Zakona, u vezi s člancima 684. i 688. do 690. ovoga Zakona</w:t>
      </w:r>
    </w:p>
    <w:p w14:paraId="1143C041"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ne postupi prema rješenju Agencije iz članka 582. stavka 1. ovoga Zakona, u skladu s člankom 582. stavkom 2. ovoga Zakona, a takvo (ne)postupanje ima ili može imati materijalni utjecaj na usklađenost središnjeg depozitorija s odredbama Uredbe (EU) br. 909/2014 ili je dovelo ili može dovesti do teških poremećaja u sustavu namire kojim središnji depozitorij upravlja</w:t>
      </w:r>
    </w:p>
    <w:p w14:paraId="6F334611"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ne izradi li ne dostavi Agenciji periodičke i statističke izvještaje iz članka 580. stavka 1. ovoga Zakona, a u skladu s pravilnikom iz članka 580. stavkom 4. ovoga Zakona, kroz više izvještajnih razdoblja</w:t>
      </w:r>
    </w:p>
    <w:p w14:paraId="1D13ECD2"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ne dostavi Agenciji podatke o ispunjavanju kapitalnih zahtjeva iz članka 580. stavka 3. ovoga Zakona, a u skladu s pravilnikom iz članka 580. stavkom 4. ovoga Zakona, kroz više izvještajnih razdoblja</w:t>
      </w:r>
    </w:p>
    <w:p w14:paraId="2070E478"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ne obavijesti Agenciju o prestanku mandata pojedinog člana uprave ili nadzornog odbora središnjeg depozitorija, protivno obvezi iz članka 570. stavka 5. ovoga Zakona</w:t>
      </w:r>
    </w:p>
    <w:p w14:paraId="25F9A191"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ne osigura da zahtjev za izdavanje suglasnosti iz članka 573. stavka 2. ovoga Zakona bude podnesen najmanje tri mjeseca prije isteka mandata pojedinom članu uprave u skladu s člankom 573. stavkom 8. ovoga Zakona</w:t>
      </w:r>
    </w:p>
    <w:p w14:paraId="74B80693"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ne osigura da novi zahtjev za izdavanje suglasnosti iz članka 573. stavka 2. ovoga Zakona bude podnesen najmanje 30 radnih dana od dana primitka obavijesti o ukidanju ili odbijanju izdavanja suglasnosti za imenovanje člana uprave u skladu s člankom 574. stavkom 6. ovoga Zakona.</w:t>
      </w:r>
    </w:p>
    <w:p w14:paraId="52E11981"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Iznimno od stavka 1. ovoga članka ako je iznos novčane kazne utvrđene na temelju stavka 1. ovoga članka manji od 66.360,00 eura, središnji depozitorij iz stavka 1. ovoga članka kaznit će se za prekršaj iz stavka 1. ovoga članka novčanom kaznom u iznosu od 66.360,00 do 132.720,00 eura.</w:t>
      </w:r>
    </w:p>
    <w:p w14:paraId="209C5D7B"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Iznimno od stavaka 1. i 2. ovoga članka, ako je središnji depozitorij iz stavka 1. ovoga članka prekršajem iz stavka 1. ovoga članka ostvario korist ili spriječio gubitak, a iznos tako ostvarene koristi ili spriječenog gubitka može se utvrditi, središnji depozitorij iz stavka 1. ovoga članka kaznit će se za prekršaj iz stavka 1. ovoga članka novčanom kaznom u iznosu dvostruko utvrđenog iznosa tako ostvarene koristi odnosno tako spriječenog gubitka, ako je taj iznos veći od propisanog najvećeg iznosa novčane kazne iz stavaka 1. i 2. ovoga članka.</w:t>
      </w:r>
    </w:p>
    <w:p w14:paraId="29BAF593"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Novčanom kaznom u iznosu od 6630,00 do 26.540,00 eura kaznit će se za prekršaje iz stavka 1. ovoga članka i odgovorna osoba središnjeg depozitorija.</w:t>
      </w:r>
    </w:p>
    <w:p w14:paraId="046BE398" w14:textId="77777777"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3A06F3DE" w14:textId="77777777" w:rsidR="009351EA" w:rsidRPr="000479E9" w:rsidRDefault="009351EA" w:rsidP="009351EA">
      <w:pPr>
        <w:spacing w:beforeLines="30" w:before="72" w:afterLines="30" w:after="72" w:line="240" w:lineRule="auto"/>
        <w:jc w:val="center"/>
        <w:textAlignment w:val="baseline"/>
        <w:rPr>
          <w:rFonts w:ascii="Times New Roman" w:eastAsia="Times New Roman" w:hAnsi="Times New Roman" w:cs="Times New Roman"/>
          <w:iCs/>
          <w:sz w:val="24"/>
          <w:szCs w:val="24"/>
          <w:lang w:eastAsia="hr-HR"/>
        </w:rPr>
      </w:pPr>
      <w:r w:rsidRPr="000479E9">
        <w:rPr>
          <w:rFonts w:ascii="Times New Roman" w:eastAsia="Times New Roman" w:hAnsi="Times New Roman" w:cs="Times New Roman"/>
          <w:iCs/>
          <w:sz w:val="24"/>
          <w:szCs w:val="24"/>
          <w:lang w:eastAsia="hr-HR"/>
        </w:rPr>
        <w:t>Lakši prekršaji središnjeg depozitorija</w:t>
      </w:r>
    </w:p>
    <w:p w14:paraId="37C66796" w14:textId="5C964717" w:rsidR="009351EA" w:rsidRPr="000479E9" w:rsidRDefault="009351EA" w:rsidP="009351EA">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ab/>
        <w:t>Članak 721.</w:t>
      </w:r>
    </w:p>
    <w:p w14:paraId="0C321746" w14:textId="77777777" w:rsidR="002B26AF" w:rsidRPr="000479E9" w:rsidRDefault="002B26AF" w:rsidP="009351EA">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5180BA76"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(1) Za prekršaj kaznit će se središnji depozitorij novčanom kaznom u iznosu od 6630,00 eura do najviše 26.540,00 eura ako:</w:t>
      </w:r>
    </w:p>
    <w:p w14:paraId="527E19F5"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ne dostavi Agenciji operativna pravila rada i/ili njihove promjene u roku iz članka 566. stavka 4. ovoga Zakona, a takvo kašnjenje ima ili može imati utjecaja na mogućnost Agencije da, u skladu s člankom 566. stavcima 5. i 6. ovoga Zakona, procijeni značajnost takvih izmjena operativnih pravila rada</w:t>
      </w:r>
    </w:p>
    <w:p w14:paraId="4AB6A4B8"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članovima ne učini dostupnim prijedlog operativnih pravila rada i/ili njihovih izmjena i dopuna najmanje 30 dana prije njihova upućivanja Agenciji i/ili članove ne pozove na dostavu primjedbi i prijedloga, u skladu s člankom 566. stavkom 2. ovoga Zakona</w:t>
      </w:r>
    </w:p>
    <w:p w14:paraId="5BDA0314"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ne objavi usvojena operativna pravila rada na svojoj internetskoj stranici i/ili o njihovu donošenju ili promjeni pravodobno ne obavijesti članove, u skladu s člankom 566. stavkom 9. ovoga Zakona</w:t>
      </w:r>
    </w:p>
    <w:p w14:paraId="55B5071B"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prijedlog cjenika i/ili njegovih izmjena i dopuna ne učini dostupnim članovima, u skladu s člankom 567. stavkom 4. ovoga Zakona</w:t>
      </w:r>
    </w:p>
    <w:p w14:paraId="1CDE85C8"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na svojoj internetskoj stranici ne objavi podatke u skladu s člankom 569. stavkom 2. ovoga Zakona</w:t>
      </w:r>
    </w:p>
    <w:p w14:paraId="1FBEFD82"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na svojoj internetskoj stranici ne objavi podatke u skladu s člankom 569. stavkom 4. ovoga Zakona</w:t>
      </w:r>
    </w:p>
    <w:p w14:paraId="7D103260"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na svojoj internetskoj stranici ne objavi i/ili ne obnavlja objavljene podatke u skladu s člankom 569. stavkom 5. ovoga Zakona</w:t>
      </w:r>
    </w:p>
    <w:p w14:paraId="71697805"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ne obavijesti Agenciju o prestanku mandata pojedinog člana uprave ili nadzornog odbora središnjeg depozitorija, u roku propisanom člankom 570. stavkom 5. ovoga Zakona</w:t>
      </w:r>
    </w:p>
    <w:p w14:paraId="762E4E6D"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w:t>
      </w:r>
      <w:r w:rsidRPr="000479E9">
        <w:rPr>
          <w:rFonts w:ascii="Times New Roman" w:hAnsi="Times New Roman" w:cs="Times New Roman"/>
          <w:sz w:val="24"/>
          <w:szCs w:val="24"/>
        </w:rPr>
        <w:t xml:space="preserve"> </w:t>
      </w:r>
      <w:r w:rsidRPr="000479E9">
        <w:rPr>
          <w:rFonts w:ascii="Times New Roman" w:eastAsia="Times New Roman" w:hAnsi="Times New Roman" w:cs="Times New Roman"/>
          <w:sz w:val="24"/>
          <w:szCs w:val="24"/>
          <w:lang w:eastAsia="hr-HR"/>
        </w:rPr>
        <w:t>ne obavijesti Agenciju o promjenama u kvalificiranom udjelu u središnjem depozitoriju u skladu s člankom 579. stavkom 8. ovoga Zakona</w:t>
      </w:r>
    </w:p>
    <w:p w14:paraId="69839A1D"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10. na svojoj internetskoj stranici ne objavi i/ili ne obnavlja podatke o imateljima kvalificiranog udjela odnosno o njihovim promjenama u skladu s člankom 579. stavkom 8. ovoga Zakona</w:t>
      </w:r>
    </w:p>
    <w:p w14:paraId="78BC47BD"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ne izradi i/ili ne dostavi Agenciji godišnje financijske izvještaje i/ili godišnje izvješće i/ili revizorski izvještaj, u roku propisanom člankom 581. stavkom 1. ovoga Zakona, pri čemu takvo kašnjenje nema značaj iz članka 720. stavka 1. točke 5. ovoga Zakona</w:t>
      </w:r>
    </w:p>
    <w:p w14:paraId="6A190B81"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ne postupi prema rješenju Agencije, u skladu s člankom 582. stavkom 2. ovoga Zakona, a takvo postupanje nema značaj iz članka 720. stavka 1. točke 8. ovoga Zakona</w:t>
      </w:r>
    </w:p>
    <w:p w14:paraId="5DDB38CA"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ne dostavi Agenciji jedan ili više podataka iz članka 580. stavka 1. ovoga Zakona, u propisanom roku, a u skladu s pravilnikom iz članka 580. stavkom 4. ovoga Zakona, pri čemu takvo kašnjenje nema značaj iz članka 720. stavka 1. točke 9. ovoga Zakona</w:t>
      </w:r>
    </w:p>
    <w:p w14:paraId="3E1E90EC" w14:textId="77777777" w:rsidR="009351EA" w:rsidRPr="000479E9" w:rsidRDefault="009351EA" w:rsidP="009351EA">
      <w:pPr>
        <w:shd w:val="clear" w:color="auto" w:fill="FFFFFF"/>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14. ne dostavi Agenciji podatke o ispunjavanju kapitalnih zahtjeva iz članka 580. stavka 3. ovoga Zakona, a u skladu s pravilnikom iz članka 580. stavkom 4. ovoga </w:t>
      </w:r>
      <w:r w:rsidRPr="000479E9">
        <w:rPr>
          <w:rFonts w:ascii="Times New Roman" w:eastAsia="Times New Roman" w:hAnsi="Times New Roman" w:cs="Times New Roman"/>
          <w:sz w:val="24"/>
          <w:szCs w:val="24"/>
          <w:lang w:eastAsia="hr-HR"/>
        </w:rPr>
        <w:lastRenderedPageBreak/>
        <w:t>Zakona, pri čemu takvo kašnjenje nema značaj iz članka 720. stavka 1. točke 9. ovoga Zakona.</w:t>
      </w:r>
    </w:p>
    <w:p w14:paraId="35AA8B05" w14:textId="41EDA6F5" w:rsidR="009351EA" w:rsidRPr="000479E9"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Novčanom kaznom u iznosu od 2650,00 do 26.540,00 eura kaznit će se za prekršaje iz stavka 1. ovoga članka i odgovorna osoba središnjeg depozitorija.</w:t>
      </w:r>
    </w:p>
    <w:p w14:paraId="552ACB83" w14:textId="77777777" w:rsidR="0071799E" w:rsidRPr="000479E9" w:rsidRDefault="0071799E" w:rsidP="00483C20">
      <w:pPr>
        <w:spacing w:beforeLines="30" w:before="72" w:afterLines="30" w:after="72" w:line="240" w:lineRule="auto"/>
        <w:jc w:val="center"/>
        <w:textAlignment w:val="baseline"/>
        <w:rPr>
          <w:rFonts w:ascii="Times New Roman" w:eastAsia="Times New Roman" w:hAnsi="Times New Roman" w:cs="Times New Roman"/>
          <w:sz w:val="24"/>
          <w:szCs w:val="24"/>
          <w:lang w:eastAsia="hr-HR"/>
        </w:rPr>
      </w:pPr>
    </w:p>
    <w:p w14:paraId="1B031AD0" w14:textId="77777777" w:rsidR="0071799E" w:rsidRPr="000479E9" w:rsidRDefault="0071799E" w:rsidP="00483C2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Prekršaji vezano za sanaciju središnjeg depozitorija</w:t>
      </w:r>
    </w:p>
    <w:p w14:paraId="6128674A" w14:textId="77777777" w:rsidR="0071799E" w:rsidRPr="000479E9" w:rsidRDefault="0071799E"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Članak 723.</w:t>
      </w:r>
    </w:p>
    <w:p w14:paraId="520DAD04" w14:textId="35E01E75"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Za prekršaj kaznit će se središnji depozitorij i središnji depozitorij u sanaciji novčanom kaznom u iznosu koji je višekratnik broja 1.000, a koja ne može biti manja od 1 % do ni veća od 5 % od ukupnog prihoda koji je ostvario u godini kada je počinjen prekršaj, utvrđenog na temelju godišnjih financijskih izvještaja izdavatelja za tu godinu:</w:t>
      </w:r>
    </w:p>
    <w:p w14:paraId="71B35A87"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ako ne izvrši mjere na način i u rokovima kako je to naloženo rješenjem Agencije čime postupa protivno članku 597. stavku 9. ovoga Zakona</w:t>
      </w:r>
    </w:p>
    <w:p w14:paraId="08A4D25A"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ako na zahtjev Agencije ne dostavi izvješća i informacije o svim pitanjima važnim za provođenje ovoga Zakona, čime postupa protivno članku 597. stavku 10. ovoga Zakona odnosno ne postupi u skladu s propisom iz članka 597. stavka 12. ovoga Zakona</w:t>
      </w:r>
    </w:p>
    <w:p w14:paraId="362669FD"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ako ne dostavi sve informacije potrebne za izradu, izmjenu i provedbu sanacijskog plana, čime postupa protivno članku 605. stavku 1. točki 1. ovoga Zakona, odnosno ako ne surađuje i ako ne pruži pomoć sanacijskom tijelu pri izradi i ažuriranju sanacijskog plana, čime postupa protivno članku 605. stavku 1. točki 2. ovoga Zakona</w:t>
      </w:r>
    </w:p>
    <w:p w14:paraId="7ABCD796"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propusti obavijestiti sanacijsko tijelu u skladu s člankom 605. stavkom 2. ovoga Zakona</w:t>
      </w:r>
    </w:p>
    <w:p w14:paraId="39A79D0A"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ako ne dostavi ili ne dostavi u roku iz članka 619. stavka 3. ovoga Zakona prijedlog mjera za rješavanje ili uklanjanje prepreka s rokovima za uklanjanje tih prepreka</w:t>
      </w:r>
    </w:p>
    <w:p w14:paraId="6E4052BC"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6. ako ne dostavi ili ne dostavi u roku iz članka 619. stavka 3. ovoga Zakona, plan za usklađivanje s mjerama naloženim rješenjem</w:t>
      </w:r>
    </w:p>
    <w:p w14:paraId="34B2E8CA"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7. ako ne otkloni prepreke mogućnosti provođenja stečajnog postupka odnosno sanacije institucije čime postupa suprotno članku 619. stavku 3. ovoga Zakona ili ako u propisanom roku ne dostavi plan za usklađenje s naloženim mjerama čime postupa suprotno članku 619. stavku 3. ovoga Zakona ili ne postupi po rješenju donesenom na temelju članka 619. stavka 3. ovoga Zakona</w:t>
      </w:r>
    </w:p>
    <w:p w14:paraId="4E9955D7"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8. ako središnji depozitorij suprotno članku 609. ovoga Zakona ne obavijesti Agenciju kada smatra da ispunjava neki od uvjeta iz članka 606. stavka 1. ovoga Zakona</w:t>
      </w:r>
    </w:p>
    <w:p w14:paraId="6B7EE561"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9. ako središnji depozitorij ne izradi plan reorganizacije poslovanja čime postupa suprotno članku 619. stavku 1. ovoga Zakona ili ako dostavljeni plan reorganizacije nema propisani sadržaj čime postupa suprotno članku 619. stavku 1. ovoga Zakona</w:t>
      </w:r>
    </w:p>
    <w:p w14:paraId="7E32B6FE"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 xml:space="preserve">10. ako središnji depozitorij suprotno članku 619. stavku 1. ovoga Zakona ne osigura da ugovor sadrži odredbu da obveza koja proizlazi iz tog ugovornog odnosa može biti predmet smanjenja vrijednosti ili pretvaranja te da vjerovnik ili druga ugovorna </w:t>
      </w:r>
      <w:r w:rsidRPr="000479E9">
        <w:rPr>
          <w:rFonts w:ascii="Times New Roman" w:eastAsia="Times New Roman" w:hAnsi="Times New Roman" w:cs="Times New Roman"/>
          <w:sz w:val="24"/>
          <w:szCs w:val="24"/>
          <w:lang w:eastAsia="hr-HR"/>
        </w:rPr>
        <w:lastRenderedPageBreak/>
        <w:t>strana pristaje na smanjenje glavnice i nepodmirenog iznosa, pretvaranje ili poništenje te obveze u slučaju primjene instrumenta unutarnje sanacije</w:t>
      </w:r>
    </w:p>
    <w:p w14:paraId="7AA318BE"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11. ako središnji depozitorij ili bilo koja članica iste grupe ne postupi po zahtjevu Agencije iz članka 619. stavka 1. ovoga Zakona</w:t>
      </w:r>
    </w:p>
    <w:p w14:paraId="5DF93592"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12. ako središnji depozitorij ne postupi po rješenju donesenom na temelju članka 619. stavka 3. ovoga Zakona</w:t>
      </w:r>
    </w:p>
    <w:p w14:paraId="3C890851"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13. ako središnji depozitorij na svojim internetskim stranicama ne objavi odluku o otvaranju postupka sanacije, čime postupa suprotno članku 607. stavku 2. ovoga Zakona</w:t>
      </w:r>
    </w:p>
    <w:p w14:paraId="7010E2F0"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14. ako središnji depozitorij na svojim internetskim stranicama ne objavi sve naknadne odluke kojima se provodi odluka o otvaranju postupka sanacije, čime postupa suprotno članku 607. stavku 2. ovoga Zakona.</w:t>
      </w:r>
    </w:p>
    <w:p w14:paraId="52DF1762"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Iznimno od stavka 1. ovoga članka ako je iznos novčane kazne utvrđene na temelju stavka 1. ovoga članka manji od 66.360,00 eura, središnji depozitorij i središnji depozitorij u sanaciji iz stavka 1. ovoga članka kaznit će se za prekršaj iz stavka 1. ovoga članka novčanom kaznom u iznosu od 66.360,00 do 132.720,00 eura.</w:t>
      </w:r>
    </w:p>
    <w:p w14:paraId="5390F0BA"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(3) Iznimno od stavaka 1. i 2. ovoga članka, ako je središnji depozitorij i središnji depozitorij u sanaciji iz stavka 1. ovoga članka prekršajem iz stavka 1. ovoga članka ostvario korist ili spriječio gubitak, a iznos tako ostvarene koristi ili spriječenog gubitka može se utvrditi, središnji depozitorij i središnji depozitorij u sanaciji iz stavka 1. ovoga članka kaznit će se za prekršaj iz stavka 1. ovoga članka novčanom kaznom u iznosu dvostruko utvrđenog iznosa tako ostvarene koristi odnosno tako spriječenog gubitka, ako je taj iznos veći od propisanog najvećeg iznosa novčane kazne iz stavaka 1. i 2. ovoga članka.</w:t>
      </w:r>
    </w:p>
    <w:p w14:paraId="7A6FFF83"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Za prekršaj iz stavka 1. ovoga članka kaznit će se i odgovorna osoba iz uprave središnjeg depozitorija novčanom kaznom u iznosu od 1320,00 do 13.270,00 eura.</w:t>
      </w:r>
    </w:p>
    <w:p w14:paraId="35AA2CAB"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(5) Za prekršaj iz stavka 1. ovoga članka kaznit će se i odgovorna osoba iz sanacijske uprave središnjeg depozitorija u sanaciji novčanom kaznom u iznosu od 1320,00 do 6630,00 eura.</w:t>
      </w:r>
    </w:p>
    <w:p w14:paraId="24691F3D" w14:textId="77777777" w:rsidR="0071799E" w:rsidRPr="000479E9" w:rsidRDefault="0071799E" w:rsidP="00483C2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p>
    <w:p w14:paraId="5C805B22" w14:textId="44BD1205" w:rsidR="0071799E" w:rsidRPr="000479E9" w:rsidRDefault="0071799E" w:rsidP="00483C20">
      <w:pPr>
        <w:spacing w:beforeLines="30" w:before="72" w:afterLines="30" w:after="72" w:line="240" w:lineRule="auto"/>
        <w:jc w:val="center"/>
        <w:textAlignment w:val="baseline"/>
        <w:rPr>
          <w:rFonts w:ascii="Times New Roman" w:eastAsia="Times New Roman" w:hAnsi="Times New Roman" w:cs="Times New Roman"/>
          <w:bCs/>
          <w:iCs/>
          <w:sz w:val="24"/>
          <w:szCs w:val="24"/>
          <w:lang w:eastAsia="hr-HR"/>
        </w:rPr>
      </w:pPr>
      <w:r w:rsidRPr="000479E9">
        <w:rPr>
          <w:rFonts w:ascii="Times New Roman" w:eastAsia="Times New Roman" w:hAnsi="Times New Roman" w:cs="Times New Roman"/>
          <w:bCs/>
          <w:iCs/>
          <w:sz w:val="24"/>
          <w:szCs w:val="24"/>
          <w:lang w:eastAsia="hr-HR"/>
        </w:rPr>
        <w:t>Prekršaji drugih osoba vezano za sanaciju središnjeg depozitorija</w:t>
      </w:r>
    </w:p>
    <w:p w14:paraId="43351E56" w14:textId="77777777" w:rsidR="0071799E" w:rsidRPr="000479E9" w:rsidRDefault="0071799E" w:rsidP="00483C20">
      <w:pPr>
        <w:spacing w:beforeLines="30" w:before="72" w:afterLines="30" w:after="72" w:line="240" w:lineRule="auto"/>
        <w:jc w:val="center"/>
        <w:textAlignment w:val="baseline"/>
        <w:rPr>
          <w:rFonts w:ascii="Times New Roman" w:eastAsia="Times New Roman" w:hAnsi="Times New Roman" w:cs="Times New Roman"/>
          <w:bCs/>
          <w:sz w:val="24"/>
          <w:szCs w:val="24"/>
          <w:lang w:eastAsia="hr-HR"/>
        </w:rPr>
      </w:pPr>
      <w:r w:rsidRPr="000479E9">
        <w:rPr>
          <w:rFonts w:ascii="Times New Roman" w:eastAsia="Times New Roman" w:hAnsi="Times New Roman" w:cs="Times New Roman"/>
          <w:bCs/>
          <w:sz w:val="24"/>
          <w:szCs w:val="24"/>
          <w:lang w:eastAsia="hr-HR"/>
        </w:rPr>
        <w:t>Članak 724.</w:t>
      </w:r>
    </w:p>
    <w:p w14:paraId="45FFB5F9" w14:textId="43F049AE"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7DF4F21C"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Za prekršaj kaznit će se neovisni procjenitelj kaznom u iznosu od 1320,00 do 13.270,00 eura:</w:t>
      </w:r>
    </w:p>
    <w:p w14:paraId="38F92883"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ako ne izvrši procjenu vrijednosti imovine i obveza središnjeg depozitorija pošteno, oprezno ili realistično čime postupa protivno članku 619. stavku 1. ovoga Zakona</w:t>
      </w:r>
    </w:p>
    <w:p w14:paraId="49940BAC"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ako ne izradi izvješće o procjeni vrijednosti imovine i obveza središnjeg depozitorija koje sadrži sve propisane elemente, čime postupa protivno članku 619. stavku 1. ovoga Zakona</w:t>
      </w:r>
    </w:p>
    <w:p w14:paraId="4F909668"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lastRenderedPageBreak/>
        <w:t>3. ako ne provede naknadnu procjenu vrijednosti imovine i obveza središnjeg depozitorija na način iz članka 619. stavka 1. ovoga Zakona i</w:t>
      </w:r>
    </w:p>
    <w:p w14:paraId="78E6F436"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4. ako procjena vrijednosti imovine i obveza središnjeg depozitorija koja je provedena na temelju članka 620. ovoga Zakona ne sadrži sve elemente propisane člankom 620. stavkom 3. ovoga Zakona ili ako ta procjena vrijednosti nije utemeljena na pretpostavkama iz članka 620. stavka 4. ovoga Zakona.</w:t>
      </w:r>
    </w:p>
    <w:p w14:paraId="4F33B30D"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Za prekršaj kaznit će se dotadašnji član uprave središnjeg depozitorija ili druga ovlaštena osoba s posebnim ovlaštenjima i odgovornostima u središnjem depozitoriju kaznom u iznosu od 1320,00 do 13.270,00 eura ako:</w:t>
      </w:r>
    </w:p>
    <w:p w14:paraId="0D68E83F" w14:textId="77777777" w:rsidR="0071799E" w:rsidRPr="000479E9"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1. sanacijskoj upravi i pomoćnicima sanacijske uprave odmah ne omogući pristup cjelokupnoj poslovnoj i ostaloj dokumentaciji središnjeg depozitorija ili ne sastavi izvješće o primopredaji poslovanja, čime postupa protivno članku 618. stavku 1. ovoga Zakona i</w:t>
      </w:r>
    </w:p>
    <w:p w14:paraId="0CA2694B" w14:textId="77777777" w:rsidR="0071799E" w:rsidRPr="00AD744C" w:rsidRDefault="0071799E" w:rsidP="0071799E">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r w:rsidRPr="000479E9">
        <w:rPr>
          <w:rFonts w:ascii="Times New Roman" w:eastAsia="Times New Roman" w:hAnsi="Times New Roman" w:cs="Times New Roman"/>
          <w:sz w:val="24"/>
          <w:szCs w:val="24"/>
          <w:lang w:eastAsia="hr-HR"/>
        </w:rPr>
        <w:t>2. sanacijskoj upravi ili pojedinom članu sanacijske uprave ne daju sva zatražena obrazloženja ili dodatna izvješća o poslovanju središnjeg depozitorija čime postupa protivno članku 618. stavku 2. ovoga Zakona.</w:t>
      </w:r>
    </w:p>
    <w:p w14:paraId="6AA41E1F" w14:textId="77777777" w:rsidR="009351EA" w:rsidRPr="00AD744C" w:rsidRDefault="009351EA" w:rsidP="009351EA">
      <w:pPr>
        <w:spacing w:beforeLines="30" w:before="72" w:afterLines="30" w:after="72" w:line="240" w:lineRule="auto"/>
        <w:jc w:val="both"/>
        <w:textAlignment w:val="baseline"/>
        <w:rPr>
          <w:rFonts w:ascii="Times New Roman" w:eastAsia="Times New Roman" w:hAnsi="Times New Roman" w:cs="Times New Roman"/>
          <w:sz w:val="24"/>
          <w:szCs w:val="24"/>
          <w:lang w:eastAsia="hr-HR"/>
        </w:rPr>
      </w:pPr>
    </w:p>
    <w:p w14:paraId="26FCD116" w14:textId="24FD0A0E" w:rsidR="00BC77B6" w:rsidRPr="00AD744C" w:rsidRDefault="00BC77B6" w:rsidP="004C1002">
      <w:pPr>
        <w:spacing w:after="0" w:line="240" w:lineRule="auto"/>
        <w:jc w:val="center"/>
        <w:rPr>
          <w:rFonts w:ascii="Times New Roman" w:hAnsi="Times New Roman" w:cs="Times New Roman"/>
          <w:sz w:val="24"/>
          <w:szCs w:val="24"/>
        </w:rPr>
      </w:pPr>
    </w:p>
    <w:sectPr w:rsidR="00BC77B6" w:rsidRPr="00AD744C" w:rsidSect="00286452">
      <w:footerReference w:type="default" r:id="rId13"/>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AA5ADF" w16cid:durableId="51AA5ADF"/>
  <w16cid:commentId w16cid:paraId="4CAE6C0E" w16cid:durableId="4CAE6C0E"/>
  <w16cid:commentId w16cid:paraId="18F569DE" w16cid:durableId="18F569DE"/>
  <w16cid:commentId w16cid:paraId="4796D80D" w16cid:durableId="4796D80D"/>
  <w16cid:commentId w16cid:paraId="1B8FAF34" w16cid:durableId="1B8FAF34"/>
  <w16cid:commentId w16cid:paraId="66E1D758" w16cid:durableId="66E1D758"/>
  <w16cid:commentId w16cid:paraId="1EAC4A76" w16cid:durableId="1EAC4A7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CC544" w14:textId="77777777" w:rsidR="002B7B1A" w:rsidRDefault="002B7B1A" w:rsidP="001A5730">
      <w:pPr>
        <w:spacing w:after="0" w:line="240" w:lineRule="auto"/>
      </w:pPr>
      <w:r>
        <w:separator/>
      </w:r>
    </w:p>
  </w:endnote>
  <w:endnote w:type="continuationSeparator" w:id="0">
    <w:p w14:paraId="48B11FC6" w14:textId="77777777" w:rsidR="002B7B1A" w:rsidRDefault="002B7B1A" w:rsidP="001A5730">
      <w:pPr>
        <w:spacing w:after="0" w:line="240" w:lineRule="auto"/>
      </w:pPr>
      <w:r>
        <w:continuationSeparator/>
      </w:r>
    </w:p>
  </w:endnote>
  <w:endnote w:type="continuationNotice" w:id="1">
    <w:p w14:paraId="434048DD" w14:textId="77777777" w:rsidR="002B7B1A" w:rsidRDefault="002B7B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454368"/>
      <w:docPartObj>
        <w:docPartGallery w:val="Page Numbers (Bottom of Page)"/>
        <w:docPartUnique/>
      </w:docPartObj>
    </w:sdtPr>
    <w:sdtEndPr/>
    <w:sdtContent>
      <w:p w14:paraId="20B07FBD" w14:textId="431062AE" w:rsidR="005D50EE" w:rsidRDefault="005D50EE">
        <w:pPr>
          <w:pStyle w:val="Footer"/>
          <w:jc w:val="center"/>
        </w:pPr>
        <w:r w:rsidRPr="00747303">
          <w:rPr>
            <w:rFonts w:ascii="Times New Roman" w:hAnsi="Times New Roman" w:cs="Times New Roman"/>
            <w:sz w:val="24"/>
            <w:szCs w:val="24"/>
          </w:rPr>
          <w:fldChar w:fldCharType="begin"/>
        </w:r>
        <w:r w:rsidRPr="00747303">
          <w:rPr>
            <w:rFonts w:ascii="Times New Roman" w:hAnsi="Times New Roman" w:cs="Times New Roman"/>
            <w:sz w:val="24"/>
            <w:szCs w:val="24"/>
          </w:rPr>
          <w:instrText>PAGE   \* MERGEFORMAT</w:instrText>
        </w:r>
        <w:r w:rsidRPr="00747303">
          <w:rPr>
            <w:rFonts w:ascii="Times New Roman" w:hAnsi="Times New Roman" w:cs="Times New Roman"/>
            <w:sz w:val="24"/>
            <w:szCs w:val="24"/>
          </w:rPr>
          <w:fldChar w:fldCharType="separate"/>
        </w:r>
        <w:r w:rsidR="00165910">
          <w:rPr>
            <w:rFonts w:ascii="Times New Roman" w:hAnsi="Times New Roman" w:cs="Times New Roman"/>
            <w:noProof/>
            <w:sz w:val="24"/>
            <w:szCs w:val="24"/>
          </w:rPr>
          <w:t>10</w:t>
        </w:r>
        <w:r w:rsidRPr="00747303">
          <w:rPr>
            <w:rFonts w:ascii="Times New Roman" w:hAnsi="Times New Roman" w:cs="Times New Roman"/>
            <w:sz w:val="24"/>
            <w:szCs w:val="24"/>
          </w:rPr>
          <w:fldChar w:fldCharType="end"/>
        </w:r>
      </w:p>
    </w:sdtContent>
  </w:sdt>
  <w:p w14:paraId="50B6BC2A" w14:textId="77777777" w:rsidR="005D50EE" w:rsidRDefault="005D5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A0CAD" w14:textId="77777777" w:rsidR="002B7B1A" w:rsidRDefault="002B7B1A" w:rsidP="001A5730">
      <w:pPr>
        <w:spacing w:after="0" w:line="240" w:lineRule="auto"/>
      </w:pPr>
      <w:r>
        <w:separator/>
      </w:r>
    </w:p>
  </w:footnote>
  <w:footnote w:type="continuationSeparator" w:id="0">
    <w:p w14:paraId="5E1758E9" w14:textId="77777777" w:rsidR="002B7B1A" w:rsidRDefault="002B7B1A" w:rsidP="001A5730">
      <w:pPr>
        <w:spacing w:after="0" w:line="240" w:lineRule="auto"/>
      </w:pPr>
      <w:r>
        <w:continuationSeparator/>
      </w:r>
    </w:p>
  </w:footnote>
  <w:footnote w:type="continuationNotice" w:id="1">
    <w:p w14:paraId="5BEB3885" w14:textId="77777777" w:rsidR="002B7B1A" w:rsidRDefault="002B7B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1AE2"/>
    <w:multiLevelType w:val="multilevel"/>
    <w:tmpl w:val="EF983BB0"/>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F46F4"/>
    <w:multiLevelType w:val="multilevel"/>
    <w:tmpl w:val="9716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A44E25"/>
    <w:multiLevelType w:val="hybridMultilevel"/>
    <w:tmpl w:val="D730F1F0"/>
    <w:lvl w:ilvl="0" w:tplc="76D2EE4E">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11755AEE"/>
    <w:multiLevelType w:val="multilevel"/>
    <w:tmpl w:val="6A10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12579B"/>
    <w:multiLevelType w:val="multilevel"/>
    <w:tmpl w:val="3EDAA740"/>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10985"/>
    <w:multiLevelType w:val="multilevel"/>
    <w:tmpl w:val="B2A4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12DF9"/>
    <w:multiLevelType w:val="hybridMultilevel"/>
    <w:tmpl w:val="445CC998"/>
    <w:lvl w:ilvl="0" w:tplc="2726256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6850180"/>
    <w:multiLevelType w:val="multilevel"/>
    <w:tmpl w:val="66B4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A46FBD"/>
    <w:multiLevelType w:val="multilevel"/>
    <w:tmpl w:val="CA48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71674D"/>
    <w:multiLevelType w:val="hybridMultilevel"/>
    <w:tmpl w:val="C1FEADE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41022BCA"/>
    <w:multiLevelType w:val="multilevel"/>
    <w:tmpl w:val="35FEC928"/>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094DFC"/>
    <w:multiLevelType w:val="multilevel"/>
    <w:tmpl w:val="E38E7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5743C4"/>
    <w:multiLevelType w:val="hybridMultilevel"/>
    <w:tmpl w:val="F5A09F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E781D37"/>
    <w:multiLevelType w:val="hybridMultilevel"/>
    <w:tmpl w:val="EF30C02A"/>
    <w:lvl w:ilvl="0" w:tplc="20EC52E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133512A"/>
    <w:multiLevelType w:val="hybridMultilevel"/>
    <w:tmpl w:val="DC182CF2"/>
    <w:lvl w:ilvl="0" w:tplc="20EC52E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44B0877"/>
    <w:multiLevelType w:val="multilevel"/>
    <w:tmpl w:val="B79E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424349"/>
    <w:multiLevelType w:val="multilevel"/>
    <w:tmpl w:val="F06C02C8"/>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912BEC"/>
    <w:multiLevelType w:val="multilevel"/>
    <w:tmpl w:val="4F1E9B68"/>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D82607"/>
    <w:multiLevelType w:val="hybridMultilevel"/>
    <w:tmpl w:val="60EE0112"/>
    <w:lvl w:ilvl="0" w:tplc="A81E1358">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4"/>
  </w:num>
  <w:num w:numId="2">
    <w:abstractNumId w:val="13"/>
  </w:num>
  <w:num w:numId="3">
    <w:abstractNumId w:val="16"/>
  </w:num>
  <w:num w:numId="4">
    <w:abstractNumId w:val="17"/>
  </w:num>
  <w:num w:numId="5">
    <w:abstractNumId w:val="0"/>
  </w:num>
  <w:num w:numId="6">
    <w:abstractNumId w:val="10"/>
  </w:num>
  <w:num w:numId="7">
    <w:abstractNumId w:val="4"/>
  </w:num>
  <w:num w:numId="8">
    <w:abstractNumId w:val="1"/>
  </w:num>
  <w:num w:numId="9">
    <w:abstractNumId w:val="15"/>
  </w:num>
  <w:num w:numId="10">
    <w:abstractNumId w:val="3"/>
  </w:num>
  <w:num w:numId="11">
    <w:abstractNumId w:val="8"/>
  </w:num>
  <w:num w:numId="12">
    <w:abstractNumId w:val="7"/>
  </w:num>
  <w:num w:numId="13">
    <w:abstractNumId w:val="5"/>
  </w:num>
  <w:num w:numId="14">
    <w:abstractNumId w:val="6"/>
  </w:num>
  <w:num w:numId="15">
    <w:abstractNumId w:val="2"/>
  </w:num>
  <w:num w:numId="16">
    <w:abstractNumId w:val="11"/>
  </w:num>
  <w:num w:numId="17">
    <w:abstractNumId w:val="9"/>
  </w:num>
  <w:num w:numId="18">
    <w:abstractNumId w:val="12"/>
  </w:num>
  <w:num w:numId="19">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BE0"/>
    <w:rsid w:val="00000316"/>
    <w:rsid w:val="0000058B"/>
    <w:rsid w:val="00000902"/>
    <w:rsid w:val="00000C1B"/>
    <w:rsid w:val="000010A6"/>
    <w:rsid w:val="000015BB"/>
    <w:rsid w:val="00001C59"/>
    <w:rsid w:val="000020FF"/>
    <w:rsid w:val="00002316"/>
    <w:rsid w:val="00002BBA"/>
    <w:rsid w:val="00002E7A"/>
    <w:rsid w:val="0000315A"/>
    <w:rsid w:val="00003842"/>
    <w:rsid w:val="000038D7"/>
    <w:rsid w:val="00003BDB"/>
    <w:rsid w:val="00003C80"/>
    <w:rsid w:val="00003C85"/>
    <w:rsid w:val="0000515D"/>
    <w:rsid w:val="00005658"/>
    <w:rsid w:val="00005CC6"/>
    <w:rsid w:val="00005D9C"/>
    <w:rsid w:val="00005F1F"/>
    <w:rsid w:val="00006250"/>
    <w:rsid w:val="0000651E"/>
    <w:rsid w:val="000069F3"/>
    <w:rsid w:val="0000704F"/>
    <w:rsid w:val="000073A7"/>
    <w:rsid w:val="000105D5"/>
    <w:rsid w:val="000108C7"/>
    <w:rsid w:val="000115B3"/>
    <w:rsid w:val="00011804"/>
    <w:rsid w:val="000118B1"/>
    <w:rsid w:val="00011D7F"/>
    <w:rsid w:val="0001233A"/>
    <w:rsid w:val="00012C48"/>
    <w:rsid w:val="00013216"/>
    <w:rsid w:val="000137C8"/>
    <w:rsid w:val="00013888"/>
    <w:rsid w:val="00013C71"/>
    <w:rsid w:val="00014ADC"/>
    <w:rsid w:val="0001542E"/>
    <w:rsid w:val="000156B3"/>
    <w:rsid w:val="00015852"/>
    <w:rsid w:val="000158B1"/>
    <w:rsid w:val="00016277"/>
    <w:rsid w:val="0001631F"/>
    <w:rsid w:val="0001674A"/>
    <w:rsid w:val="00016FD6"/>
    <w:rsid w:val="000171AE"/>
    <w:rsid w:val="000176E0"/>
    <w:rsid w:val="00017B35"/>
    <w:rsid w:val="00017BAB"/>
    <w:rsid w:val="00017BB1"/>
    <w:rsid w:val="00017D1A"/>
    <w:rsid w:val="00021625"/>
    <w:rsid w:val="000219FB"/>
    <w:rsid w:val="0002266D"/>
    <w:rsid w:val="000228FA"/>
    <w:rsid w:val="00022EC7"/>
    <w:rsid w:val="000233DE"/>
    <w:rsid w:val="000237EC"/>
    <w:rsid w:val="000241CA"/>
    <w:rsid w:val="000242FF"/>
    <w:rsid w:val="00024856"/>
    <w:rsid w:val="00024ACA"/>
    <w:rsid w:val="00024CBA"/>
    <w:rsid w:val="00024E94"/>
    <w:rsid w:val="00025205"/>
    <w:rsid w:val="00025A27"/>
    <w:rsid w:val="0002641C"/>
    <w:rsid w:val="00026585"/>
    <w:rsid w:val="000265E0"/>
    <w:rsid w:val="0002682B"/>
    <w:rsid w:val="00027525"/>
    <w:rsid w:val="00027556"/>
    <w:rsid w:val="00027D49"/>
    <w:rsid w:val="000302EF"/>
    <w:rsid w:val="0003071A"/>
    <w:rsid w:val="00030F67"/>
    <w:rsid w:val="00031C7E"/>
    <w:rsid w:val="00031FC4"/>
    <w:rsid w:val="0003225B"/>
    <w:rsid w:val="000322FC"/>
    <w:rsid w:val="0003231E"/>
    <w:rsid w:val="000325EA"/>
    <w:rsid w:val="00032671"/>
    <w:rsid w:val="00033552"/>
    <w:rsid w:val="00033A38"/>
    <w:rsid w:val="000344A7"/>
    <w:rsid w:val="00034D12"/>
    <w:rsid w:val="00035283"/>
    <w:rsid w:val="00036488"/>
    <w:rsid w:val="000368AE"/>
    <w:rsid w:val="00037109"/>
    <w:rsid w:val="000371CE"/>
    <w:rsid w:val="00037276"/>
    <w:rsid w:val="000377CD"/>
    <w:rsid w:val="00040019"/>
    <w:rsid w:val="000405EF"/>
    <w:rsid w:val="00040B78"/>
    <w:rsid w:val="00040C31"/>
    <w:rsid w:val="00040E1C"/>
    <w:rsid w:val="00041102"/>
    <w:rsid w:val="000419E7"/>
    <w:rsid w:val="00042063"/>
    <w:rsid w:val="00042112"/>
    <w:rsid w:val="00042958"/>
    <w:rsid w:val="00042BBF"/>
    <w:rsid w:val="00042BE0"/>
    <w:rsid w:val="0004327C"/>
    <w:rsid w:val="0004350F"/>
    <w:rsid w:val="00043671"/>
    <w:rsid w:val="00044308"/>
    <w:rsid w:val="000447B2"/>
    <w:rsid w:val="0004486D"/>
    <w:rsid w:val="000459D0"/>
    <w:rsid w:val="00045AF2"/>
    <w:rsid w:val="00045FF6"/>
    <w:rsid w:val="00046170"/>
    <w:rsid w:val="000462F7"/>
    <w:rsid w:val="0004650B"/>
    <w:rsid w:val="0004671E"/>
    <w:rsid w:val="000479E9"/>
    <w:rsid w:val="000504AC"/>
    <w:rsid w:val="00050A19"/>
    <w:rsid w:val="00050C0B"/>
    <w:rsid w:val="000510B4"/>
    <w:rsid w:val="0005152B"/>
    <w:rsid w:val="00051D07"/>
    <w:rsid w:val="0005273C"/>
    <w:rsid w:val="0005289D"/>
    <w:rsid w:val="0005344B"/>
    <w:rsid w:val="00053AE4"/>
    <w:rsid w:val="00053B8D"/>
    <w:rsid w:val="00054180"/>
    <w:rsid w:val="000545F0"/>
    <w:rsid w:val="000559BC"/>
    <w:rsid w:val="00055A9C"/>
    <w:rsid w:val="00055F9F"/>
    <w:rsid w:val="0005698D"/>
    <w:rsid w:val="0005762C"/>
    <w:rsid w:val="00061389"/>
    <w:rsid w:val="00061AEC"/>
    <w:rsid w:val="000622B3"/>
    <w:rsid w:val="00063F0A"/>
    <w:rsid w:val="00064752"/>
    <w:rsid w:val="00065C86"/>
    <w:rsid w:val="00066112"/>
    <w:rsid w:val="00066200"/>
    <w:rsid w:val="0006640A"/>
    <w:rsid w:val="00066A18"/>
    <w:rsid w:val="000670F7"/>
    <w:rsid w:val="00067120"/>
    <w:rsid w:val="0006765E"/>
    <w:rsid w:val="000676EB"/>
    <w:rsid w:val="00067959"/>
    <w:rsid w:val="0007048B"/>
    <w:rsid w:val="00070824"/>
    <w:rsid w:val="00070A3C"/>
    <w:rsid w:val="00070BF1"/>
    <w:rsid w:val="00070DBB"/>
    <w:rsid w:val="00070EEC"/>
    <w:rsid w:val="000712D1"/>
    <w:rsid w:val="000716CA"/>
    <w:rsid w:val="00071C5C"/>
    <w:rsid w:val="0007343D"/>
    <w:rsid w:val="00073A42"/>
    <w:rsid w:val="000758B2"/>
    <w:rsid w:val="0007780F"/>
    <w:rsid w:val="00077CCB"/>
    <w:rsid w:val="000808EA"/>
    <w:rsid w:val="00080F81"/>
    <w:rsid w:val="00081229"/>
    <w:rsid w:val="00081995"/>
    <w:rsid w:val="00083190"/>
    <w:rsid w:val="000839F2"/>
    <w:rsid w:val="00083B3E"/>
    <w:rsid w:val="00084347"/>
    <w:rsid w:val="000848D4"/>
    <w:rsid w:val="0008527F"/>
    <w:rsid w:val="00085777"/>
    <w:rsid w:val="00085995"/>
    <w:rsid w:val="00085A0A"/>
    <w:rsid w:val="00085B3B"/>
    <w:rsid w:val="00085C4B"/>
    <w:rsid w:val="00085C73"/>
    <w:rsid w:val="00085D54"/>
    <w:rsid w:val="00086211"/>
    <w:rsid w:val="00086634"/>
    <w:rsid w:val="000871D9"/>
    <w:rsid w:val="000872A0"/>
    <w:rsid w:val="0008736A"/>
    <w:rsid w:val="000906D0"/>
    <w:rsid w:val="00090ABC"/>
    <w:rsid w:val="00090FF2"/>
    <w:rsid w:val="00092198"/>
    <w:rsid w:val="0009291D"/>
    <w:rsid w:val="00092DD4"/>
    <w:rsid w:val="00093404"/>
    <w:rsid w:val="0009388B"/>
    <w:rsid w:val="00093E51"/>
    <w:rsid w:val="00094243"/>
    <w:rsid w:val="000949E0"/>
    <w:rsid w:val="00095043"/>
    <w:rsid w:val="000955B2"/>
    <w:rsid w:val="0009563B"/>
    <w:rsid w:val="000963B2"/>
    <w:rsid w:val="00097244"/>
    <w:rsid w:val="00097F53"/>
    <w:rsid w:val="000A02C8"/>
    <w:rsid w:val="000A03D6"/>
    <w:rsid w:val="000A0578"/>
    <w:rsid w:val="000A08D0"/>
    <w:rsid w:val="000A090E"/>
    <w:rsid w:val="000A12CC"/>
    <w:rsid w:val="000A1741"/>
    <w:rsid w:val="000A1743"/>
    <w:rsid w:val="000A1C75"/>
    <w:rsid w:val="000A203E"/>
    <w:rsid w:val="000A20B1"/>
    <w:rsid w:val="000A21CB"/>
    <w:rsid w:val="000A2514"/>
    <w:rsid w:val="000A2B5B"/>
    <w:rsid w:val="000A31F8"/>
    <w:rsid w:val="000A3259"/>
    <w:rsid w:val="000A37AB"/>
    <w:rsid w:val="000A3CA8"/>
    <w:rsid w:val="000A3EA1"/>
    <w:rsid w:val="000A44E3"/>
    <w:rsid w:val="000A4BB6"/>
    <w:rsid w:val="000A4D75"/>
    <w:rsid w:val="000A4E54"/>
    <w:rsid w:val="000A5A07"/>
    <w:rsid w:val="000A5E27"/>
    <w:rsid w:val="000A5FB7"/>
    <w:rsid w:val="000A60B2"/>
    <w:rsid w:val="000A6142"/>
    <w:rsid w:val="000A61BE"/>
    <w:rsid w:val="000A625F"/>
    <w:rsid w:val="000A628A"/>
    <w:rsid w:val="000A64E0"/>
    <w:rsid w:val="000A6B92"/>
    <w:rsid w:val="000A6DB7"/>
    <w:rsid w:val="000A6EC2"/>
    <w:rsid w:val="000A7DB8"/>
    <w:rsid w:val="000B0544"/>
    <w:rsid w:val="000B0873"/>
    <w:rsid w:val="000B1043"/>
    <w:rsid w:val="000B1064"/>
    <w:rsid w:val="000B130A"/>
    <w:rsid w:val="000B1377"/>
    <w:rsid w:val="000B13C2"/>
    <w:rsid w:val="000B1865"/>
    <w:rsid w:val="000B1C79"/>
    <w:rsid w:val="000B1EFF"/>
    <w:rsid w:val="000B20FC"/>
    <w:rsid w:val="000B22A5"/>
    <w:rsid w:val="000B2819"/>
    <w:rsid w:val="000B2D53"/>
    <w:rsid w:val="000B3A64"/>
    <w:rsid w:val="000B3D82"/>
    <w:rsid w:val="000B403A"/>
    <w:rsid w:val="000B50B5"/>
    <w:rsid w:val="000B5252"/>
    <w:rsid w:val="000B5499"/>
    <w:rsid w:val="000B56B0"/>
    <w:rsid w:val="000B5D50"/>
    <w:rsid w:val="000B5EA4"/>
    <w:rsid w:val="000B5FCB"/>
    <w:rsid w:val="000B6001"/>
    <w:rsid w:val="000B65CA"/>
    <w:rsid w:val="000B66E4"/>
    <w:rsid w:val="000B716A"/>
    <w:rsid w:val="000C0C81"/>
    <w:rsid w:val="000C1099"/>
    <w:rsid w:val="000C152F"/>
    <w:rsid w:val="000C193C"/>
    <w:rsid w:val="000C248A"/>
    <w:rsid w:val="000C2519"/>
    <w:rsid w:val="000C2959"/>
    <w:rsid w:val="000C2DBD"/>
    <w:rsid w:val="000C3048"/>
    <w:rsid w:val="000C31B6"/>
    <w:rsid w:val="000C35AC"/>
    <w:rsid w:val="000C3C5C"/>
    <w:rsid w:val="000C426A"/>
    <w:rsid w:val="000C46FD"/>
    <w:rsid w:val="000C4ADD"/>
    <w:rsid w:val="000C4EA3"/>
    <w:rsid w:val="000C4F47"/>
    <w:rsid w:val="000C52D8"/>
    <w:rsid w:val="000C626D"/>
    <w:rsid w:val="000C6803"/>
    <w:rsid w:val="000C6B04"/>
    <w:rsid w:val="000C6DC5"/>
    <w:rsid w:val="000C76B1"/>
    <w:rsid w:val="000C7CB2"/>
    <w:rsid w:val="000C7DF4"/>
    <w:rsid w:val="000D0435"/>
    <w:rsid w:val="000D0AA5"/>
    <w:rsid w:val="000D1025"/>
    <w:rsid w:val="000D1196"/>
    <w:rsid w:val="000D138D"/>
    <w:rsid w:val="000D1B04"/>
    <w:rsid w:val="000D20E2"/>
    <w:rsid w:val="000D2197"/>
    <w:rsid w:val="000D2C70"/>
    <w:rsid w:val="000D2CEA"/>
    <w:rsid w:val="000D3252"/>
    <w:rsid w:val="000D3918"/>
    <w:rsid w:val="000D39EE"/>
    <w:rsid w:val="000D42C9"/>
    <w:rsid w:val="000D4504"/>
    <w:rsid w:val="000D4C1E"/>
    <w:rsid w:val="000D5045"/>
    <w:rsid w:val="000D6152"/>
    <w:rsid w:val="000D62A1"/>
    <w:rsid w:val="000D6819"/>
    <w:rsid w:val="000D7792"/>
    <w:rsid w:val="000D7D46"/>
    <w:rsid w:val="000E069B"/>
    <w:rsid w:val="000E07BA"/>
    <w:rsid w:val="000E1343"/>
    <w:rsid w:val="000E13DF"/>
    <w:rsid w:val="000E17B5"/>
    <w:rsid w:val="000E1A02"/>
    <w:rsid w:val="000E1D58"/>
    <w:rsid w:val="000E20BD"/>
    <w:rsid w:val="000E3117"/>
    <w:rsid w:val="000E3BF7"/>
    <w:rsid w:val="000E42F1"/>
    <w:rsid w:val="000E44F8"/>
    <w:rsid w:val="000E47C4"/>
    <w:rsid w:val="000E4A66"/>
    <w:rsid w:val="000E4D21"/>
    <w:rsid w:val="000E4E62"/>
    <w:rsid w:val="000E5074"/>
    <w:rsid w:val="000E50E6"/>
    <w:rsid w:val="000E5394"/>
    <w:rsid w:val="000E5F09"/>
    <w:rsid w:val="000E62F7"/>
    <w:rsid w:val="000E698C"/>
    <w:rsid w:val="000E6C14"/>
    <w:rsid w:val="000F0686"/>
    <w:rsid w:val="000F1225"/>
    <w:rsid w:val="000F174F"/>
    <w:rsid w:val="000F1A9E"/>
    <w:rsid w:val="000F1E1E"/>
    <w:rsid w:val="000F2CEF"/>
    <w:rsid w:val="000F2E32"/>
    <w:rsid w:val="000F3250"/>
    <w:rsid w:val="000F3A65"/>
    <w:rsid w:val="000F3FFC"/>
    <w:rsid w:val="000F4F7E"/>
    <w:rsid w:val="000F530D"/>
    <w:rsid w:val="000F5420"/>
    <w:rsid w:val="000F58DD"/>
    <w:rsid w:val="000F5FF7"/>
    <w:rsid w:val="000F6C06"/>
    <w:rsid w:val="000F74E8"/>
    <w:rsid w:val="000F78E5"/>
    <w:rsid w:val="000F7A47"/>
    <w:rsid w:val="0010048E"/>
    <w:rsid w:val="00100B32"/>
    <w:rsid w:val="00100B8C"/>
    <w:rsid w:val="0010116B"/>
    <w:rsid w:val="00101887"/>
    <w:rsid w:val="00101C55"/>
    <w:rsid w:val="0010220E"/>
    <w:rsid w:val="00102412"/>
    <w:rsid w:val="00102500"/>
    <w:rsid w:val="00102582"/>
    <w:rsid w:val="00102617"/>
    <w:rsid w:val="0010279E"/>
    <w:rsid w:val="00102B45"/>
    <w:rsid w:val="00102D39"/>
    <w:rsid w:val="00103032"/>
    <w:rsid w:val="001037CE"/>
    <w:rsid w:val="00103CCD"/>
    <w:rsid w:val="0010404A"/>
    <w:rsid w:val="00104152"/>
    <w:rsid w:val="0010450C"/>
    <w:rsid w:val="001065B8"/>
    <w:rsid w:val="0010675A"/>
    <w:rsid w:val="00106CD4"/>
    <w:rsid w:val="001073FA"/>
    <w:rsid w:val="00107447"/>
    <w:rsid w:val="001103D7"/>
    <w:rsid w:val="0011067A"/>
    <w:rsid w:val="00110A36"/>
    <w:rsid w:val="001117F9"/>
    <w:rsid w:val="00111EC9"/>
    <w:rsid w:val="00111F87"/>
    <w:rsid w:val="001120F9"/>
    <w:rsid w:val="00112E9C"/>
    <w:rsid w:val="00113B5E"/>
    <w:rsid w:val="00114327"/>
    <w:rsid w:val="001146DC"/>
    <w:rsid w:val="00114C54"/>
    <w:rsid w:val="00114D81"/>
    <w:rsid w:val="00115A10"/>
    <w:rsid w:val="00115A1D"/>
    <w:rsid w:val="00115B26"/>
    <w:rsid w:val="00115CB1"/>
    <w:rsid w:val="00115CBE"/>
    <w:rsid w:val="0011697F"/>
    <w:rsid w:val="00116C8D"/>
    <w:rsid w:val="00116E0E"/>
    <w:rsid w:val="00117BD8"/>
    <w:rsid w:val="00117F82"/>
    <w:rsid w:val="00120BB5"/>
    <w:rsid w:val="001212E2"/>
    <w:rsid w:val="00121F59"/>
    <w:rsid w:val="00122966"/>
    <w:rsid w:val="00122AC4"/>
    <w:rsid w:val="00122C3A"/>
    <w:rsid w:val="00122EE4"/>
    <w:rsid w:val="00123CC8"/>
    <w:rsid w:val="00124663"/>
    <w:rsid w:val="001254AB"/>
    <w:rsid w:val="001257E9"/>
    <w:rsid w:val="00125F37"/>
    <w:rsid w:val="00125FB6"/>
    <w:rsid w:val="00126833"/>
    <w:rsid w:val="001275B0"/>
    <w:rsid w:val="001277EE"/>
    <w:rsid w:val="00127927"/>
    <w:rsid w:val="00127C22"/>
    <w:rsid w:val="00127D07"/>
    <w:rsid w:val="00131C8C"/>
    <w:rsid w:val="0013229C"/>
    <w:rsid w:val="0013255D"/>
    <w:rsid w:val="001326A0"/>
    <w:rsid w:val="00132BEC"/>
    <w:rsid w:val="00134822"/>
    <w:rsid w:val="00134909"/>
    <w:rsid w:val="0013566B"/>
    <w:rsid w:val="00135B6F"/>
    <w:rsid w:val="00135E64"/>
    <w:rsid w:val="0013772F"/>
    <w:rsid w:val="00141033"/>
    <w:rsid w:val="00141164"/>
    <w:rsid w:val="00141C3A"/>
    <w:rsid w:val="00141ED7"/>
    <w:rsid w:val="001420DE"/>
    <w:rsid w:val="001424FA"/>
    <w:rsid w:val="001428EC"/>
    <w:rsid w:val="00143454"/>
    <w:rsid w:val="001436C9"/>
    <w:rsid w:val="00143B5A"/>
    <w:rsid w:val="00144326"/>
    <w:rsid w:val="0014472F"/>
    <w:rsid w:val="00144761"/>
    <w:rsid w:val="0014485F"/>
    <w:rsid w:val="00145E66"/>
    <w:rsid w:val="00145E8E"/>
    <w:rsid w:val="00146A1F"/>
    <w:rsid w:val="00146ACA"/>
    <w:rsid w:val="00147452"/>
    <w:rsid w:val="001474D3"/>
    <w:rsid w:val="00147907"/>
    <w:rsid w:val="00147948"/>
    <w:rsid w:val="0015098D"/>
    <w:rsid w:val="001514F8"/>
    <w:rsid w:val="00151A34"/>
    <w:rsid w:val="00151D08"/>
    <w:rsid w:val="001525B9"/>
    <w:rsid w:val="0015266F"/>
    <w:rsid w:val="00152BB0"/>
    <w:rsid w:val="001533AF"/>
    <w:rsid w:val="001534A3"/>
    <w:rsid w:val="00156075"/>
    <w:rsid w:val="001563B7"/>
    <w:rsid w:val="0015656B"/>
    <w:rsid w:val="001568DE"/>
    <w:rsid w:val="00156912"/>
    <w:rsid w:val="00156AAA"/>
    <w:rsid w:val="00156CB6"/>
    <w:rsid w:val="0015763F"/>
    <w:rsid w:val="00157C1C"/>
    <w:rsid w:val="00157C8D"/>
    <w:rsid w:val="001600F7"/>
    <w:rsid w:val="0016020B"/>
    <w:rsid w:val="001607D5"/>
    <w:rsid w:val="0016085A"/>
    <w:rsid w:val="0016111D"/>
    <w:rsid w:val="001612F4"/>
    <w:rsid w:val="001618C9"/>
    <w:rsid w:val="00162014"/>
    <w:rsid w:val="00163587"/>
    <w:rsid w:val="001644C5"/>
    <w:rsid w:val="00164A34"/>
    <w:rsid w:val="00164C7C"/>
    <w:rsid w:val="00164CFC"/>
    <w:rsid w:val="00165910"/>
    <w:rsid w:val="00166B6D"/>
    <w:rsid w:val="00166D4A"/>
    <w:rsid w:val="001704ED"/>
    <w:rsid w:val="00170607"/>
    <w:rsid w:val="00170613"/>
    <w:rsid w:val="00170A55"/>
    <w:rsid w:val="00170D6E"/>
    <w:rsid w:val="00171283"/>
    <w:rsid w:val="00171941"/>
    <w:rsid w:val="00172270"/>
    <w:rsid w:val="00172C7D"/>
    <w:rsid w:val="00174494"/>
    <w:rsid w:val="00174F60"/>
    <w:rsid w:val="00175ADB"/>
    <w:rsid w:val="00176203"/>
    <w:rsid w:val="001768E0"/>
    <w:rsid w:val="00176FC7"/>
    <w:rsid w:val="00177823"/>
    <w:rsid w:val="00177AD3"/>
    <w:rsid w:val="00177CF7"/>
    <w:rsid w:val="0018034F"/>
    <w:rsid w:val="00180648"/>
    <w:rsid w:val="00180B3E"/>
    <w:rsid w:val="00180F8F"/>
    <w:rsid w:val="0018100D"/>
    <w:rsid w:val="0018102E"/>
    <w:rsid w:val="00181140"/>
    <w:rsid w:val="001816EB"/>
    <w:rsid w:val="001825F1"/>
    <w:rsid w:val="00182D18"/>
    <w:rsid w:val="00183662"/>
    <w:rsid w:val="00183C6B"/>
    <w:rsid w:val="0018468C"/>
    <w:rsid w:val="001851AF"/>
    <w:rsid w:val="00185256"/>
    <w:rsid w:val="00185278"/>
    <w:rsid w:val="00186EA7"/>
    <w:rsid w:val="001874A6"/>
    <w:rsid w:val="0018767A"/>
    <w:rsid w:val="001879C1"/>
    <w:rsid w:val="00187B3A"/>
    <w:rsid w:val="00190C17"/>
    <w:rsid w:val="00191981"/>
    <w:rsid w:val="00191BA6"/>
    <w:rsid w:val="00191FD5"/>
    <w:rsid w:val="001923BC"/>
    <w:rsid w:val="00193ADD"/>
    <w:rsid w:val="001948E4"/>
    <w:rsid w:val="00194BF0"/>
    <w:rsid w:val="00195E5C"/>
    <w:rsid w:val="0019649B"/>
    <w:rsid w:val="001966F8"/>
    <w:rsid w:val="0019679C"/>
    <w:rsid w:val="001977F0"/>
    <w:rsid w:val="00197B21"/>
    <w:rsid w:val="001A04CB"/>
    <w:rsid w:val="001A0743"/>
    <w:rsid w:val="001A0A40"/>
    <w:rsid w:val="001A0AA6"/>
    <w:rsid w:val="001A15F0"/>
    <w:rsid w:val="001A166D"/>
    <w:rsid w:val="001A17E9"/>
    <w:rsid w:val="001A21E7"/>
    <w:rsid w:val="001A2A1B"/>
    <w:rsid w:val="001A3184"/>
    <w:rsid w:val="001A3B09"/>
    <w:rsid w:val="001A3DBC"/>
    <w:rsid w:val="001A4DEA"/>
    <w:rsid w:val="001A5730"/>
    <w:rsid w:val="001A5740"/>
    <w:rsid w:val="001A5EA8"/>
    <w:rsid w:val="001A6368"/>
    <w:rsid w:val="001A651E"/>
    <w:rsid w:val="001A6569"/>
    <w:rsid w:val="001A6770"/>
    <w:rsid w:val="001A6FCE"/>
    <w:rsid w:val="001A7401"/>
    <w:rsid w:val="001B01C7"/>
    <w:rsid w:val="001B0B0F"/>
    <w:rsid w:val="001B0BA8"/>
    <w:rsid w:val="001B0C97"/>
    <w:rsid w:val="001B0F99"/>
    <w:rsid w:val="001B2CD2"/>
    <w:rsid w:val="001B2FBE"/>
    <w:rsid w:val="001B344C"/>
    <w:rsid w:val="001B4310"/>
    <w:rsid w:val="001B443C"/>
    <w:rsid w:val="001B4468"/>
    <w:rsid w:val="001B4BC2"/>
    <w:rsid w:val="001B4F37"/>
    <w:rsid w:val="001B51C7"/>
    <w:rsid w:val="001B55E3"/>
    <w:rsid w:val="001B5B6D"/>
    <w:rsid w:val="001B6D6B"/>
    <w:rsid w:val="001B6FB8"/>
    <w:rsid w:val="001B7E7C"/>
    <w:rsid w:val="001C0218"/>
    <w:rsid w:val="001C05FF"/>
    <w:rsid w:val="001C09B0"/>
    <w:rsid w:val="001C14F3"/>
    <w:rsid w:val="001C198C"/>
    <w:rsid w:val="001C20A3"/>
    <w:rsid w:val="001C23B4"/>
    <w:rsid w:val="001C23CA"/>
    <w:rsid w:val="001C272F"/>
    <w:rsid w:val="001C298E"/>
    <w:rsid w:val="001C3044"/>
    <w:rsid w:val="001C399F"/>
    <w:rsid w:val="001C42D1"/>
    <w:rsid w:val="001C461E"/>
    <w:rsid w:val="001C526D"/>
    <w:rsid w:val="001C58B2"/>
    <w:rsid w:val="001C5A29"/>
    <w:rsid w:val="001C5AAB"/>
    <w:rsid w:val="001C5AC2"/>
    <w:rsid w:val="001C628A"/>
    <w:rsid w:val="001C6BC1"/>
    <w:rsid w:val="001C7AA5"/>
    <w:rsid w:val="001C7AB0"/>
    <w:rsid w:val="001C7C8E"/>
    <w:rsid w:val="001C7EE3"/>
    <w:rsid w:val="001D003E"/>
    <w:rsid w:val="001D114C"/>
    <w:rsid w:val="001D143D"/>
    <w:rsid w:val="001D1536"/>
    <w:rsid w:val="001D1699"/>
    <w:rsid w:val="001D17E0"/>
    <w:rsid w:val="001D1E70"/>
    <w:rsid w:val="001D2658"/>
    <w:rsid w:val="001D2A05"/>
    <w:rsid w:val="001D2C05"/>
    <w:rsid w:val="001D2C86"/>
    <w:rsid w:val="001D31BF"/>
    <w:rsid w:val="001D4039"/>
    <w:rsid w:val="001D4438"/>
    <w:rsid w:val="001D4959"/>
    <w:rsid w:val="001D4E89"/>
    <w:rsid w:val="001D5195"/>
    <w:rsid w:val="001D5318"/>
    <w:rsid w:val="001D56B6"/>
    <w:rsid w:val="001D64DA"/>
    <w:rsid w:val="001D66EB"/>
    <w:rsid w:val="001D6D9C"/>
    <w:rsid w:val="001D704B"/>
    <w:rsid w:val="001E1130"/>
    <w:rsid w:val="001E114C"/>
    <w:rsid w:val="001E11FD"/>
    <w:rsid w:val="001E1951"/>
    <w:rsid w:val="001E35F7"/>
    <w:rsid w:val="001E4035"/>
    <w:rsid w:val="001E45CB"/>
    <w:rsid w:val="001E560B"/>
    <w:rsid w:val="001E56E2"/>
    <w:rsid w:val="001E57A3"/>
    <w:rsid w:val="001E5869"/>
    <w:rsid w:val="001E5B92"/>
    <w:rsid w:val="001E5DDE"/>
    <w:rsid w:val="001E615F"/>
    <w:rsid w:val="001E61B6"/>
    <w:rsid w:val="001E6A68"/>
    <w:rsid w:val="001E6A7D"/>
    <w:rsid w:val="001E723B"/>
    <w:rsid w:val="001E724B"/>
    <w:rsid w:val="001E7591"/>
    <w:rsid w:val="001E75AA"/>
    <w:rsid w:val="001E75B6"/>
    <w:rsid w:val="001E7AE9"/>
    <w:rsid w:val="001F0433"/>
    <w:rsid w:val="001F103E"/>
    <w:rsid w:val="001F18E3"/>
    <w:rsid w:val="001F2157"/>
    <w:rsid w:val="001F28D7"/>
    <w:rsid w:val="001F37B4"/>
    <w:rsid w:val="001F38C0"/>
    <w:rsid w:val="001F3B51"/>
    <w:rsid w:val="001F41DE"/>
    <w:rsid w:val="001F41EE"/>
    <w:rsid w:val="001F4B6A"/>
    <w:rsid w:val="001F4FF6"/>
    <w:rsid w:val="001F5271"/>
    <w:rsid w:val="001F545A"/>
    <w:rsid w:val="001F6271"/>
    <w:rsid w:val="001F6CBE"/>
    <w:rsid w:val="001F704C"/>
    <w:rsid w:val="001F733D"/>
    <w:rsid w:val="002000C7"/>
    <w:rsid w:val="002005F0"/>
    <w:rsid w:val="0020110E"/>
    <w:rsid w:val="00201984"/>
    <w:rsid w:val="00201F7C"/>
    <w:rsid w:val="0020263F"/>
    <w:rsid w:val="00202D01"/>
    <w:rsid w:val="0020337B"/>
    <w:rsid w:val="00203440"/>
    <w:rsid w:val="0020378B"/>
    <w:rsid w:val="00203FB2"/>
    <w:rsid w:val="00204AD8"/>
    <w:rsid w:val="00204E52"/>
    <w:rsid w:val="00205006"/>
    <w:rsid w:val="002050C2"/>
    <w:rsid w:val="00205589"/>
    <w:rsid w:val="00205AEA"/>
    <w:rsid w:val="00205F86"/>
    <w:rsid w:val="002061B9"/>
    <w:rsid w:val="00206D40"/>
    <w:rsid w:val="0020713A"/>
    <w:rsid w:val="002071CB"/>
    <w:rsid w:val="002076D9"/>
    <w:rsid w:val="0021015A"/>
    <w:rsid w:val="0021039D"/>
    <w:rsid w:val="00210655"/>
    <w:rsid w:val="00210813"/>
    <w:rsid w:val="002108AB"/>
    <w:rsid w:val="00210B23"/>
    <w:rsid w:val="002110F1"/>
    <w:rsid w:val="00211ABE"/>
    <w:rsid w:val="00211D04"/>
    <w:rsid w:val="00211FA5"/>
    <w:rsid w:val="00211FED"/>
    <w:rsid w:val="0021245D"/>
    <w:rsid w:val="00212A1B"/>
    <w:rsid w:val="002139DD"/>
    <w:rsid w:val="00214488"/>
    <w:rsid w:val="002152B5"/>
    <w:rsid w:val="00215CAC"/>
    <w:rsid w:val="00215CEA"/>
    <w:rsid w:val="00216022"/>
    <w:rsid w:val="0021655B"/>
    <w:rsid w:val="00216FFC"/>
    <w:rsid w:val="002204D9"/>
    <w:rsid w:val="002216F1"/>
    <w:rsid w:val="00222FD9"/>
    <w:rsid w:val="002239CC"/>
    <w:rsid w:val="00224500"/>
    <w:rsid w:val="00224564"/>
    <w:rsid w:val="00224B32"/>
    <w:rsid w:val="002257C5"/>
    <w:rsid w:val="00226DB6"/>
    <w:rsid w:val="00227714"/>
    <w:rsid w:val="00227CB6"/>
    <w:rsid w:val="00227E2B"/>
    <w:rsid w:val="00230322"/>
    <w:rsid w:val="00230391"/>
    <w:rsid w:val="00230E0E"/>
    <w:rsid w:val="002325E8"/>
    <w:rsid w:val="00232ACE"/>
    <w:rsid w:val="00235AFE"/>
    <w:rsid w:val="002361EA"/>
    <w:rsid w:val="00236757"/>
    <w:rsid w:val="00236A45"/>
    <w:rsid w:val="0023738D"/>
    <w:rsid w:val="0023742B"/>
    <w:rsid w:val="00237FCD"/>
    <w:rsid w:val="002405AF"/>
    <w:rsid w:val="002409E7"/>
    <w:rsid w:val="00240B5D"/>
    <w:rsid w:val="00241C6E"/>
    <w:rsid w:val="00241E33"/>
    <w:rsid w:val="002420F1"/>
    <w:rsid w:val="00242599"/>
    <w:rsid w:val="0024295F"/>
    <w:rsid w:val="00242D36"/>
    <w:rsid w:val="00242D72"/>
    <w:rsid w:val="002431CC"/>
    <w:rsid w:val="00243865"/>
    <w:rsid w:val="002445C9"/>
    <w:rsid w:val="00244681"/>
    <w:rsid w:val="0024595E"/>
    <w:rsid w:val="00245EFC"/>
    <w:rsid w:val="0024631D"/>
    <w:rsid w:val="002463F3"/>
    <w:rsid w:val="00246811"/>
    <w:rsid w:val="00246BDC"/>
    <w:rsid w:val="002470D3"/>
    <w:rsid w:val="00247513"/>
    <w:rsid w:val="00247624"/>
    <w:rsid w:val="00247746"/>
    <w:rsid w:val="00247A4F"/>
    <w:rsid w:val="00247E44"/>
    <w:rsid w:val="00250255"/>
    <w:rsid w:val="002502B2"/>
    <w:rsid w:val="0025042E"/>
    <w:rsid w:val="00250476"/>
    <w:rsid w:val="0025086A"/>
    <w:rsid w:val="00250AB6"/>
    <w:rsid w:val="00251781"/>
    <w:rsid w:val="00252399"/>
    <w:rsid w:val="00252A39"/>
    <w:rsid w:val="0025300B"/>
    <w:rsid w:val="00253419"/>
    <w:rsid w:val="0025368D"/>
    <w:rsid w:val="0025388C"/>
    <w:rsid w:val="00253C06"/>
    <w:rsid w:val="00253C91"/>
    <w:rsid w:val="0025474F"/>
    <w:rsid w:val="00255025"/>
    <w:rsid w:val="00255FB8"/>
    <w:rsid w:val="00255FDB"/>
    <w:rsid w:val="00256174"/>
    <w:rsid w:val="00256673"/>
    <w:rsid w:val="002567B8"/>
    <w:rsid w:val="0025789D"/>
    <w:rsid w:val="00257A92"/>
    <w:rsid w:val="00257C45"/>
    <w:rsid w:val="00257F77"/>
    <w:rsid w:val="00260491"/>
    <w:rsid w:val="00260C52"/>
    <w:rsid w:val="002612B0"/>
    <w:rsid w:val="00261642"/>
    <w:rsid w:val="00261AD6"/>
    <w:rsid w:val="002623F8"/>
    <w:rsid w:val="00262DDE"/>
    <w:rsid w:val="002630DD"/>
    <w:rsid w:val="00263868"/>
    <w:rsid w:val="00263B34"/>
    <w:rsid w:val="00263B9B"/>
    <w:rsid w:val="00263EAA"/>
    <w:rsid w:val="00264C15"/>
    <w:rsid w:val="0026609A"/>
    <w:rsid w:val="00266820"/>
    <w:rsid w:val="00266B98"/>
    <w:rsid w:val="00267454"/>
    <w:rsid w:val="002678E4"/>
    <w:rsid w:val="00270678"/>
    <w:rsid w:val="00270CCD"/>
    <w:rsid w:val="002712FF"/>
    <w:rsid w:val="002714CD"/>
    <w:rsid w:val="002719C5"/>
    <w:rsid w:val="0027220F"/>
    <w:rsid w:val="00272243"/>
    <w:rsid w:val="002725BA"/>
    <w:rsid w:val="0027274E"/>
    <w:rsid w:val="00272894"/>
    <w:rsid w:val="00272B17"/>
    <w:rsid w:val="00272E9C"/>
    <w:rsid w:val="00273156"/>
    <w:rsid w:val="00273E88"/>
    <w:rsid w:val="002745D2"/>
    <w:rsid w:val="00274739"/>
    <w:rsid w:val="00274BA0"/>
    <w:rsid w:val="00274DE9"/>
    <w:rsid w:val="002751E9"/>
    <w:rsid w:val="00275547"/>
    <w:rsid w:val="002760DC"/>
    <w:rsid w:val="002763D4"/>
    <w:rsid w:val="0027684C"/>
    <w:rsid w:val="00277593"/>
    <w:rsid w:val="002803FE"/>
    <w:rsid w:val="002804F7"/>
    <w:rsid w:val="0028052B"/>
    <w:rsid w:val="002816C4"/>
    <w:rsid w:val="0028190F"/>
    <w:rsid w:val="00281D24"/>
    <w:rsid w:val="0028355B"/>
    <w:rsid w:val="002836ED"/>
    <w:rsid w:val="00283ACB"/>
    <w:rsid w:val="00283B65"/>
    <w:rsid w:val="00284D76"/>
    <w:rsid w:val="002850FA"/>
    <w:rsid w:val="002851FB"/>
    <w:rsid w:val="0028584C"/>
    <w:rsid w:val="00285BFE"/>
    <w:rsid w:val="00285FFB"/>
    <w:rsid w:val="00286452"/>
    <w:rsid w:val="00286A32"/>
    <w:rsid w:val="00286FC7"/>
    <w:rsid w:val="0028796E"/>
    <w:rsid w:val="00287A38"/>
    <w:rsid w:val="00287CB4"/>
    <w:rsid w:val="00287F36"/>
    <w:rsid w:val="002908D3"/>
    <w:rsid w:val="002917C3"/>
    <w:rsid w:val="00292E91"/>
    <w:rsid w:val="002935B6"/>
    <w:rsid w:val="00294D78"/>
    <w:rsid w:val="00295170"/>
    <w:rsid w:val="0029522D"/>
    <w:rsid w:val="00295F4B"/>
    <w:rsid w:val="0029665C"/>
    <w:rsid w:val="002970C8"/>
    <w:rsid w:val="002973B1"/>
    <w:rsid w:val="002974A0"/>
    <w:rsid w:val="002A01BB"/>
    <w:rsid w:val="002A1265"/>
    <w:rsid w:val="002A1595"/>
    <w:rsid w:val="002A240C"/>
    <w:rsid w:val="002A2CD5"/>
    <w:rsid w:val="002A2F46"/>
    <w:rsid w:val="002A3323"/>
    <w:rsid w:val="002A35E3"/>
    <w:rsid w:val="002A3F8A"/>
    <w:rsid w:val="002A4E4A"/>
    <w:rsid w:val="002A5DED"/>
    <w:rsid w:val="002A640A"/>
    <w:rsid w:val="002A651B"/>
    <w:rsid w:val="002A65B0"/>
    <w:rsid w:val="002A6D6C"/>
    <w:rsid w:val="002A73F8"/>
    <w:rsid w:val="002A7785"/>
    <w:rsid w:val="002A7D2B"/>
    <w:rsid w:val="002A8E9B"/>
    <w:rsid w:val="002B0784"/>
    <w:rsid w:val="002B0A3D"/>
    <w:rsid w:val="002B11A7"/>
    <w:rsid w:val="002B134E"/>
    <w:rsid w:val="002B1870"/>
    <w:rsid w:val="002B2449"/>
    <w:rsid w:val="002B2507"/>
    <w:rsid w:val="002B26AF"/>
    <w:rsid w:val="002B2926"/>
    <w:rsid w:val="002B2A04"/>
    <w:rsid w:val="002B334F"/>
    <w:rsid w:val="002B35C1"/>
    <w:rsid w:val="002B4538"/>
    <w:rsid w:val="002B4544"/>
    <w:rsid w:val="002B48EE"/>
    <w:rsid w:val="002B4ADB"/>
    <w:rsid w:val="002B4C95"/>
    <w:rsid w:val="002B4D1C"/>
    <w:rsid w:val="002B52CE"/>
    <w:rsid w:val="002B555E"/>
    <w:rsid w:val="002B591F"/>
    <w:rsid w:val="002B61A0"/>
    <w:rsid w:val="002B6A24"/>
    <w:rsid w:val="002B7B1A"/>
    <w:rsid w:val="002C05FD"/>
    <w:rsid w:val="002C0775"/>
    <w:rsid w:val="002C13B2"/>
    <w:rsid w:val="002C169F"/>
    <w:rsid w:val="002C195F"/>
    <w:rsid w:val="002C1E64"/>
    <w:rsid w:val="002C2340"/>
    <w:rsid w:val="002C2728"/>
    <w:rsid w:val="002C2E0D"/>
    <w:rsid w:val="002C34CE"/>
    <w:rsid w:val="002C3B15"/>
    <w:rsid w:val="002C3C94"/>
    <w:rsid w:val="002C471A"/>
    <w:rsid w:val="002C5631"/>
    <w:rsid w:val="002C5D0A"/>
    <w:rsid w:val="002C5E43"/>
    <w:rsid w:val="002C60C9"/>
    <w:rsid w:val="002C641F"/>
    <w:rsid w:val="002C6DCF"/>
    <w:rsid w:val="002C721F"/>
    <w:rsid w:val="002C7323"/>
    <w:rsid w:val="002C74DE"/>
    <w:rsid w:val="002C78A7"/>
    <w:rsid w:val="002C7DBF"/>
    <w:rsid w:val="002C7EAE"/>
    <w:rsid w:val="002D0713"/>
    <w:rsid w:val="002D0C3A"/>
    <w:rsid w:val="002D1667"/>
    <w:rsid w:val="002D1799"/>
    <w:rsid w:val="002D193A"/>
    <w:rsid w:val="002D1966"/>
    <w:rsid w:val="002D1B97"/>
    <w:rsid w:val="002D20F6"/>
    <w:rsid w:val="002D24ED"/>
    <w:rsid w:val="002D2BA5"/>
    <w:rsid w:val="002D2BE5"/>
    <w:rsid w:val="002D2C11"/>
    <w:rsid w:val="002D2DA1"/>
    <w:rsid w:val="002D2F44"/>
    <w:rsid w:val="002D32DD"/>
    <w:rsid w:val="002D35B6"/>
    <w:rsid w:val="002D35FA"/>
    <w:rsid w:val="002D3739"/>
    <w:rsid w:val="002D396A"/>
    <w:rsid w:val="002D40D4"/>
    <w:rsid w:val="002D416C"/>
    <w:rsid w:val="002D4841"/>
    <w:rsid w:val="002D536A"/>
    <w:rsid w:val="002D5875"/>
    <w:rsid w:val="002D58DB"/>
    <w:rsid w:val="002D5C4B"/>
    <w:rsid w:val="002D5C50"/>
    <w:rsid w:val="002D65B7"/>
    <w:rsid w:val="002D669C"/>
    <w:rsid w:val="002D6AED"/>
    <w:rsid w:val="002D79D5"/>
    <w:rsid w:val="002D7CD6"/>
    <w:rsid w:val="002D7E61"/>
    <w:rsid w:val="002D7E72"/>
    <w:rsid w:val="002E0278"/>
    <w:rsid w:val="002E0B21"/>
    <w:rsid w:val="002E0E5B"/>
    <w:rsid w:val="002E1A73"/>
    <w:rsid w:val="002E2C4F"/>
    <w:rsid w:val="002E3453"/>
    <w:rsid w:val="002E358D"/>
    <w:rsid w:val="002E3CD6"/>
    <w:rsid w:val="002E4415"/>
    <w:rsid w:val="002E4D16"/>
    <w:rsid w:val="002E50B9"/>
    <w:rsid w:val="002E54A6"/>
    <w:rsid w:val="002E5A48"/>
    <w:rsid w:val="002E6A6F"/>
    <w:rsid w:val="002E6C34"/>
    <w:rsid w:val="002F0D0B"/>
    <w:rsid w:val="002F0F7C"/>
    <w:rsid w:val="002F1110"/>
    <w:rsid w:val="002F1483"/>
    <w:rsid w:val="002F1B03"/>
    <w:rsid w:val="002F27E0"/>
    <w:rsid w:val="002F27E2"/>
    <w:rsid w:val="002F351E"/>
    <w:rsid w:val="002F3D90"/>
    <w:rsid w:val="002F40BE"/>
    <w:rsid w:val="002F4C7A"/>
    <w:rsid w:val="002F4F62"/>
    <w:rsid w:val="002F510F"/>
    <w:rsid w:val="002F54CC"/>
    <w:rsid w:val="002F5614"/>
    <w:rsid w:val="002F5999"/>
    <w:rsid w:val="002F5B6C"/>
    <w:rsid w:val="002F5C19"/>
    <w:rsid w:val="002F5E1B"/>
    <w:rsid w:val="002F6B21"/>
    <w:rsid w:val="002F70B2"/>
    <w:rsid w:val="002F7318"/>
    <w:rsid w:val="0030035B"/>
    <w:rsid w:val="00300951"/>
    <w:rsid w:val="003018D0"/>
    <w:rsid w:val="00301FAC"/>
    <w:rsid w:val="0030285B"/>
    <w:rsid w:val="003028FB"/>
    <w:rsid w:val="00303568"/>
    <w:rsid w:val="00303B8A"/>
    <w:rsid w:val="003048DD"/>
    <w:rsid w:val="003056D3"/>
    <w:rsid w:val="00305CD4"/>
    <w:rsid w:val="003061ED"/>
    <w:rsid w:val="00306760"/>
    <w:rsid w:val="00307731"/>
    <w:rsid w:val="00310B08"/>
    <w:rsid w:val="00311D50"/>
    <w:rsid w:val="00312061"/>
    <w:rsid w:val="00312698"/>
    <w:rsid w:val="00313154"/>
    <w:rsid w:val="00313D2C"/>
    <w:rsid w:val="00313F82"/>
    <w:rsid w:val="00314088"/>
    <w:rsid w:val="00314245"/>
    <w:rsid w:val="0031494B"/>
    <w:rsid w:val="0031524D"/>
    <w:rsid w:val="00315963"/>
    <w:rsid w:val="0031597B"/>
    <w:rsid w:val="003164D8"/>
    <w:rsid w:val="00316C5F"/>
    <w:rsid w:val="00316E2A"/>
    <w:rsid w:val="0031796C"/>
    <w:rsid w:val="00317CBA"/>
    <w:rsid w:val="00317D9F"/>
    <w:rsid w:val="003202A4"/>
    <w:rsid w:val="00320589"/>
    <w:rsid w:val="003210D0"/>
    <w:rsid w:val="0032234E"/>
    <w:rsid w:val="00322618"/>
    <w:rsid w:val="00322A2E"/>
    <w:rsid w:val="00323257"/>
    <w:rsid w:val="00323553"/>
    <w:rsid w:val="00323B70"/>
    <w:rsid w:val="00323F6E"/>
    <w:rsid w:val="003242F5"/>
    <w:rsid w:val="00324CEE"/>
    <w:rsid w:val="00324E7A"/>
    <w:rsid w:val="0032546F"/>
    <w:rsid w:val="00325BA9"/>
    <w:rsid w:val="003260A2"/>
    <w:rsid w:val="003264C7"/>
    <w:rsid w:val="003266DC"/>
    <w:rsid w:val="00326CA6"/>
    <w:rsid w:val="00326DF3"/>
    <w:rsid w:val="00327049"/>
    <w:rsid w:val="00327B85"/>
    <w:rsid w:val="00330083"/>
    <w:rsid w:val="00330682"/>
    <w:rsid w:val="003309F9"/>
    <w:rsid w:val="00330A42"/>
    <w:rsid w:val="00331930"/>
    <w:rsid w:val="003321E9"/>
    <w:rsid w:val="003322CE"/>
    <w:rsid w:val="0033245C"/>
    <w:rsid w:val="00332541"/>
    <w:rsid w:val="00332642"/>
    <w:rsid w:val="003326EC"/>
    <w:rsid w:val="00332AFA"/>
    <w:rsid w:val="00332B04"/>
    <w:rsid w:val="00333773"/>
    <w:rsid w:val="00333EC5"/>
    <w:rsid w:val="0033478D"/>
    <w:rsid w:val="003347BB"/>
    <w:rsid w:val="00334A46"/>
    <w:rsid w:val="00334B12"/>
    <w:rsid w:val="0033555D"/>
    <w:rsid w:val="00336A79"/>
    <w:rsid w:val="00336E1F"/>
    <w:rsid w:val="003375DB"/>
    <w:rsid w:val="00340330"/>
    <w:rsid w:val="00340881"/>
    <w:rsid w:val="00340C78"/>
    <w:rsid w:val="00340DA0"/>
    <w:rsid w:val="00341208"/>
    <w:rsid w:val="003413FA"/>
    <w:rsid w:val="00342306"/>
    <w:rsid w:val="00343230"/>
    <w:rsid w:val="00343509"/>
    <w:rsid w:val="00343A89"/>
    <w:rsid w:val="00343B75"/>
    <w:rsid w:val="00343CDC"/>
    <w:rsid w:val="00343DA3"/>
    <w:rsid w:val="00343ED2"/>
    <w:rsid w:val="00343FE4"/>
    <w:rsid w:val="00344213"/>
    <w:rsid w:val="00344282"/>
    <w:rsid w:val="0034431B"/>
    <w:rsid w:val="0034460A"/>
    <w:rsid w:val="003449A7"/>
    <w:rsid w:val="003449F0"/>
    <w:rsid w:val="00345565"/>
    <w:rsid w:val="003459E6"/>
    <w:rsid w:val="00345ABB"/>
    <w:rsid w:val="00345EDB"/>
    <w:rsid w:val="0034609A"/>
    <w:rsid w:val="0034650B"/>
    <w:rsid w:val="00346AE0"/>
    <w:rsid w:val="00346F74"/>
    <w:rsid w:val="00347033"/>
    <w:rsid w:val="00347483"/>
    <w:rsid w:val="003476DD"/>
    <w:rsid w:val="0034778B"/>
    <w:rsid w:val="00347D4C"/>
    <w:rsid w:val="00347EC7"/>
    <w:rsid w:val="0035048F"/>
    <w:rsid w:val="003507BE"/>
    <w:rsid w:val="0035081F"/>
    <w:rsid w:val="00350D50"/>
    <w:rsid w:val="003513CF"/>
    <w:rsid w:val="0035144A"/>
    <w:rsid w:val="003517EE"/>
    <w:rsid w:val="003521D0"/>
    <w:rsid w:val="00352DCC"/>
    <w:rsid w:val="0035385E"/>
    <w:rsid w:val="003539F5"/>
    <w:rsid w:val="00353F31"/>
    <w:rsid w:val="003540CB"/>
    <w:rsid w:val="00354176"/>
    <w:rsid w:val="00354BF8"/>
    <w:rsid w:val="00355315"/>
    <w:rsid w:val="0035670E"/>
    <w:rsid w:val="00356AAF"/>
    <w:rsid w:val="00356AD7"/>
    <w:rsid w:val="003570B8"/>
    <w:rsid w:val="0035710D"/>
    <w:rsid w:val="0035770D"/>
    <w:rsid w:val="00357943"/>
    <w:rsid w:val="00357FAD"/>
    <w:rsid w:val="00360411"/>
    <w:rsid w:val="003607F1"/>
    <w:rsid w:val="00361567"/>
    <w:rsid w:val="0036172D"/>
    <w:rsid w:val="00361956"/>
    <w:rsid w:val="00361A10"/>
    <w:rsid w:val="00362435"/>
    <w:rsid w:val="0036284A"/>
    <w:rsid w:val="003629E6"/>
    <w:rsid w:val="00363189"/>
    <w:rsid w:val="00363C30"/>
    <w:rsid w:val="00364061"/>
    <w:rsid w:val="0036430A"/>
    <w:rsid w:val="003662FC"/>
    <w:rsid w:val="0036694A"/>
    <w:rsid w:val="00366985"/>
    <w:rsid w:val="00366D8C"/>
    <w:rsid w:val="00366E36"/>
    <w:rsid w:val="00367114"/>
    <w:rsid w:val="0036733B"/>
    <w:rsid w:val="00370338"/>
    <w:rsid w:val="00370A36"/>
    <w:rsid w:val="0037109D"/>
    <w:rsid w:val="003711AA"/>
    <w:rsid w:val="00371620"/>
    <w:rsid w:val="003729B6"/>
    <w:rsid w:val="00372F32"/>
    <w:rsid w:val="00374AEB"/>
    <w:rsid w:val="00374BE9"/>
    <w:rsid w:val="003754C1"/>
    <w:rsid w:val="00375AF0"/>
    <w:rsid w:val="00375CB9"/>
    <w:rsid w:val="00375FFA"/>
    <w:rsid w:val="00376734"/>
    <w:rsid w:val="00376773"/>
    <w:rsid w:val="00376834"/>
    <w:rsid w:val="00376D38"/>
    <w:rsid w:val="00377468"/>
    <w:rsid w:val="0037779D"/>
    <w:rsid w:val="003777C7"/>
    <w:rsid w:val="00377A4A"/>
    <w:rsid w:val="0038005B"/>
    <w:rsid w:val="003802A1"/>
    <w:rsid w:val="00380362"/>
    <w:rsid w:val="003808FD"/>
    <w:rsid w:val="00380C06"/>
    <w:rsid w:val="003810F5"/>
    <w:rsid w:val="00381CED"/>
    <w:rsid w:val="00382AAD"/>
    <w:rsid w:val="0038314F"/>
    <w:rsid w:val="003833FA"/>
    <w:rsid w:val="00383734"/>
    <w:rsid w:val="00383822"/>
    <w:rsid w:val="00383949"/>
    <w:rsid w:val="00383DAC"/>
    <w:rsid w:val="00383F7E"/>
    <w:rsid w:val="0038437A"/>
    <w:rsid w:val="0038479B"/>
    <w:rsid w:val="00384CBD"/>
    <w:rsid w:val="00385224"/>
    <w:rsid w:val="00385671"/>
    <w:rsid w:val="00385BE7"/>
    <w:rsid w:val="00385F4B"/>
    <w:rsid w:val="00386098"/>
    <w:rsid w:val="00386439"/>
    <w:rsid w:val="00386680"/>
    <w:rsid w:val="00386A05"/>
    <w:rsid w:val="003870D4"/>
    <w:rsid w:val="0039018B"/>
    <w:rsid w:val="003904B2"/>
    <w:rsid w:val="00390595"/>
    <w:rsid w:val="00392330"/>
    <w:rsid w:val="00392A50"/>
    <w:rsid w:val="0039311C"/>
    <w:rsid w:val="003935C2"/>
    <w:rsid w:val="00393F6E"/>
    <w:rsid w:val="00394A5B"/>
    <w:rsid w:val="00394ABC"/>
    <w:rsid w:val="00394B03"/>
    <w:rsid w:val="00395896"/>
    <w:rsid w:val="003959BB"/>
    <w:rsid w:val="00395A00"/>
    <w:rsid w:val="00396EDD"/>
    <w:rsid w:val="00397083"/>
    <w:rsid w:val="00397933"/>
    <w:rsid w:val="00397E31"/>
    <w:rsid w:val="003A002E"/>
    <w:rsid w:val="003A0D6E"/>
    <w:rsid w:val="003A2B23"/>
    <w:rsid w:val="003A2D29"/>
    <w:rsid w:val="003A2FCC"/>
    <w:rsid w:val="003A36B0"/>
    <w:rsid w:val="003A37DA"/>
    <w:rsid w:val="003A385C"/>
    <w:rsid w:val="003A3F7C"/>
    <w:rsid w:val="003A3FA3"/>
    <w:rsid w:val="003A482B"/>
    <w:rsid w:val="003A4E00"/>
    <w:rsid w:val="003A624C"/>
    <w:rsid w:val="003A626F"/>
    <w:rsid w:val="003A67F8"/>
    <w:rsid w:val="003A761E"/>
    <w:rsid w:val="003B10D6"/>
    <w:rsid w:val="003B18E2"/>
    <w:rsid w:val="003B1B03"/>
    <w:rsid w:val="003B212C"/>
    <w:rsid w:val="003B220B"/>
    <w:rsid w:val="003B3203"/>
    <w:rsid w:val="003B37D3"/>
    <w:rsid w:val="003B3AC7"/>
    <w:rsid w:val="003B4021"/>
    <w:rsid w:val="003B477E"/>
    <w:rsid w:val="003B54BF"/>
    <w:rsid w:val="003B5A31"/>
    <w:rsid w:val="003B69ED"/>
    <w:rsid w:val="003B6DAA"/>
    <w:rsid w:val="003B772F"/>
    <w:rsid w:val="003B7CB1"/>
    <w:rsid w:val="003C0BC6"/>
    <w:rsid w:val="003C1C39"/>
    <w:rsid w:val="003C4144"/>
    <w:rsid w:val="003C42EE"/>
    <w:rsid w:val="003C454F"/>
    <w:rsid w:val="003C4598"/>
    <w:rsid w:val="003C488C"/>
    <w:rsid w:val="003C4A87"/>
    <w:rsid w:val="003C4EFF"/>
    <w:rsid w:val="003C5517"/>
    <w:rsid w:val="003C5524"/>
    <w:rsid w:val="003C5B3B"/>
    <w:rsid w:val="003C67CF"/>
    <w:rsid w:val="003C6BE7"/>
    <w:rsid w:val="003C6F59"/>
    <w:rsid w:val="003C7158"/>
    <w:rsid w:val="003C7889"/>
    <w:rsid w:val="003C7A5B"/>
    <w:rsid w:val="003D0058"/>
    <w:rsid w:val="003D04E8"/>
    <w:rsid w:val="003D0702"/>
    <w:rsid w:val="003D07C2"/>
    <w:rsid w:val="003D0B22"/>
    <w:rsid w:val="003D1238"/>
    <w:rsid w:val="003D130E"/>
    <w:rsid w:val="003D158C"/>
    <w:rsid w:val="003D2C22"/>
    <w:rsid w:val="003D2F28"/>
    <w:rsid w:val="003D318D"/>
    <w:rsid w:val="003D3345"/>
    <w:rsid w:val="003D36DD"/>
    <w:rsid w:val="003D3AD4"/>
    <w:rsid w:val="003D3F95"/>
    <w:rsid w:val="003D459D"/>
    <w:rsid w:val="003D4BD4"/>
    <w:rsid w:val="003D4DA5"/>
    <w:rsid w:val="003D5755"/>
    <w:rsid w:val="003D57E3"/>
    <w:rsid w:val="003D57FE"/>
    <w:rsid w:val="003D640B"/>
    <w:rsid w:val="003D64F3"/>
    <w:rsid w:val="003D7103"/>
    <w:rsid w:val="003D7BDB"/>
    <w:rsid w:val="003E0276"/>
    <w:rsid w:val="003E1F91"/>
    <w:rsid w:val="003E276B"/>
    <w:rsid w:val="003E34CD"/>
    <w:rsid w:val="003E3965"/>
    <w:rsid w:val="003E45A0"/>
    <w:rsid w:val="003E4973"/>
    <w:rsid w:val="003E4BE7"/>
    <w:rsid w:val="003E5A61"/>
    <w:rsid w:val="003E629D"/>
    <w:rsid w:val="003E672A"/>
    <w:rsid w:val="003E6EC6"/>
    <w:rsid w:val="003E7636"/>
    <w:rsid w:val="003E79B5"/>
    <w:rsid w:val="003F14ED"/>
    <w:rsid w:val="003F1B2F"/>
    <w:rsid w:val="003F23E9"/>
    <w:rsid w:val="003F2C0F"/>
    <w:rsid w:val="003F2D72"/>
    <w:rsid w:val="003F2EA5"/>
    <w:rsid w:val="003F3F38"/>
    <w:rsid w:val="003F4246"/>
    <w:rsid w:val="003F49A3"/>
    <w:rsid w:val="003F4C6B"/>
    <w:rsid w:val="003F5FF3"/>
    <w:rsid w:val="003F6FB3"/>
    <w:rsid w:val="003F79B8"/>
    <w:rsid w:val="003F7BB2"/>
    <w:rsid w:val="0040196C"/>
    <w:rsid w:val="00401C20"/>
    <w:rsid w:val="00402362"/>
    <w:rsid w:val="004029AE"/>
    <w:rsid w:val="00403033"/>
    <w:rsid w:val="004031DE"/>
    <w:rsid w:val="00403350"/>
    <w:rsid w:val="00403D1B"/>
    <w:rsid w:val="00403F38"/>
    <w:rsid w:val="00404B8A"/>
    <w:rsid w:val="00404C7D"/>
    <w:rsid w:val="00404CFB"/>
    <w:rsid w:val="00404E2C"/>
    <w:rsid w:val="00405736"/>
    <w:rsid w:val="00405DAE"/>
    <w:rsid w:val="00405E34"/>
    <w:rsid w:val="00406905"/>
    <w:rsid w:val="0041049A"/>
    <w:rsid w:val="00410C07"/>
    <w:rsid w:val="00410F3E"/>
    <w:rsid w:val="004111E3"/>
    <w:rsid w:val="00411951"/>
    <w:rsid w:val="00411C7B"/>
    <w:rsid w:val="00411C88"/>
    <w:rsid w:val="00411E90"/>
    <w:rsid w:val="00412CE0"/>
    <w:rsid w:val="004132A7"/>
    <w:rsid w:val="00413416"/>
    <w:rsid w:val="004136CF"/>
    <w:rsid w:val="00413747"/>
    <w:rsid w:val="00414754"/>
    <w:rsid w:val="004147F6"/>
    <w:rsid w:val="0041497A"/>
    <w:rsid w:val="00414B14"/>
    <w:rsid w:val="00414BC5"/>
    <w:rsid w:val="00415916"/>
    <w:rsid w:val="00416058"/>
    <w:rsid w:val="00416543"/>
    <w:rsid w:val="004167A0"/>
    <w:rsid w:val="00416DDB"/>
    <w:rsid w:val="004177BC"/>
    <w:rsid w:val="004177C3"/>
    <w:rsid w:val="00417843"/>
    <w:rsid w:val="00420166"/>
    <w:rsid w:val="004203AE"/>
    <w:rsid w:val="0042091F"/>
    <w:rsid w:val="00420B13"/>
    <w:rsid w:val="0042180F"/>
    <w:rsid w:val="004226EE"/>
    <w:rsid w:val="00422784"/>
    <w:rsid w:val="004229E7"/>
    <w:rsid w:val="004238CD"/>
    <w:rsid w:val="004244A0"/>
    <w:rsid w:val="004244A3"/>
    <w:rsid w:val="0042533E"/>
    <w:rsid w:val="004253F7"/>
    <w:rsid w:val="00425AF8"/>
    <w:rsid w:val="00426C49"/>
    <w:rsid w:val="004270C2"/>
    <w:rsid w:val="0042713E"/>
    <w:rsid w:val="004276A7"/>
    <w:rsid w:val="00427EAD"/>
    <w:rsid w:val="004309E6"/>
    <w:rsid w:val="00430D46"/>
    <w:rsid w:val="004310BF"/>
    <w:rsid w:val="00431957"/>
    <w:rsid w:val="00431B98"/>
    <w:rsid w:val="00431BAE"/>
    <w:rsid w:val="00431C21"/>
    <w:rsid w:val="00431D80"/>
    <w:rsid w:val="004320F4"/>
    <w:rsid w:val="004321D2"/>
    <w:rsid w:val="00432AD7"/>
    <w:rsid w:val="00433159"/>
    <w:rsid w:val="004336C4"/>
    <w:rsid w:val="00433823"/>
    <w:rsid w:val="0043492E"/>
    <w:rsid w:val="00434CD9"/>
    <w:rsid w:val="00434DDA"/>
    <w:rsid w:val="00434E0D"/>
    <w:rsid w:val="00436177"/>
    <w:rsid w:val="00436201"/>
    <w:rsid w:val="004366D0"/>
    <w:rsid w:val="00436A14"/>
    <w:rsid w:val="00436CFF"/>
    <w:rsid w:val="004372DC"/>
    <w:rsid w:val="004373A1"/>
    <w:rsid w:val="004373E2"/>
    <w:rsid w:val="004403E7"/>
    <w:rsid w:val="0044078E"/>
    <w:rsid w:val="00440822"/>
    <w:rsid w:val="004413DE"/>
    <w:rsid w:val="00441563"/>
    <w:rsid w:val="0044177C"/>
    <w:rsid w:val="004417BB"/>
    <w:rsid w:val="004418D2"/>
    <w:rsid w:val="0044199F"/>
    <w:rsid w:val="00441B93"/>
    <w:rsid w:val="00441F70"/>
    <w:rsid w:val="004429EE"/>
    <w:rsid w:val="00442C90"/>
    <w:rsid w:val="00442DDA"/>
    <w:rsid w:val="00442DF8"/>
    <w:rsid w:val="00442EC7"/>
    <w:rsid w:val="004432B7"/>
    <w:rsid w:val="004450B3"/>
    <w:rsid w:val="0044546C"/>
    <w:rsid w:val="00445C34"/>
    <w:rsid w:val="00446AB5"/>
    <w:rsid w:val="00446E75"/>
    <w:rsid w:val="00447274"/>
    <w:rsid w:val="00447444"/>
    <w:rsid w:val="004479AF"/>
    <w:rsid w:val="00450216"/>
    <w:rsid w:val="004507DF"/>
    <w:rsid w:val="00450D8A"/>
    <w:rsid w:val="004518F2"/>
    <w:rsid w:val="004519ED"/>
    <w:rsid w:val="00451B8F"/>
    <w:rsid w:val="00451C79"/>
    <w:rsid w:val="00451D3B"/>
    <w:rsid w:val="00452795"/>
    <w:rsid w:val="004529A4"/>
    <w:rsid w:val="00452E32"/>
    <w:rsid w:val="0045306C"/>
    <w:rsid w:val="004533D8"/>
    <w:rsid w:val="0045361A"/>
    <w:rsid w:val="0045395E"/>
    <w:rsid w:val="004543E0"/>
    <w:rsid w:val="00454598"/>
    <w:rsid w:val="00455BE8"/>
    <w:rsid w:val="004569D8"/>
    <w:rsid w:val="00456CFC"/>
    <w:rsid w:val="00457D69"/>
    <w:rsid w:val="00460008"/>
    <w:rsid w:val="00460061"/>
    <w:rsid w:val="0046047C"/>
    <w:rsid w:val="00460FA6"/>
    <w:rsid w:val="00461C25"/>
    <w:rsid w:val="00462F82"/>
    <w:rsid w:val="004636B4"/>
    <w:rsid w:val="004637A0"/>
    <w:rsid w:val="00464301"/>
    <w:rsid w:val="00464346"/>
    <w:rsid w:val="0046468C"/>
    <w:rsid w:val="00464C2A"/>
    <w:rsid w:val="004660B5"/>
    <w:rsid w:val="004668A9"/>
    <w:rsid w:val="00466AF7"/>
    <w:rsid w:val="00466C01"/>
    <w:rsid w:val="00466DE6"/>
    <w:rsid w:val="00466FFC"/>
    <w:rsid w:val="004670BB"/>
    <w:rsid w:val="0046772F"/>
    <w:rsid w:val="00467A88"/>
    <w:rsid w:val="00470509"/>
    <w:rsid w:val="00470A35"/>
    <w:rsid w:val="0047130B"/>
    <w:rsid w:val="00471333"/>
    <w:rsid w:val="0047196D"/>
    <w:rsid w:val="004719A5"/>
    <w:rsid w:val="004721C0"/>
    <w:rsid w:val="00472483"/>
    <w:rsid w:val="00472C37"/>
    <w:rsid w:val="00472DD5"/>
    <w:rsid w:val="0047386C"/>
    <w:rsid w:val="00473DE2"/>
    <w:rsid w:val="00474101"/>
    <w:rsid w:val="0047495B"/>
    <w:rsid w:val="00474D43"/>
    <w:rsid w:val="00475053"/>
    <w:rsid w:val="00476E0A"/>
    <w:rsid w:val="0047798B"/>
    <w:rsid w:val="00477C29"/>
    <w:rsid w:val="00480D8F"/>
    <w:rsid w:val="00480ECC"/>
    <w:rsid w:val="0048108B"/>
    <w:rsid w:val="00481713"/>
    <w:rsid w:val="0048251E"/>
    <w:rsid w:val="004826D0"/>
    <w:rsid w:val="004831E5"/>
    <w:rsid w:val="00483944"/>
    <w:rsid w:val="00483C20"/>
    <w:rsid w:val="00483EA5"/>
    <w:rsid w:val="00484041"/>
    <w:rsid w:val="00484121"/>
    <w:rsid w:val="004844ED"/>
    <w:rsid w:val="004847CD"/>
    <w:rsid w:val="0048487F"/>
    <w:rsid w:val="00484B9F"/>
    <w:rsid w:val="00485635"/>
    <w:rsid w:val="00485710"/>
    <w:rsid w:val="00485CC3"/>
    <w:rsid w:val="00485F01"/>
    <w:rsid w:val="00486128"/>
    <w:rsid w:val="004861A7"/>
    <w:rsid w:val="00486717"/>
    <w:rsid w:val="00486CA1"/>
    <w:rsid w:val="00487388"/>
    <w:rsid w:val="004873A5"/>
    <w:rsid w:val="004873D9"/>
    <w:rsid w:val="0049011D"/>
    <w:rsid w:val="004903C6"/>
    <w:rsid w:val="0049078C"/>
    <w:rsid w:val="00490EAA"/>
    <w:rsid w:val="004918F7"/>
    <w:rsid w:val="004926F6"/>
    <w:rsid w:val="00493894"/>
    <w:rsid w:val="004945F2"/>
    <w:rsid w:val="00494961"/>
    <w:rsid w:val="004949AF"/>
    <w:rsid w:val="00494AC3"/>
    <w:rsid w:val="00494F66"/>
    <w:rsid w:val="00495334"/>
    <w:rsid w:val="004959D1"/>
    <w:rsid w:val="004959DB"/>
    <w:rsid w:val="00495B37"/>
    <w:rsid w:val="00496863"/>
    <w:rsid w:val="004977B1"/>
    <w:rsid w:val="004A0547"/>
    <w:rsid w:val="004A07AB"/>
    <w:rsid w:val="004A08F6"/>
    <w:rsid w:val="004A09E9"/>
    <w:rsid w:val="004A0C3D"/>
    <w:rsid w:val="004A1248"/>
    <w:rsid w:val="004A1722"/>
    <w:rsid w:val="004A1BC8"/>
    <w:rsid w:val="004A1C4C"/>
    <w:rsid w:val="004A1EE4"/>
    <w:rsid w:val="004A25C8"/>
    <w:rsid w:val="004A300A"/>
    <w:rsid w:val="004A3098"/>
    <w:rsid w:val="004A3C5D"/>
    <w:rsid w:val="004A4BE2"/>
    <w:rsid w:val="004A4CFA"/>
    <w:rsid w:val="004A52D8"/>
    <w:rsid w:val="004A56C9"/>
    <w:rsid w:val="004A5921"/>
    <w:rsid w:val="004A5A54"/>
    <w:rsid w:val="004A5EC6"/>
    <w:rsid w:val="004A602B"/>
    <w:rsid w:val="004A633A"/>
    <w:rsid w:val="004A6795"/>
    <w:rsid w:val="004A6F4F"/>
    <w:rsid w:val="004A73AA"/>
    <w:rsid w:val="004A76BA"/>
    <w:rsid w:val="004A77D3"/>
    <w:rsid w:val="004B00EE"/>
    <w:rsid w:val="004B01F6"/>
    <w:rsid w:val="004B06AB"/>
    <w:rsid w:val="004B1582"/>
    <w:rsid w:val="004B18B4"/>
    <w:rsid w:val="004B1C77"/>
    <w:rsid w:val="004B251E"/>
    <w:rsid w:val="004B25C7"/>
    <w:rsid w:val="004B30F5"/>
    <w:rsid w:val="004B324B"/>
    <w:rsid w:val="004B331F"/>
    <w:rsid w:val="004B33A2"/>
    <w:rsid w:val="004B39E3"/>
    <w:rsid w:val="004B4276"/>
    <w:rsid w:val="004B457E"/>
    <w:rsid w:val="004B45B4"/>
    <w:rsid w:val="004B4634"/>
    <w:rsid w:val="004B5B37"/>
    <w:rsid w:val="004B5B94"/>
    <w:rsid w:val="004B5E37"/>
    <w:rsid w:val="004B6215"/>
    <w:rsid w:val="004B6DCF"/>
    <w:rsid w:val="004B7351"/>
    <w:rsid w:val="004C02EB"/>
    <w:rsid w:val="004C065A"/>
    <w:rsid w:val="004C1002"/>
    <w:rsid w:val="004C1D17"/>
    <w:rsid w:val="004C1E55"/>
    <w:rsid w:val="004C2815"/>
    <w:rsid w:val="004C2BE5"/>
    <w:rsid w:val="004C3643"/>
    <w:rsid w:val="004C36E2"/>
    <w:rsid w:val="004C3920"/>
    <w:rsid w:val="004C3F16"/>
    <w:rsid w:val="004C3F3D"/>
    <w:rsid w:val="004C42E3"/>
    <w:rsid w:val="004C479B"/>
    <w:rsid w:val="004C4928"/>
    <w:rsid w:val="004C493F"/>
    <w:rsid w:val="004C4D70"/>
    <w:rsid w:val="004C5774"/>
    <w:rsid w:val="004C5908"/>
    <w:rsid w:val="004C5974"/>
    <w:rsid w:val="004C77B2"/>
    <w:rsid w:val="004C7BDB"/>
    <w:rsid w:val="004D019F"/>
    <w:rsid w:val="004D0BFF"/>
    <w:rsid w:val="004D0E22"/>
    <w:rsid w:val="004D16D4"/>
    <w:rsid w:val="004D1B25"/>
    <w:rsid w:val="004D28A0"/>
    <w:rsid w:val="004D298B"/>
    <w:rsid w:val="004D35FA"/>
    <w:rsid w:val="004D36C3"/>
    <w:rsid w:val="004D38FB"/>
    <w:rsid w:val="004D3B68"/>
    <w:rsid w:val="004D3BE9"/>
    <w:rsid w:val="004D3DDC"/>
    <w:rsid w:val="004D4087"/>
    <w:rsid w:val="004D4131"/>
    <w:rsid w:val="004D464B"/>
    <w:rsid w:val="004D4DA1"/>
    <w:rsid w:val="004D5EFB"/>
    <w:rsid w:val="004D6BDE"/>
    <w:rsid w:val="004D78D3"/>
    <w:rsid w:val="004D7A4D"/>
    <w:rsid w:val="004D7C33"/>
    <w:rsid w:val="004D7ED9"/>
    <w:rsid w:val="004E02DA"/>
    <w:rsid w:val="004E03FC"/>
    <w:rsid w:val="004E117C"/>
    <w:rsid w:val="004E11F7"/>
    <w:rsid w:val="004E1382"/>
    <w:rsid w:val="004E2767"/>
    <w:rsid w:val="004E2828"/>
    <w:rsid w:val="004E3B2E"/>
    <w:rsid w:val="004E3BBF"/>
    <w:rsid w:val="004E3D8A"/>
    <w:rsid w:val="004E3D8D"/>
    <w:rsid w:val="004E3FFC"/>
    <w:rsid w:val="004E4679"/>
    <w:rsid w:val="004E4DDC"/>
    <w:rsid w:val="004E4E17"/>
    <w:rsid w:val="004E5E2A"/>
    <w:rsid w:val="004E6ADE"/>
    <w:rsid w:val="004E6BB8"/>
    <w:rsid w:val="004E712E"/>
    <w:rsid w:val="004E72BA"/>
    <w:rsid w:val="004F0060"/>
    <w:rsid w:val="004F0126"/>
    <w:rsid w:val="004F024D"/>
    <w:rsid w:val="004F0513"/>
    <w:rsid w:val="004F1547"/>
    <w:rsid w:val="004F15F8"/>
    <w:rsid w:val="004F1AF0"/>
    <w:rsid w:val="004F2042"/>
    <w:rsid w:val="004F21FE"/>
    <w:rsid w:val="004F387D"/>
    <w:rsid w:val="004F3A2D"/>
    <w:rsid w:val="004F3FEC"/>
    <w:rsid w:val="004F44D1"/>
    <w:rsid w:val="004F4BB7"/>
    <w:rsid w:val="004F4E7D"/>
    <w:rsid w:val="004F5665"/>
    <w:rsid w:val="004F5BFA"/>
    <w:rsid w:val="004F5C86"/>
    <w:rsid w:val="004F63BE"/>
    <w:rsid w:val="004F65DD"/>
    <w:rsid w:val="004F6B98"/>
    <w:rsid w:val="004F6E12"/>
    <w:rsid w:val="004F6F3E"/>
    <w:rsid w:val="004F771A"/>
    <w:rsid w:val="004F7CD0"/>
    <w:rsid w:val="004F7E85"/>
    <w:rsid w:val="005005FD"/>
    <w:rsid w:val="0050065A"/>
    <w:rsid w:val="0050068E"/>
    <w:rsid w:val="00500CC4"/>
    <w:rsid w:val="00501239"/>
    <w:rsid w:val="0050155D"/>
    <w:rsid w:val="00501AE5"/>
    <w:rsid w:val="00501E69"/>
    <w:rsid w:val="00502116"/>
    <w:rsid w:val="005025F9"/>
    <w:rsid w:val="0050295D"/>
    <w:rsid w:val="00502FCA"/>
    <w:rsid w:val="005037CF"/>
    <w:rsid w:val="00503A45"/>
    <w:rsid w:val="00504130"/>
    <w:rsid w:val="0050454A"/>
    <w:rsid w:val="0050459D"/>
    <w:rsid w:val="0050469F"/>
    <w:rsid w:val="005052D9"/>
    <w:rsid w:val="0050546B"/>
    <w:rsid w:val="00506731"/>
    <w:rsid w:val="00507255"/>
    <w:rsid w:val="00510B48"/>
    <w:rsid w:val="005113E8"/>
    <w:rsid w:val="0051150C"/>
    <w:rsid w:val="005118C3"/>
    <w:rsid w:val="005122F2"/>
    <w:rsid w:val="00514146"/>
    <w:rsid w:val="0051535F"/>
    <w:rsid w:val="00515665"/>
    <w:rsid w:val="005156DA"/>
    <w:rsid w:val="0051606F"/>
    <w:rsid w:val="00516B36"/>
    <w:rsid w:val="005174EB"/>
    <w:rsid w:val="00517C1E"/>
    <w:rsid w:val="00517EC2"/>
    <w:rsid w:val="00520275"/>
    <w:rsid w:val="005209B1"/>
    <w:rsid w:val="005217E8"/>
    <w:rsid w:val="005217F1"/>
    <w:rsid w:val="00521BD0"/>
    <w:rsid w:val="00521F3E"/>
    <w:rsid w:val="00521FB8"/>
    <w:rsid w:val="00522018"/>
    <w:rsid w:val="0052232C"/>
    <w:rsid w:val="00522688"/>
    <w:rsid w:val="00523556"/>
    <w:rsid w:val="0052398B"/>
    <w:rsid w:val="00524AFB"/>
    <w:rsid w:val="00524D11"/>
    <w:rsid w:val="00525C24"/>
    <w:rsid w:val="00525DC0"/>
    <w:rsid w:val="00526183"/>
    <w:rsid w:val="005263DA"/>
    <w:rsid w:val="0052677E"/>
    <w:rsid w:val="00526920"/>
    <w:rsid w:val="00526A04"/>
    <w:rsid w:val="00527ADF"/>
    <w:rsid w:val="00530D71"/>
    <w:rsid w:val="00531072"/>
    <w:rsid w:val="00531A51"/>
    <w:rsid w:val="005321DB"/>
    <w:rsid w:val="00532410"/>
    <w:rsid w:val="0053249A"/>
    <w:rsid w:val="00532BFD"/>
    <w:rsid w:val="00532F90"/>
    <w:rsid w:val="005331F4"/>
    <w:rsid w:val="00534416"/>
    <w:rsid w:val="005349D6"/>
    <w:rsid w:val="00536756"/>
    <w:rsid w:val="00536A81"/>
    <w:rsid w:val="00537589"/>
    <w:rsid w:val="00537CE3"/>
    <w:rsid w:val="005400FB"/>
    <w:rsid w:val="00542DA7"/>
    <w:rsid w:val="00543412"/>
    <w:rsid w:val="0054370C"/>
    <w:rsid w:val="00543A87"/>
    <w:rsid w:val="00544646"/>
    <w:rsid w:val="00544DA7"/>
    <w:rsid w:val="00545B6A"/>
    <w:rsid w:val="00545E97"/>
    <w:rsid w:val="0054636E"/>
    <w:rsid w:val="00546509"/>
    <w:rsid w:val="005475F7"/>
    <w:rsid w:val="00547F93"/>
    <w:rsid w:val="00550964"/>
    <w:rsid w:val="005510AA"/>
    <w:rsid w:val="00551674"/>
    <w:rsid w:val="005519BF"/>
    <w:rsid w:val="00552029"/>
    <w:rsid w:val="00552FDE"/>
    <w:rsid w:val="00553225"/>
    <w:rsid w:val="005534C8"/>
    <w:rsid w:val="00553743"/>
    <w:rsid w:val="005545FA"/>
    <w:rsid w:val="0055593D"/>
    <w:rsid w:val="005561C0"/>
    <w:rsid w:val="005561CE"/>
    <w:rsid w:val="0055661C"/>
    <w:rsid w:val="005573A8"/>
    <w:rsid w:val="00560345"/>
    <w:rsid w:val="00560927"/>
    <w:rsid w:val="00560CD1"/>
    <w:rsid w:val="005618F5"/>
    <w:rsid w:val="00562F2C"/>
    <w:rsid w:val="00563459"/>
    <w:rsid w:val="0056366C"/>
    <w:rsid w:val="005639EE"/>
    <w:rsid w:val="00564F59"/>
    <w:rsid w:val="00565460"/>
    <w:rsid w:val="0056583C"/>
    <w:rsid w:val="00565EB5"/>
    <w:rsid w:val="005663C2"/>
    <w:rsid w:val="00566742"/>
    <w:rsid w:val="005669D1"/>
    <w:rsid w:val="00570132"/>
    <w:rsid w:val="00570176"/>
    <w:rsid w:val="005709A7"/>
    <w:rsid w:val="00571996"/>
    <w:rsid w:val="00572172"/>
    <w:rsid w:val="005721D7"/>
    <w:rsid w:val="00572A7F"/>
    <w:rsid w:val="00572E18"/>
    <w:rsid w:val="00572FD1"/>
    <w:rsid w:val="00573A82"/>
    <w:rsid w:val="00573C66"/>
    <w:rsid w:val="00573D0B"/>
    <w:rsid w:val="005742C4"/>
    <w:rsid w:val="00574629"/>
    <w:rsid w:val="00574D89"/>
    <w:rsid w:val="005753E3"/>
    <w:rsid w:val="005757CB"/>
    <w:rsid w:val="005759AD"/>
    <w:rsid w:val="005761B8"/>
    <w:rsid w:val="0057697E"/>
    <w:rsid w:val="00576A97"/>
    <w:rsid w:val="00576B71"/>
    <w:rsid w:val="0057753F"/>
    <w:rsid w:val="00577A36"/>
    <w:rsid w:val="005801C7"/>
    <w:rsid w:val="00580419"/>
    <w:rsid w:val="005805E0"/>
    <w:rsid w:val="005807BC"/>
    <w:rsid w:val="005808ED"/>
    <w:rsid w:val="00581306"/>
    <w:rsid w:val="00581533"/>
    <w:rsid w:val="00581C3D"/>
    <w:rsid w:val="00581C68"/>
    <w:rsid w:val="00581ECE"/>
    <w:rsid w:val="00582BD0"/>
    <w:rsid w:val="0058316E"/>
    <w:rsid w:val="005831D7"/>
    <w:rsid w:val="0058381A"/>
    <w:rsid w:val="005839D9"/>
    <w:rsid w:val="00583C1C"/>
    <w:rsid w:val="00584F9D"/>
    <w:rsid w:val="00585830"/>
    <w:rsid w:val="00585E90"/>
    <w:rsid w:val="0058606B"/>
    <w:rsid w:val="005873F1"/>
    <w:rsid w:val="00587610"/>
    <w:rsid w:val="00587737"/>
    <w:rsid w:val="005903C2"/>
    <w:rsid w:val="00590F8C"/>
    <w:rsid w:val="005915E5"/>
    <w:rsid w:val="005922BF"/>
    <w:rsid w:val="00592746"/>
    <w:rsid w:val="00592A89"/>
    <w:rsid w:val="00592FF4"/>
    <w:rsid w:val="00594F24"/>
    <w:rsid w:val="00595072"/>
    <w:rsid w:val="00595478"/>
    <w:rsid w:val="005954FF"/>
    <w:rsid w:val="005955AA"/>
    <w:rsid w:val="00595A8D"/>
    <w:rsid w:val="00595AB7"/>
    <w:rsid w:val="00595F22"/>
    <w:rsid w:val="00596094"/>
    <w:rsid w:val="00596999"/>
    <w:rsid w:val="005971D7"/>
    <w:rsid w:val="00597300"/>
    <w:rsid w:val="005A066C"/>
    <w:rsid w:val="005A0855"/>
    <w:rsid w:val="005A0BBC"/>
    <w:rsid w:val="005A0BFB"/>
    <w:rsid w:val="005A1EAB"/>
    <w:rsid w:val="005A1EF6"/>
    <w:rsid w:val="005A319E"/>
    <w:rsid w:val="005A3269"/>
    <w:rsid w:val="005A3B45"/>
    <w:rsid w:val="005A404E"/>
    <w:rsid w:val="005A421E"/>
    <w:rsid w:val="005A43D9"/>
    <w:rsid w:val="005A644C"/>
    <w:rsid w:val="005A7B42"/>
    <w:rsid w:val="005A7E27"/>
    <w:rsid w:val="005B00B0"/>
    <w:rsid w:val="005B04DD"/>
    <w:rsid w:val="005B07B8"/>
    <w:rsid w:val="005B08D9"/>
    <w:rsid w:val="005B0BAE"/>
    <w:rsid w:val="005B189C"/>
    <w:rsid w:val="005B26A6"/>
    <w:rsid w:val="005B292C"/>
    <w:rsid w:val="005B2936"/>
    <w:rsid w:val="005B2D05"/>
    <w:rsid w:val="005B32DF"/>
    <w:rsid w:val="005B3624"/>
    <w:rsid w:val="005B37FA"/>
    <w:rsid w:val="005B3D02"/>
    <w:rsid w:val="005B4247"/>
    <w:rsid w:val="005B514C"/>
    <w:rsid w:val="005B5AC0"/>
    <w:rsid w:val="005B61F5"/>
    <w:rsid w:val="005B6AD0"/>
    <w:rsid w:val="005B79E9"/>
    <w:rsid w:val="005B7A98"/>
    <w:rsid w:val="005B7D8F"/>
    <w:rsid w:val="005C010F"/>
    <w:rsid w:val="005C02A3"/>
    <w:rsid w:val="005C034E"/>
    <w:rsid w:val="005C0573"/>
    <w:rsid w:val="005C0921"/>
    <w:rsid w:val="005C0B4F"/>
    <w:rsid w:val="005C0C2C"/>
    <w:rsid w:val="005C200F"/>
    <w:rsid w:val="005C2AFF"/>
    <w:rsid w:val="005C2C6F"/>
    <w:rsid w:val="005C33A0"/>
    <w:rsid w:val="005C373B"/>
    <w:rsid w:val="005C392B"/>
    <w:rsid w:val="005C3C4F"/>
    <w:rsid w:val="005C43C5"/>
    <w:rsid w:val="005C4473"/>
    <w:rsid w:val="005C45EE"/>
    <w:rsid w:val="005C4F0C"/>
    <w:rsid w:val="005C4FB1"/>
    <w:rsid w:val="005C531C"/>
    <w:rsid w:val="005C5396"/>
    <w:rsid w:val="005C56D3"/>
    <w:rsid w:val="005C5AE5"/>
    <w:rsid w:val="005C5D3C"/>
    <w:rsid w:val="005C6464"/>
    <w:rsid w:val="005C65CA"/>
    <w:rsid w:val="005C662D"/>
    <w:rsid w:val="005C6CD2"/>
    <w:rsid w:val="005C725B"/>
    <w:rsid w:val="005C730A"/>
    <w:rsid w:val="005C7996"/>
    <w:rsid w:val="005C7BE7"/>
    <w:rsid w:val="005D0443"/>
    <w:rsid w:val="005D0DC6"/>
    <w:rsid w:val="005D0E57"/>
    <w:rsid w:val="005D11B8"/>
    <w:rsid w:val="005D1298"/>
    <w:rsid w:val="005D1628"/>
    <w:rsid w:val="005D210D"/>
    <w:rsid w:val="005D21E4"/>
    <w:rsid w:val="005D3005"/>
    <w:rsid w:val="005D30DD"/>
    <w:rsid w:val="005D3C1E"/>
    <w:rsid w:val="005D4AC6"/>
    <w:rsid w:val="005D50EE"/>
    <w:rsid w:val="005D5B7D"/>
    <w:rsid w:val="005D5BAF"/>
    <w:rsid w:val="005D6519"/>
    <w:rsid w:val="005D654B"/>
    <w:rsid w:val="005D6AD1"/>
    <w:rsid w:val="005D6BC4"/>
    <w:rsid w:val="005D6E91"/>
    <w:rsid w:val="005D76DF"/>
    <w:rsid w:val="005D7821"/>
    <w:rsid w:val="005D7C93"/>
    <w:rsid w:val="005E005F"/>
    <w:rsid w:val="005E02FE"/>
    <w:rsid w:val="005E04A3"/>
    <w:rsid w:val="005E05D6"/>
    <w:rsid w:val="005E0C20"/>
    <w:rsid w:val="005E0D4A"/>
    <w:rsid w:val="005E1709"/>
    <w:rsid w:val="005E1804"/>
    <w:rsid w:val="005E19CC"/>
    <w:rsid w:val="005E1C35"/>
    <w:rsid w:val="005E1CF9"/>
    <w:rsid w:val="005E21CE"/>
    <w:rsid w:val="005E2BF7"/>
    <w:rsid w:val="005E300C"/>
    <w:rsid w:val="005E32C2"/>
    <w:rsid w:val="005E37A2"/>
    <w:rsid w:val="005E4032"/>
    <w:rsid w:val="005E445B"/>
    <w:rsid w:val="005E4C9C"/>
    <w:rsid w:val="005E4D13"/>
    <w:rsid w:val="005E5243"/>
    <w:rsid w:val="005E5494"/>
    <w:rsid w:val="005E65B6"/>
    <w:rsid w:val="005E6654"/>
    <w:rsid w:val="005E6838"/>
    <w:rsid w:val="005E71FF"/>
    <w:rsid w:val="005E9447"/>
    <w:rsid w:val="005F03EE"/>
    <w:rsid w:val="005F1268"/>
    <w:rsid w:val="005F1430"/>
    <w:rsid w:val="005F1955"/>
    <w:rsid w:val="005F1BB6"/>
    <w:rsid w:val="005F2AF6"/>
    <w:rsid w:val="005F2D59"/>
    <w:rsid w:val="005F3246"/>
    <w:rsid w:val="005F39D5"/>
    <w:rsid w:val="005F4770"/>
    <w:rsid w:val="005F47C6"/>
    <w:rsid w:val="005F505F"/>
    <w:rsid w:val="005F53A6"/>
    <w:rsid w:val="005F6754"/>
    <w:rsid w:val="005F69AA"/>
    <w:rsid w:val="005F70EB"/>
    <w:rsid w:val="005F71C0"/>
    <w:rsid w:val="005F747B"/>
    <w:rsid w:val="005F74F2"/>
    <w:rsid w:val="005F79F0"/>
    <w:rsid w:val="00600368"/>
    <w:rsid w:val="006010A0"/>
    <w:rsid w:val="006011E7"/>
    <w:rsid w:val="00601686"/>
    <w:rsid w:val="00601C9E"/>
    <w:rsid w:val="00602457"/>
    <w:rsid w:val="00602C09"/>
    <w:rsid w:val="00602FD1"/>
    <w:rsid w:val="0060312B"/>
    <w:rsid w:val="006037DC"/>
    <w:rsid w:val="00603F1E"/>
    <w:rsid w:val="00603FD2"/>
    <w:rsid w:val="0060404D"/>
    <w:rsid w:val="0060418E"/>
    <w:rsid w:val="0060483F"/>
    <w:rsid w:val="00604CAB"/>
    <w:rsid w:val="0060524C"/>
    <w:rsid w:val="00605455"/>
    <w:rsid w:val="006055ED"/>
    <w:rsid w:val="00606B02"/>
    <w:rsid w:val="00607890"/>
    <w:rsid w:val="006107DD"/>
    <w:rsid w:val="00610E72"/>
    <w:rsid w:val="0061102F"/>
    <w:rsid w:val="00611791"/>
    <w:rsid w:val="00611A01"/>
    <w:rsid w:val="00611A5A"/>
    <w:rsid w:val="00612C07"/>
    <w:rsid w:val="00613013"/>
    <w:rsid w:val="00613058"/>
    <w:rsid w:val="006132AB"/>
    <w:rsid w:val="006139BC"/>
    <w:rsid w:val="00613ACA"/>
    <w:rsid w:val="0061493F"/>
    <w:rsid w:val="00614A69"/>
    <w:rsid w:val="00614F63"/>
    <w:rsid w:val="00614FB8"/>
    <w:rsid w:val="00615188"/>
    <w:rsid w:val="00615325"/>
    <w:rsid w:val="00615518"/>
    <w:rsid w:val="006164F4"/>
    <w:rsid w:val="00617563"/>
    <w:rsid w:val="00617A00"/>
    <w:rsid w:val="00617D1E"/>
    <w:rsid w:val="0062045D"/>
    <w:rsid w:val="00620630"/>
    <w:rsid w:val="006218DF"/>
    <w:rsid w:val="00621D39"/>
    <w:rsid w:val="00621FD8"/>
    <w:rsid w:val="00622C51"/>
    <w:rsid w:val="00623426"/>
    <w:rsid w:val="00623532"/>
    <w:rsid w:val="006235E8"/>
    <w:rsid w:val="00623B89"/>
    <w:rsid w:val="006248DE"/>
    <w:rsid w:val="00625BD8"/>
    <w:rsid w:val="00627199"/>
    <w:rsid w:val="0062766F"/>
    <w:rsid w:val="0062775F"/>
    <w:rsid w:val="006277F7"/>
    <w:rsid w:val="0062799A"/>
    <w:rsid w:val="00627C7B"/>
    <w:rsid w:val="0063072B"/>
    <w:rsid w:val="00630CA9"/>
    <w:rsid w:val="0063107D"/>
    <w:rsid w:val="00632B23"/>
    <w:rsid w:val="00632EA4"/>
    <w:rsid w:val="006331D3"/>
    <w:rsid w:val="006337E9"/>
    <w:rsid w:val="006338C2"/>
    <w:rsid w:val="00633C29"/>
    <w:rsid w:val="00633F5F"/>
    <w:rsid w:val="006354E9"/>
    <w:rsid w:val="006359D7"/>
    <w:rsid w:val="00635AEA"/>
    <w:rsid w:val="00635DFD"/>
    <w:rsid w:val="006363A6"/>
    <w:rsid w:val="00636B71"/>
    <w:rsid w:val="00637723"/>
    <w:rsid w:val="00637C02"/>
    <w:rsid w:val="00640778"/>
    <w:rsid w:val="00640C65"/>
    <w:rsid w:val="00640FCA"/>
    <w:rsid w:val="00641EDB"/>
    <w:rsid w:val="006426EC"/>
    <w:rsid w:val="00642BBE"/>
    <w:rsid w:val="0064335D"/>
    <w:rsid w:val="00643801"/>
    <w:rsid w:val="006441AB"/>
    <w:rsid w:val="0064421E"/>
    <w:rsid w:val="00645705"/>
    <w:rsid w:val="00645AEA"/>
    <w:rsid w:val="00645F50"/>
    <w:rsid w:val="006466AB"/>
    <w:rsid w:val="00646AC9"/>
    <w:rsid w:val="0064703F"/>
    <w:rsid w:val="00651321"/>
    <w:rsid w:val="00651771"/>
    <w:rsid w:val="00651896"/>
    <w:rsid w:val="006526BF"/>
    <w:rsid w:val="006529DB"/>
    <w:rsid w:val="0065340E"/>
    <w:rsid w:val="00653A56"/>
    <w:rsid w:val="00653B9E"/>
    <w:rsid w:val="0065413C"/>
    <w:rsid w:val="00654B05"/>
    <w:rsid w:val="00654BF4"/>
    <w:rsid w:val="00655EA1"/>
    <w:rsid w:val="006560B9"/>
    <w:rsid w:val="006565E2"/>
    <w:rsid w:val="00656604"/>
    <w:rsid w:val="00656D08"/>
    <w:rsid w:val="00657620"/>
    <w:rsid w:val="00657A35"/>
    <w:rsid w:val="00657DE0"/>
    <w:rsid w:val="00660EB9"/>
    <w:rsid w:val="00660EDE"/>
    <w:rsid w:val="00661524"/>
    <w:rsid w:val="006620FB"/>
    <w:rsid w:val="0066255B"/>
    <w:rsid w:val="00662839"/>
    <w:rsid w:val="00662BE5"/>
    <w:rsid w:val="00663147"/>
    <w:rsid w:val="0066347F"/>
    <w:rsid w:val="00663629"/>
    <w:rsid w:val="00664CCE"/>
    <w:rsid w:val="006651E6"/>
    <w:rsid w:val="0066580E"/>
    <w:rsid w:val="00665863"/>
    <w:rsid w:val="0066586C"/>
    <w:rsid w:val="00665B52"/>
    <w:rsid w:val="00666440"/>
    <w:rsid w:val="00666769"/>
    <w:rsid w:val="00666A4B"/>
    <w:rsid w:val="00666A85"/>
    <w:rsid w:val="00666E7E"/>
    <w:rsid w:val="006673D0"/>
    <w:rsid w:val="00667478"/>
    <w:rsid w:val="00667E6F"/>
    <w:rsid w:val="00670D54"/>
    <w:rsid w:val="00671D7C"/>
    <w:rsid w:val="00672361"/>
    <w:rsid w:val="00672E72"/>
    <w:rsid w:val="0067333E"/>
    <w:rsid w:val="0067384D"/>
    <w:rsid w:val="0067412D"/>
    <w:rsid w:val="006741B0"/>
    <w:rsid w:val="006749E9"/>
    <w:rsid w:val="00674E83"/>
    <w:rsid w:val="006753B3"/>
    <w:rsid w:val="006758E5"/>
    <w:rsid w:val="00675E50"/>
    <w:rsid w:val="00675EFB"/>
    <w:rsid w:val="00676111"/>
    <w:rsid w:val="0067672F"/>
    <w:rsid w:val="0067708B"/>
    <w:rsid w:val="00677332"/>
    <w:rsid w:val="00677891"/>
    <w:rsid w:val="006778F3"/>
    <w:rsid w:val="006803CB"/>
    <w:rsid w:val="00680AB3"/>
    <w:rsid w:val="00681199"/>
    <w:rsid w:val="0068125A"/>
    <w:rsid w:val="00681867"/>
    <w:rsid w:val="0068200E"/>
    <w:rsid w:val="00682867"/>
    <w:rsid w:val="006828FF"/>
    <w:rsid w:val="006836A9"/>
    <w:rsid w:val="00683C3D"/>
    <w:rsid w:val="00683EE1"/>
    <w:rsid w:val="00683F20"/>
    <w:rsid w:val="00684045"/>
    <w:rsid w:val="00684172"/>
    <w:rsid w:val="0068457C"/>
    <w:rsid w:val="00684DAD"/>
    <w:rsid w:val="0068553E"/>
    <w:rsid w:val="00685956"/>
    <w:rsid w:val="00685A4A"/>
    <w:rsid w:val="00686866"/>
    <w:rsid w:val="00686D74"/>
    <w:rsid w:val="006878C8"/>
    <w:rsid w:val="006879CB"/>
    <w:rsid w:val="00687A86"/>
    <w:rsid w:val="00687B91"/>
    <w:rsid w:val="00687F6F"/>
    <w:rsid w:val="00690A7A"/>
    <w:rsid w:val="00690F27"/>
    <w:rsid w:val="006911FA"/>
    <w:rsid w:val="00691C9C"/>
    <w:rsid w:val="00691D4A"/>
    <w:rsid w:val="00692569"/>
    <w:rsid w:val="006927EC"/>
    <w:rsid w:val="006928B6"/>
    <w:rsid w:val="006934CA"/>
    <w:rsid w:val="00693891"/>
    <w:rsid w:val="00693A24"/>
    <w:rsid w:val="006940EE"/>
    <w:rsid w:val="0069463E"/>
    <w:rsid w:val="00694D56"/>
    <w:rsid w:val="00694E64"/>
    <w:rsid w:val="00694EC4"/>
    <w:rsid w:val="00695E92"/>
    <w:rsid w:val="00695F2D"/>
    <w:rsid w:val="006968AE"/>
    <w:rsid w:val="00696FE2"/>
    <w:rsid w:val="00697278"/>
    <w:rsid w:val="0069766B"/>
    <w:rsid w:val="0069799C"/>
    <w:rsid w:val="00697CB0"/>
    <w:rsid w:val="006A05BA"/>
    <w:rsid w:val="006A1B59"/>
    <w:rsid w:val="006A2105"/>
    <w:rsid w:val="006A26DA"/>
    <w:rsid w:val="006A2D8F"/>
    <w:rsid w:val="006A3226"/>
    <w:rsid w:val="006A35B0"/>
    <w:rsid w:val="006A45FA"/>
    <w:rsid w:val="006A4730"/>
    <w:rsid w:val="006A475C"/>
    <w:rsid w:val="006A5451"/>
    <w:rsid w:val="006A594B"/>
    <w:rsid w:val="006A59A0"/>
    <w:rsid w:val="006A666C"/>
    <w:rsid w:val="006B09C5"/>
    <w:rsid w:val="006B0D16"/>
    <w:rsid w:val="006B0D39"/>
    <w:rsid w:val="006B122B"/>
    <w:rsid w:val="006B13FB"/>
    <w:rsid w:val="006B15B9"/>
    <w:rsid w:val="006B246E"/>
    <w:rsid w:val="006B324E"/>
    <w:rsid w:val="006B39FF"/>
    <w:rsid w:val="006B3BF0"/>
    <w:rsid w:val="006B465C"/>
    <w:rsid w:val="006B4AE7"/>
    <w:rsid w:val="006B4BB8"/>
    <w:rsid w:val="006B5B18"/>
    <w:rsid w:val="006B6089"/>
    <w:rsid w:val="006B6A12"/>
    <w:rsid w:val="006B6E06"/>
    <w:rsid w:val="006B7588"/>
    <w:rsid w:val="006B7E34"/>
    <w:rsid w:val="006C03D3"/>
    <w:rsid w:val="006C0C60"/>
    <w:rsid w:val="006C0CC5"/>
    <w:rsid w:val="006C0D36"/>
    <w:rsid w:val="006C1115"/>
    <w:rsid w:val="006C1821"/>
    <w:rsid w:val="006C2C37"/>
    <w:rsid w:val="006C33F3"/>
    <w:rsid w:val="006C40CB"/>
    <w:rsid w:val="006C4193"/>
    <w:rsid w:val="006C41FC"/>
    <w:rsid w:val="006C4FD7"/>
    <w:rsid w:val="006C55AE"/>
    <w:rsid w:val="006C576F"/>
    <w:rsid w:val="006C5D3E"/>
    <w:rsid w:val="006C5ECB"/>
    <w:rsid w:val="006C6EE5"/>
    <w:rsid w:val="006C6FD9"/>
    <w:rsid w:val="006C7045"/>
    <w:rsid w:val="006D0A32"/>
    <w:rsid w:val="006D0FFD"/>
    <w:rsid w:val="006D103F"/>
    <w:rsid w:val="006D1AC1"/>
    <w:rsid w:val="006D1C85"/>
    <w:rsid w:val="006D1F34"/>
    <w:rsid w:val="006D2BD7"/>
    <w:rsid w:val="006D329B"/>
    <w:rsid w:val="006D37B4"/>
    <w:rsid w:val="006D39F0"/>
    <w:rsid w:val="006D3F90"/>
    <w:rsid w:val="006D41B0"/>
    <w:rsid w:val="006D4BCF"/>
    <w:rsid w:val="006D4C8C"/>
    <w:rsid w:val="006D4D6F"/>
    <w:rsid w:val="006D542F"/>
    <w:rsid w:val="006D558D"/>
    <w:rsid w:val="006D5A51"/>
    <w:rsid w:val="006D5E51"/>
    <w:rsid w:val="006D6978"/>
    <w:rsid w:val="006D6CCC"/>
    <w:rsid w:val="006D7101"/>
    <w:rsid w:val="006D728A"/>
    <w:rsid w:val="006D7463"/>
    <w:rsid w:val="006D7D34"/>
    <w:rsid w:val="006E0500"/>
    <w:rsid w:val="006E0F16"/>
    <w:rsid w:val="006E10BE"/>
    <w:rsid w:val="006E171E"/>
    <w:rsid w:val="006E1E03"/>
    <w:rsid w:val="006E1F4D"/>
    <w:rsid w:val="006E28CE"/>
    <w:rsid w:val="006E28F1"/>
    <w:rsid w:val="006E2DE4"/>
    <w:rsid w:val="006E2F0E"/>
    <w:rsid w:val="006E2F59"/>
    <w:rsid w:val="006E3DC0"/>
    <w:rsid w:val="006E446D"/>
    <w:rsid w:val="006E46F9"/>
    <w:rsid w:val="006E5065"/>
    <w:rsid w:val="006E5114"/>
    <w:rsid w:val="006E530B"/>
    <w:rsid w:val="006E6BCC"/>
    <w:rsid w:val="006E7DA7"/>
    <w:rsid w:val="006F029E"/>
    <w:rsid w:val="006F02D2"/>
    <w:rsid w:val="006F04C0"/>
    <w:rsid w:val="006F06ED"/>
    <w:rsid w:val="006F080D"/>
    <w:rsid w:val="006F0F65"/>
    <w:rsid w:val="006F118A"/>
    <w:rsid w:val="006F1450"/>
    <w:rsid w:val="006F1850"/>
    <w:rsid w:val="006F1978"/>
    <w:rsid w:val="006F1D8F"/>
    <w:rsid w:val="006F241B"/>
    <w:rsid w:val="006F25F8"/>
    <w:rsid w:val="006F2794"/>
    <w:rsid w:val="006F2B64"/>
    <w:rsid w:val="006F2BC8"/>
    <w:rsid w:val="006F2DD2"/>
    <w:rsid w:val="006F2E79"/>
    <w:rsid w:val="006F4379"/>
    <w:rsid w:val="006F43F9"/>
    <w:rsid w:val="006F44D0"/>
    <w:rsid w:val="006F5163"/>
    <w:rsid w:val="006F5AB7"/>
    <w:rsid w:val="006F6378"/>
    <w:rsid w:val="006F68FE"/>
    <w:rsid w:val="006F6F0D"/>
    <w:rsid w:val="006F71AC"/>
    <w:rsid w:val="006F73A8"/>
    <w:rsid w:val="007004D2"/>
    <w:rsid w:val="00700725"/>
    <w:rsid w:val="007012F0"/>
    <w:rsid w:val="007014ED"/>
    <w:rsid w:val="007017AB"/>
    <w:rsid w:val="00701885"/>
    <w:rsid w:val="00701D6D"/>
    <w:rsid w:val="00701F4B"/>
    <w:rsid w:val="00702E37"/>
    <w:rsid w:val="00703020"/>
    <w:rsid w:val="0070359E"/>
    <w:rsid w:val="00703A0F"/>
    <w:rsid w:val="007043D9"/>
    <w:rsid w:val="007047BE"/>
    <w:rsid w:val="00704C9A"/>
    <w:rsid w:val="00704F1E"/>
    <w:rsid w:val="00705747"/>
    <w:rsid w:val="00705BA6"/>
    <w:rsid w:val="007064A2"/>
    <w:rsid w:val="00706A5D"/>
    <w:rsid w:val="00706B76"/>
    <w:rsid w:val="00706DA5"/>
    <w:rsid w:val="007073F5"/>
    <w:rsid w:val="00710816"/>
    <w:rsid w:val="00710C78"/>
    <w:rsid w:val="00710D6D"/>
    <w:rsid w:val="007111F3"/>
    <w:rsid w:val="00711444"/>
    <w:rsid w:val="00711760"/>
    <w:rsid w:val="00713F95"/>
    <w:rsid w:val="00714B2F"/>
    <w:rsid w:val="007151DB"/>
    <w:rsid w:val="00715308"/>
    <w:rsid w:val="0071535A"/>
    <w:rsid w:val="007154A2"/>
    <w:rsid w:val="00715515"/>
    <w:rsid w:val="00715A7A"/>
    <w:rsid w:val="00715B4E"/>
    <w:rsid w:val="00715D52"/>
    <w:rsid w:val="00715E64"/>
    <w:rsid w:val="00715F89"/>
    <w:rsid w:val="0071628F"/>
    <w:rsid w:val="007162E8"/>
    <w:rsid w:val="007164E2"/>
    <w:rsid w:val="00716637"/>
    <w:rsid w:val="0071760B"/>
    <w:rsid w:val="0071799E"/>
    <w:rsid w:val="00717CEC"/>
    <w:rsid w:val="00717CEE"/>
    <w:rsid w:val="00720874"/>
    <w:rsid w:val="00721056"/>
    <w:rsid w:val="00721185"/>
    <w:rsid w:val="00721406"/>
    <w:rsid w:val="00721543"/>
    <w:rsid w:val="007223B7"/>
    <w:rsid w:val="0072262F"/>
    <w:rsid w:val="007226B2"/>
    <w:rsid w:val="007228B3"/>
    <w:rsid w:val="00722C69"/>
    <w:rsid w:val="007249A2"/>
    <w:rsid w:val="00724A1C"/>
    <w:rsid w:val="00724BB6"/>
    <w:rsid w:val="007252FA"/>
    <w:rsid w:val="00725741"/>
    <w:rsid w:val="007259E6"/>
    <w:rsid w:val="00725F60"/>
    <w:rsid w:val="00726EC9"/>
    <w:rsid w:val="00726F25"/>
    <w:rsid w:val="00727525"/>
    <w:rsid w:val="00730D23"/>
    <w:rsid w:val="00730EA6"/>
    <w:rsid w:val="00730F19"/>
    <w:rsid w:val="00731269"/>
    <w:rsid w:val="007318E1"/>
    <w:rsid w:val="00731BCD"/>
    <w:rsid w:val="0073225B"/>
    <w:rsid w:val="00732271"/>
    <w:rsid w:val="00733317"/>
    <w:rsid w:val="0073452A"/>
    <w:rsid w:val="00734531"/>
    <w:rsid w:val="0073453E"/>
    <w:rsid w:val="00734658"/>
    <w:rsid w:val="0073469D"/>
    <w:rsid w:val="00734890"/>
    <w:rsid w:val="00734A36"/>
    <w:rsid w:val="00734C4E"/>
    <w:rsid w:val="00734FB0"/>
    <w:rsid w:val="0073555D"/>
    <w:rsid w:val="00735981"/>
    <w:rsid w:val="00735F4F"/>
    <w:rsid w:val="0073639A"/>
    <w:rsid w:val="00737196"/>
    <w:rsid w:val="007374AE"/>
    <w:rsid w:val="0073763E"/>
    <w:rsid w:val="0073777F"/>
    <w:rsid w:val="00737838"/>
    <w:rsid w:val="007378BE"/>
    <w:rsid w:val="00737B83"/>
    <w:rsid w:val="00740685"/>
    <w:rsid w:val="00741B33"/>
    <w:rsid w:val="007424BC"/>
    <w:rsid w:val="00742692"/>
    <w:rsid w:val="00742C33"/>
    <w:rsid w:val="007432BE"/>
    <w:rsid w:val="007434E6"/>
    <w:rsid w:val="0074403A"/>
    <w:rsid w:val="007441F7"/>
    <w:rsid w:val="00745232"/>
    <w:rsid w:val="007455E5"/>
    <w:rsid w:val="0074585B"/>
    <w:rsid w:val="00745E34"/>
    <w:rsid w:val="007464E5"/>
    <w:rsid w:val="00746598"/>
    <w:rsid w:val="00746765"/>
    <w:rsid w:val="00746B45"/>
    <w:rsid w:val="00746C1D"/>
    <w:rsid w:val="00746C70"/>
    <w:rsid w:val="00747303"/>
    <w:rsid w:val="00747BC9"/>
    <w:rsid w:val="00747D37"/>
    <w:rsid w:val="007507EB"/>
    <w:rsid w:val="00750959"/>
    <w:rsid w:val="0075125E"/>
    <w:rsid w:val="0075134F"/>
    <w:rsid w:val="00752003"/>
    <w:rsid w:val="00752253"/>
    <w:rsid w:val="00752C2D"/>
    <w:rsid w:val="00752EE2"/>
    <w:rsid w:val="007533DC"/>
    <w:rsid w:val="007547E9"/>
    <w:rsid w:val="00754F16"/>
    <w:rsid w:val="00755863"/>
    <w:rsid w:val="00755CCF"/>
    <w:rsid w:val="00755E6B"/>
    <w:rsid w:val="0075782F"/>
    <w:rsid w:val="0075790D"/>
    <w:rsid w:val="00760599"/>
    <w:rsid w:val="00760803"/>
    <w:rsid w:val="00760BC3"/>
    <w:rsid w:val="00760E1A"/>
    <w:rsid w:val="00761079"/>
    <w:rsid w:val="0076134C"/>
    <w:rsid w:val="00762E74"/>
    <w:rsid w:val="0076309E"/>
    <w:rsid w:val="0076397A"/>
    <w:rsid w:val="00763BF0"/>
    <w:rsid w:val="007641ED"/>
    <w:rsid w:val="0076433D"/>
    <w:rsid w:val="00764493"/>
    <w:rsid w:val="007650BA"/>
    <w:rsid w:val="0076555F"/>
    <w:rsid w:val="00765C59"/>
    <w:rsid w:val="0076653A"/>
    <w:rsid w:val="00766C05"/>
    <w:rsid w:val="00766F79"/>
    <w:rsid w:val="0076716A"/>
    <w:rsid w:val="007707D7"/>
    <w:rsid w:val="00771CD0"/>
    <w:rsid w:val="00771E83"/>
    <w:rsid w:val="00771EAC"/>
    <w:rsid w:val="00772326"/>
    <w:rsid w:val="00772343"/>
    <w:rsid w:val="007723B6"/>
    <w:rsid w:val="007725C6"/>
    <w:rsid w:val="00773408"/>
    <w:rsid w:val="007737CA"/>
    <w:rsid w:val="00774F19"/>
    <w:rsid w:val="0077506F"/>
    <w:rsid w:val="007751AB"/>
    <w:rsid w:val="00775CFD"/>
    <w:rsid w:val="0077679F"/>
    <w:rsid w:val="00777375"/>
    <w:rsid w:val="00777BC7"/>
    <w:rsid w:val="007814C1"/>
    <w:rsid w:val="00781A64"/>
    <w:rsid w:val="007820EE"/>
    <w:rsid w:val="0078237E"/>
    <w:rsid w:val="007823C7"/>
    <w:rsid w:val="00782CDB"/>
    <w:rsid w:val="007833AA"/>
    <w:rsid w:val="00783BC0"/>
    <w:rsid w:val="007846E4"/>
    <w:rsid w:val="00785322"/>
    <w:rsid w:val="00785F18"/>
    <w:rsid w:val="00786059"/>
    <w:rsid w:val="0078609A"/>
    <w:rsid w:val="007866EF"/>
    <w:rsid w:val="00786816"/>
    <w:rsid w:val="00786ED5"/>
    <w:rsid w:val="007871AA"/>
    <w:rsid w:val="007875A7"/>
    <w:rsid w:val="007876A6"/>
    <w:rsid w:val="00787702"/>
    <w:rsid w:val="007879C2"/>
    <w:rsid w:val="00787A1C"/>
    <w:rsid w:val="007902F2"/>
    <w:rsid w:val="00790B9B"/>
    <w:rsid w:val="00790CF5"/>
    <w:rsid w:val="00791182"/>
    <w:rsid w:val="007914EF"/>
    <w:rsid w:val="007918A8"/>
    <w:rsid w:val="00791D7F"/>
    <w:rsid w:val="00791EA2"/>
    <w:rsid w:val="007921D3"/>
    <w:rsid w:val="0079259C"/>
    <w:rsid w:val="00792A1F"/>
    <w:rsid w:val="007933B4"/>
    <w:rsid w:val="00793751"/>
    <w:rsid w:val="00793CF9"/>
    <w:rsid w:val="00794654"/>
    <w:rsid w:val="00794F9F"/>
    <w:rsid w:val="00795904"/>
    <w:rsid w:val="0079650C"/>
    <w:rsid w:val="00796B3E"/>
    <w:rsid w:val="00797F26"/>
    <w:rsid w:val="007A043A"/>
    <w:rsid w:val="007A0A63"/>
    <w:rsid w:val="007A1DE2"/>
    <w:rsid w:val="007A2528"/>
    <w:rsid w:val="007A2DC3"/>
    <w:rsid w:val="007A34AE"/>
    <w:rsid w:val="007A34BA"/>
    <w:rsid w:val="007A3653"/>
    <w:rsid w:val="007A3A3B"/>
    <w:rsid w:val="007A485C"/>
    <w:rsid w:val="007A4987"/>
    <w:rsid w:val="007A498F"/>
    <w:rsid w:val="007A5450"/>
    <w:rsid w:val="007A5F88"/>
    <w:rsid w:val="007A63F6"/>
    <w:rsid w:val="007A66F6"/>
    <w:rsid w:val="007A69FE"/>
    <w:rsid w:val="007A6E8E"/>
    <w:rsid w:val="007A6FAA"/>
    <w:rsid w:val="007A71B3"/>
    <w:rsid w:val="007A7552"/>
    <w:rsid w:val="007A7633"/>
    <w:rsid w:val="007A79AC"/>
    <w:rsid w:val="007A7E1E"/>
    <w:rsid w:val="007A7F9D"/>
    <w:rsid w:val="007B04DB"/>
    <w:rsid w:val="007B25F9"/>
    <w:rsid w:val="007B2D3A"/>
    <w:rsid w:val="007B3788"/>
    <w:rsid w:val="007B40E3"/>
    <w:rsid w:val="007B412A"/>
    <w:rsid w:val="007B41C3"/>
    <w:rsid w:val="007B496F"/>
    <w:rsid w:val="007B4D43"/>
    <w:rsid w:val="007B4DB3"/>
    <w:rsid w:val="007B59F9"/>
    <w:rsid w:val="007B5ECB"/>
    <w:rsid w:val="007B6177"/>
    <w:rsid w:val="007B76FE"/>
    <w:rsid w:val="007C020B"/>
    <w:rsid w:val="007C021B"/>
    <w:rsid w:val="007C076D"/>
    <w:rsid w:val="007C08B7"/>
    <w:rsid w:val="007C0B02"/>
    <w:rsid w:val="007C246C"/>
    <w:rsid w:val="007C2532"/>
    <w:rsid w:val="007C25CE"/>
    <w:rsid w:val="007C2656"/>
    <w:rsid w:val="007C2C05"/>
    <w:rsid w:val="007C2C7E"/>
    <w:rsid w:val="007C30B9"/>
    <w:rsid w:val="007C30E2"/>
    <w:rsid w:val="007C4346"/>
    <w:rsid w:val="007C4718"/>
    <w:rsid w:val="007C49A3"/>
    <w:rsid w:val="007C4ED1"/>
    <w:rsid w:val="007C5783"/>
    <w:rsid w:val="007C5CEF"/>
    <w:rsid w:val="007C6331"/>
    <w:rsid w:val="007C6823"/>
    <w:rsid w:val="007C6C87"/>
    <w:rsid w:val="007C78E9"/>
    <w:rsid w:val="007C7D37"/>
    <w:rsid w:val="007D04CB"/>
    <w:rsid w:val="007D06A9"/>
    <w:rsid w:val="007D0A7A"/>
    <w:rsid w:val="007D0A7C"/>
    <w:rsid w:val="007D20C8"/>
    <w:rsid w:val="007D21C6"/>
    <w:rsid w:val="007D25F7"/>
    <w:rsid w:val="007D2724"/>
    <w:rsid w:val="007D28E7"/>
    <w:rsid w:val="007D2CE4"/>
    <w:rsid w:val="007D34EB"/>
    <w:rsid w:val="007D37A0"/>
    <w:rsid w:val="007D37A5"/>
    <w:rsid w:val="007D3A94"/>
    <w:rsid w:val="007D3EB8"/>
    <w:rsid w:val="007D3F0D"/>
    <w:rsid w:val="007D401C"/>
    <w:rsid w:val="007D48C0"/>
    <w:rsid w:val="007D4EEC"/>
    <w:rsid w:val="007D4EFD"/>
    <w:rsid w:val="007D60DD"/>
    <w:rsid w:val="007D7CF7"/>
    <w:rsid w:val="007E02DC"/>
    <w:rsid w:val="007E05F5"/>
    <w:rsid w:val="007E09B4"/>
    <w:rsid w:val="007E0B61"/>
    <w:rsid w:val="007E0C73"/>
    <w:rsid w:val="007E260A"/>
    <w:rsid w:val="007E2A01"/>
    <w:rsid w:val="007E306E"/>
    <w:rsid w:val="007E37F5"/>
    <w:rsid w:val="007E4310"/>
    <w:rsid w:val="007E4F4B"/>
    <w:rsid w:val="007E5144"/>
    <w:rsid w:val="007E7657"/>
    <w:rsid w:val="007E7F0C"/>
    <w:rsid w:val="007F075C"/>
    <w:rsid w:val="007F0A83"/>
    <w:rsid w:val="007F0E57"/>
    <w:rsid w:val="007F120D"/>
    <w:rsid w:val="007F1378"/>
    <w:rsid w:val="007F1437"/>
    <w:rsid w:val="007F1DC6"/>
    <w:rsid w:val="007F1F23"/>
    <w:rsid w:val="007F2D26"/>
    <w:rsid w:val="007F2D70"/>
    <w:rsid w:val="007F2DE4"/>
    <w:rsid w:val="007F36E3"/>
    <w:rsid w:val="007F383F"/>
    <w:rsid w:val="007F3A49"/>
    <w:rsid w:val="007F4404"/>
    <w:rsid w:val="007F45EF"/>
    <w:rsid w:val="007F46E6"/>
    <w:rsid w:val="007F4787"/>
    <w:rsid w:val="007F4A91"/>
    <w:rsid w:val="007F4C63"/>
    <w:rsid w:val="007F58F9"/>
    <w:rsid w:val="007F5E3F"/>
    <w:rsid w:val="007F688F"/>
    <w:rsid w:val="007F6B5B"/>
    <w:rsid w:val="007F74D3"/>
    <w:rsid w:val="007F7934"/>
    <w:rsid w:val="007F7F2A"/>
    <w:rsid w:val="008000B2"/>
    <w:rsid w:val="008001F4"/>
    <w:rsid w:val="008009D3"/>
    <w:rsid w:val="00800A67"/>
    <w:rsid w:val="0080105F"/>
    <w:rsid w:val="00801E1E"/>
    <w:rsid w:val="008020FF"/>
    <w:rsid w:val="008028A8"/>
    <w:rsid w:val="00803527"/>
    <w:rsid w:val="0080370A"/>
    <w:rsid w:val="008038A2"/>
    <w:rsid w:val="00803F78"/>
    <w:rsid w:val="008040A1"/>
    <w:rsid w:val="008047D7"/>
    <w:rsid w:val="00804BCB"/>
    <w:rsid w:val="00804F82"/>
    <w:rsid w:val="00805801"/>
    <w:rsid w:val="00805834"/>
    <w:rsid w:val="00806256"/>
    <w:rsid w:val="008063CD"/>
    <w:rsid w:val="00806AF5"/>
    <w:rsid w:val="0080705B"/>
    <w:rsid w:val="008076C0"/>
    <w:rsid w:val="0080783F"/>
    <w:rsid w:val="00807C81"/>
    <w:rsid w:val="00810C92"/>
    <w:rsid w:val="00810F1B"/>
    <w:rsid w:val="00811995"/>
    <w:rsid w:val="008119DC"/>
    <w:rsid w:val="00811BA3"/>
    <w:rsid w:val="00811BC2"/>
    <w:rsid w:val="00812397"/>
    <w:rsid w:val="008129F3"/>
    <w:rsid w:val="008131FF"/>
    <w:rsid w:val="00813985"/>
    <w:rsid w:val="008145F6"/>
    <w:rsid w:val="00814887"/>
    <w:rsid w:val="00814F5B"/>
    <w:rsid w:val="008152D9"/>
    <w:rsid w:val="00815596"/>
    <w:rsid w:val="0081582E"/>
    <w:rsid w:val="00815B0E"/>
    <w:rsid w:val="00815C3F"/>
    <w:rsid w:val="008169A3"/>
    <w:rsid w:val="00817075"/>
    <w:rsid w:val="00817247"/>
    <w:rsid w:val="0081756B"/>
    <w:rsid w:val="00817812"/>
    <w:rsid w:val="00817B75"/>
    <w:rsid w:val="00817CAA"/>
    <w:rsid w:val="00817DBD"/>
    <w:rsid w:val="00820390"/>
    <w:rsid w:val="008207DA"/>
    <w:rsid w:val="00820F2B"/>
    <w:rsid w:val="00821871"/>
    <w:rsid w:val="00821B72"/>
    <w:rsid w:val="008220AC"/>
    <w:rsid w:val="0082282C"/>
    <w:rsid w:val="00822F57"/>
    <w:rsid w:val="00823840"/>
    <w:rsid w:val="008239CD"/>
    <w:rsid w:val="00824747"/>
    <w:rsid w:val="008250A0"/>
    <w:rsid w:val="008267D0"/>
    <w:rsid w:val="00826E05"/>
    <w:rsid w:val="00826F8C"/>
    <w:rsid w:val="00827DC8"/>
    <w:rsid w:val="0083056F"/>
    <w:rsid w:val="00830C79"/>
    <w:rsid w:val="00830D36"/>
    <w:rsid w:val="0083126A"/>
    <w:rsid w:val="008316F4"/>
    <w:rsid w:val="00831E36"/>
    <w:rsid w:val="00831FEC"/>
    <w:rsid w:val="008333C2"/>
    <w:rsid w:val="00833B65"/>
    <w:rsid w:val="00833C10"/>
    <w:rsid w:val="00833FA2"/>
    <w:rsid w:val="008342D0"/>
    <w:rsid w:val="0083496A"/>
    <w:rsid w:val="00834E6E"/>
    <w:rsid w:val="00835444"/>
    <w:rsid w:val="0083545D"/>
    <w:rsid w:val="0083561E"/>
    <w:rsid w:val="00835DF6"/>
    <w:rsid w:val="008360C6"/>
    <w:rsid w:val="00836239"/>
    <w:rsid w:val="008363F2"/>
    <w:rsid w:val="00836535"/>
    <w:rsid w:val="0083699F"/>
    <w:rsid w:val="00836EC5"/>
    <w:rsid w:val="00837188"/>
    <w:rsid w:val="00837308"/>
    <w:rsid w:val="00837326"/>
    <w:rsid w:val="008375F7"/>
    <w:rsid w:val="0083772F"/>
    <w:rsid w:val="0083779C"/>
    <w:rsid w:val="008402DF"/>
    <w:rsid w:val="008403CC"/>
    <w:rsid w:val="00840D67"/>
    <w:rsid w:val="00840EED"/>
    <w:rsid w:val="008416AF"/>
    <w:rsid w:val="00841916"/>
    <w:rsid w:val="00841CD9"/>
    <w:rsid w:val="0084206C"/>
    <w:rsid w:val="008421C3"/>
    <w:rsid w:val="008422E1"/>
    <w:rsid w:val="00842307"/>
    <w:rsid w:val="00842590"/>
    <w:rsid w:val="008433C8"/>
    <w:rsid w:val="00843699"/>
    <w:rsid w:val="008436D1"/>
    <w:rsid w:val="008438E6"/>
    <w:rsid w:val="0084391B"/>
    <w:rsid w:val="008439D1"/>
    <w:rsid w:val="00844128"/>
    <w:rsid w:val="00844163"/>
    <w:rsid w:val="008441C1"/>
    <w:rsid w:val="008442F3"/>
    <w:rsid w:val="00844507"/>
    <w:rsid w:val="008449B3"/>
    <w:rsid w:val="00844E89"/>
    <w:rsid w:val="008454A1"/>
    <w:rsid w:val="00845561"/>
    <w:rsid w:val="00845BF6"/>
    <w:rsid w:val="00845C23"/>
    <w:rsid w:val="0084638C"/>
    <w:rsid w:val="0084651C"/>
    <w:rsid w:val="00846A5D"/>
    <w:rsid w:val="00846A98"/>
    <w:rsid w:val="00846CA1"/>
    <w:rsid w:val="00847C52"/>
    <w:rsid w:val="0085067E"/>
    <w:rsid w:val="0085081C"/>
    <w:rsid w:val="00850A80"/>
    <w:rsid w:val="00850DF5"/>
    <w:rsid w:val="00851095"/>
    <w:rsid w:val="0085119C"/>
    <w:rsid w:val="00851699"/>
    <w:rsid w:val="00851AC1"/>
    <w:rsid w:val="00851B31"/>
    <w:rsid w:val="00852BE2"/>
    <w:rsid w:val="00852C7A"/>
    <w:rsid w:val="00853635"/>
    <w:rsid w:val="00853DAB"/>
    <w:rsid w:val="00853EBD"/>
    <w:rsid w:val="0085424A"/>
    <w:rsid w:val="0085456E"/>
    <w:rsid w:val="00855110"/>
    <w:rsid w:val="00855658"/>
    <w:rsid w:val="00855E28"/>
    <w:rsid w:val="00856532"/>
    <w:rsid w:val="00856813"/>
    <w:rsid w:val="0085686C"/>
    <w:rsid w:val="00856B40"/>
    <w:rsid w:val="00856DCF"/>
    <w:rsid w:val="00856F78"/>
    <w:rsid w:val="00857D97"/>
    <w:rsid w:val="00860139"/>
    <w:rsid w:val="0086018E"/>
    <w:rsid w:val="0086105C"/>
    <w:rsid w:val="00861AEE"/>
    <w:rsid w:val="00862027"/>
    <w:rsid w:val="00863044"/>
    <w:rsid w:val="008633E9"/>
    <w:rsid w:val="0086340A"/>
    <w:rsid w:val="00863909"/>
    <w:rsid w:val="00864018"/>
    <w:rsid w:val="008641EA"/>
    <w:rsid w:val="00864D6D"/>
    <w:rsid w:val="00865D41"/>
    <w:rsid w:val="00866676"/>
    <w:rsid w:val="00867324"/>
    <w:rsid w:val="00867775"/>
    <w:rsid w:val="00867967"/>
    <w:rsid w:val="0087058A"/>
    <w:rsid w:val="008708CF"/>
    <w:rsid w:val="00870CD6"/>
    <w:rsid w:val="00871FB5"/>
    <w:rsid w:val="0087287C"/>
    <w:rsid w:val="0087325E"/>
    <w:rsid w:val="008734ED"/>
    <w:rsid w:val="00873DA0"/>
    <w:rsid w:val="00873E95"/>
    <w:rsid w:val="008745A5"/>
    <w:rsid w:val="00874EBF"/>
    <w:rsid w:val="00875629"/>
    <w:rsid w:val="00875BF8"/>
    <w:rsid w:val="00875C48"/>
    <w:rsid w:val="008768AF"/>
    <w:rsid w:val="00876A36"/>
    <w:rsid w:val="00880721"/>
    <w:rsid w:val="00881281"/>
    <w:rsid w:val="008823D7"/>
    <w:rsid w:val="0088241E"/>
    <w:rsid w:val="008825AA"/>
    <w:rsid w:val="008827BC"/>
    <w:rsid w:val="0088311D"/>
    <w:rsid w:val="008831B1"/>
    <w:rsid w:val="00883238"/>
    <w:rsid w:val="0088361B"/>
    <w:rsid w:val="00884A89"/>
    <w:rsid w:val="008856BE"/>
    <w:rsid w:val="00885EFC"/>
    <w:rsid w:val="00886194"/>
    <w:rsid w:val="00886B31"/>
    <w:rsid w:val="00886BFF"/>
    <w:rsid w:val="00886CAB"/>
    <w:rsid w:val="008871F4"/>
    <w:rsid w:val="00887D6E"/>
    <w:rsid w:val="00890366"/>
    <w:rsid w:val="0089122E"/>
    <w:rsid w:val="00891391"/>
    <w:rsid w:val="008917DD"/>
    <w:rsid w:val="0089191C"/>
    <w:rsid w:val="00891E03"/>
    <w:rsid w:val="00892908"/>
    <w:rsid w:val="00892B74"/>
    <w:rsid w:val="008932D4"/>
    <w:rsid w:val="0089422E"/>
    <w:rsid w:val="00894388"/>
    <w:rsid w:val="008943E3"/>
    <w:rsid w:val="00894899"/>
    <w:rsid w:val="00894DCF"/>
    <w:rsid w:val="00895493"/>
    <w:rsid w:val="008954AB"/>
    <w:rsid w:val="00895A01"/>
    <w:rsid w:val="00896C88"/>
    <w:rsid w:val="00896E14"/>
    <w:rsid w:val="00896E96"/>
    <w:rsid w:val="00897475"/>
    <w:rsid w:val="0089767A"/>
    <w:rsid w:val="00897853"/>
    <w:rsid w:val="008A0B58"/>
    <w:rsid w:val="008A0D6E"/>
    <w:rsid w:val="008A0DF7"/>
    <w:rsid w:val="008A1389"/>
    <w:rsid w:val="008A1578"/>
    <w:rsid w:val="008A258E"/>
    <w:rsid w:val="008A2C02"/>
    <w:rsid w:val="008A30E6"/>
    <w:rsid w:val="008A324B"/>
    <w:rsid w:val="008A35B9"/>
    <w:rsid w:val="008A37A1"/>
    <w:rsid w:val="008A3AA9"/>
    <w:rsid w:val="008A6018"/>
    <w:rsid w:val="008A6812"/>
    <w:rsid w:val="008A6915"/>
    <w:rsid w:val="008A6CB4"/>
    <w:rsid w:val="008A7E38"/>
    <w:rsid w:val="008B0358"/>
    <w:rsid w:val="008B03DF"/>
    <w:rsid w:val="008B0610"/>
    <w:rsid w:val="008B07EB"/>
    <w:rsid w:val="008B0BA6"/>
    <w:rsid w:val="008B2601"/>
    <w:rsid w:val="008B26A0"/>
    <w:rsid w:val="008B2D2D"/>
    <w:rsid w:val="008B2E12"/>
    <w:rsid w:val="008B37E4"/>
    <w:rsid w:val="008B41AC"/>
    <w:rsid w:val="008B4751"/>
    <w:rsid w:val="008B6088"/>
    <w:rsid w:val="008B68A6"/>
    <w:rsid w:val="008B68CC"/>
    <w:rsid w:val="008B6B32"/>
    <w:rsid w:val="008B73EA"/>
    <w:rsid w:val="008B77DC"/>
    <w:rsid w:val="008B789C"/>
    <w:rsid w:val="008C02A5"/>
    <w:rsid w:val="008C144B"/>
    <w:rsid w:val="008C1C35"/>
    <w:rsid w:val="008C283C"/>
    <w:rsid w:val="008C34BA"/>
    <w:rsid w:val="008C39F0"/>
    <w:rsid w:val="008C3DC7"/>
    <w:rsid w:val="008C3EB4"/>
    <w:rsid w:val="008C4D84"/>
    <w:rsid w:val="008C50CE"/>
    <w:rsid w:val="008C59B9"/>
    <w:rsid w:val="008C5D13"/>
    <w:rsid w:val="008C5FCD"/>
    <w:rsid w:val="008C60E9"/>
    <w:rsid w:val="008C6270"/>
    <w:rsid w:val="008C763C"/>
    <w:rsid w:val="008C7D2F"/>
    <w:rsid w:val="008C7E06"/>
    <w:rsid w:val="008C7F50"/>
    <w:rsid w:val="008C7FBB"/>
    <w:rsid w:val="008D00BD"/>
    <w:rsid w:val="008D0265"/>
    <w:rsid w:val="008D105A"/>
    <w:rsid w:val="008D1A45"/>
    <w:rsid w:val="008D1BA1"/>
    <w:rsid w:val="008D1C12"/>
    <w:rsid w:val="008D21CA"/>
    <w:rsid w:val="008D2430"/>
    <w:rsid w:val="008D296D"/>
    <w:rsid w:val="008D2A10"/>
    <w:rsid w:val="008D2D1D"/>
    <w:rsid w:val="008D32ED"/>
    <w:rsid w:val="008D3478"/>
    <w:rsid w:val="008D40D9"/>
    <w:rsid w:val="008D4357"/>
    <w:rsid w:val="008D4527"/>
    <w:rsid w:val="008D4903"/>
    <w:rsid w:val="008D4E5A"/>
    <w:rsid w:val="008D4EE4"/>
    <w:rsid w:val="008D51E2"/>
    <w:rsid w:val="008D5258"/>
    <w:rsid w:val="008D581E"/>
    <w:rsid w:val="008D5D86"/>
    <w:rsid w:val="008D65E8"/>
    <w:rsid w:val="008D7134"/>
    <w:rsid w:val="008D78CD"/>
    <w:rsid w:val="008D797D"/>
    <w:rsid w:val="008D7A1B"/>
    <w:rsid w:val="008E1908"/>
    <w:rsid w:val="008E1CD6"/>
    <w:rsid w:val="008E24AD"/>
    <w:rsid w:val="008E24CD"/>
    <w:rsid w:val="008E263A"/>
    <w:rsid w:val="008E2BE7"/>
    <w:rsid w:val="008E3005"/>
    <w:rsid w:val="008E3832"/>
    <w:rsid w:val="008E3BE9"/>
    <w:rsid w:val="008E3F61"/>
    <w:rsid w:val="008E3FC3"/>
    <w:rsid w:val="008E41AF"/>
    <w:rsid w:val="008E50DA"/>
    <w:rsid w:val="008E53B4"/>
    <w:rsid w:val="008E5746"/>
    <w:rsid w:val="008E63CA"/>
    <w:rsid w:val="008E68CA"/>
    <w:rsid w:val="008E6DBE"/>
    <w:rsid w:val="008E70D2"/>
    <w:rsid w:val="008E7266"/>
    <w:rsid w:val="008E79F2"/>
    <w:rsid w:val="008E79FC"/>
    <w:rsid w:val="008F0AC7"/>
    <w:rsid w:val="008F10D7"/>
    <w:rsid w:val="008F1764"/>
    <w:rsid w:val="008F26AE"/>
    <w:rsid w:val="008F2CD6"/>
    <w:rsid w:val="008F2D01"/>
    <w:rsid w:val="008F30AE"/>
    <w:rsid w:val="008F312C"/>
    <w:rsid w:val="008F3C92"/>
    <w:rsid w:val="008F4432"/>
    <w:rsid w:val="008F4508"/>
    <w:rsid w:val="008F46AA"/>
    <w:rsid w:val="008F4C1D"/>
    <w:rsid w:val="008F5807"/>
    <w:rsid w:val="008F5823"/>
    <w:rsid w:val="008F65E0"/>
    <w:rsid w:val="008F67AA"/>
    <w:rsid w:val="008F7C3C"/>
    <w:rsid w:val="00900153"/>
    <w:rsid w:val="009006F0"/>
    <w:rsid w:val="0090085B"/>
    <w:rsid w:val="00900C40"/>
    <w:rsid w:val="00900D63"/>
    <w:rsid w:val="00901020"/>
    <w:rsid w:val="009013F7"/>
    <w:rsid w:val="009016F3"/>
    <w:rsid w:val="00902912"/>
    <w:rsid w:val="00902ABE"/>
    <w:rsid w:val="00902FE1"/>
    <w:rsid w:val="0090398E"/>
    <w:rsid w:val="00903BC8"/>
    <w:rsid w:val="0090495F"/>
    <w:rsid w:val="009053A7"/>
    <w:rsid w:val="00906845"/>
    <w:rsid w:val="009072D5"/>
    <w:rsid w:val="00907756"/>
    <w:rsid w:val="00907888"/>
    <w:rsid w:val="00910F7B"/>
    <w:rsid w:val="00911136"/>
    <w:rsid w:val="0091184A"/>
    <w:rsid w:val="00911FB2"/>
    <w:rsid w:val="0091200A"/>
    <w:rsid w:val="00912320"/>
    <w:rsid w:val="00912463"/>
    <w:rsid w:val="0091351A"/>
    <w:rsid w:val="009135F2"/>
    <w:rsid w:val="00914EE2"/>
    <w:rsid w:val="00915659"/>
    <w:rsid w:val="0091568A"/>
    <w:rsid w:val="0091653B"/>
    <w:rsid w:val="00916C10"/>
    <w:rsid w:val="00917318"/>
    <w:rsid w:val="00917DE8"/>
    <w:rsid w:val="00917DF6"/>
    <w:rsid w:val="00917F3F"/>
    <w:rsid w:val="009204B4"/>
    <w:rsid w:val="009205E4"/>
    <w:rsid w:val="00920AB3"/>
    <w:rsid w:val="009210B3"/>
    <w:rsid w:val="00921B20"/>
    <w:rsid w:val="00921F68"/>
    <w:rsid w:val="0092210D"/>
    <w:rsid w:val="00922DAA"/>
    <w:rsid w:val="009238DB"/>
    <w:rsid w:val="00923B26"/>
    <w:rsid w:val="00924507"/>
    <w:rsid w:val="009248A5"/>
    <w:rsid w:val="0092559B"/>
    <w:rsid w:val="0092586B"/>
    <w:rsid w:val="00925FE8"/>
    <w:rsid w:val="0092696F"/>
    <w:rsid w:val="00926B52"/>
    <w:rsid w:val="0092732D"/>
    <w:rsid w:val="0092769C"/>
    <w:rsid w:val="00927C1F"/>
    <w:rsid w:val="00927CA0"/>
    <w:rsid w:val="00930B27"/>
    <w:rsid w:val="00930D00"/>
    <w:rsid w:val="00930E55"/>
    <w:rsid w:val="009315EB"/>
    <w:rsid w:val="009315F2"/>
    <w:rsid w:val="00931B91"/>
    <w:rsid w:val="00931E9C"/>
    <w:rsid w:val="00932310"/>
    <w:rsid w:val="009328BD"/>
    <w:rsid w:val="0093315B"/>
    <w:rsid w:val="00933B61"/>
    <w:rsid w:val="00934154"/>
    <w:rsid w:val="009344D6"/>
    <w:rsid w:val="009346D2"/>
    <w:rsid w:val="00934CEC"/>
    <w:rsid w:val="0093508B"/>
    <w:rsid w:val="009351EA"/>
    <w:rsid w:val="009356BC"/>
    <w:rsid w:val="009356E4"/>
    <w:rsid w:val="00935863"/>
    <w:rsid w:val="00935D9A"/>
    <w:rsid w:val="009361B1"/>
    <w:rsid w:val="0093632C"/>
    <w:rsid w:val="009363D4"/>
    <w:rsid w:val="00936435"/>
    <w:rsid w:val="0093649C"/>
    <w:rsid w:val="009369DD"/>
    <w:rsid w:val="00936D63"/>
    <w:rsid w:val="00936F99"/>
    <w:rsid w:val="00937F33"/>
    <w:rsid w:val="009404E9"/>
    <w:rsid w:val="00940DC6"/>
    <w:rsid w:val="009417D1"/>
    <w:rsid w:val="00941BD7"/>
    <w:rsid w:val="00942114"/>
    <w:rsid w:val="0094269D"/>
    <w:rsid w:val="009428D4"/>
    <w:rsid w:val="00942B9E"/>
    <w:rsid w:val="00943195"/>
    <w:rsid w:val="009434A2"/>
    <w:rsid w:val="00943E45"/>
    <w:rsid w:val="009441BD"/>
    <w:rsid w:val="009448BE"/>
    <w:rsid w:val="00944D25"/>
    <w:rsid w:val="009450CC"/>
    <w:rsid w:val="00945301"/>
    <w:rsid w:val="00945763"/>
    <w:rsid w:val="00947504"/>
    <w:rsid w:val="00947895"/>
    <w:rsid w:val="00947B19"/>
    <w:rsid w:val="0095027E"/>
    <w:rsid w:val="0095045A"/>
    <w:rsid w:val="009504A5"/>
    <w:rsid w:val="0095067E"/>
    <w:rsid w:val="009507CB"/>
    <w:rsid w:val="00951487"/>
    <w:rsid w:val="00951B8A"/>
    <w:rsid w:val="00952819"/>
    <w:rsid w:val="00952A95"/>
    <w:rsid w:val="0095306D"/>
    <w:rsid w:val="00953533"/>
    <w:rsid w:val="0095358A"/>
    <w:rsid w:val="009535A2"/>
    <w:rsid w:val="00953887"/>
    <w:rsid w:val="00953C3B"/>
    <w:rsid w:val="00953E29"/>
    <w:rsid w:val="0095433D"/>
    <w:rsid w:val="00954CEE"/>
    <w:rsid w:val="00954E18"/>
    <w:rsid w:val="009551BB"/>
    <w:rsid w:val="009552FD"/>
    <w:rsid w:val="00955A4C"/>
    <w:rsid w:val="0095745A"/>
    <w:rsid w:val="009579A7"/>
    <w:rsid w:val="00957A3F"/>
    <w:rsid w:val="00957BF2"/>
    <w:rsid w:val="00960D50"/>
    <w:rsid w:val="00961532"/>
    <w:rsid w:val="00961665"/>
    <w:rsid w:val="00961859"/>
    <w:rsid w:val="00961929"/>
    <w:rsid w:val="00961948"/>
    <w:rsid w:val="00961AF9"/>
    <w:rsid w:val="009629B5"/>
    <w:rsid w:val="009629F2"/>
    <w:rsid w:val="0096324C"/>
    <w:rsid w:val="009635EF"/>
    <w:rsid w:val="00964647"/>
    <w:rsid w:val="00964ACC"/>
    <w:rsid w:val="00965428"/>
    <w:rsid w:val="00965742"/>
    <w:rsid w:val="009660A1"/>
    <w:rsid w:val="00966556"/>
    <w:rsid w:val="00966E19"/>
    <w:rsid w:val="0096736D"/>
    <w:rsid w:val="00967E8E"/>
    <w:rsid w:val="009703B1"/>
    <w:rsid w:val="0097054C"/>
    <w:rsid w:val="00970971"/>
    <w:rsid w:val="00970D2A"/>
    <w:rsid w:val="00970E19"/>
    <w:rsid w:val="00971EA3"/>
    <w:rsid w:val="0097215F"/>
    <w:rsid w:val="009721D0"/>
    <w:rsid w:val="009722B5"/>
    <w:rsid w:val="009729CB"/>
    <w:rsid w:val="009734E8"/>
    <w:rsid w:val="0097401E"/>
    <w:rsid w:val="00974347"/>
    <w:rsid w:val="009743F1"/>
    <w:rsid w:val="00974877"/>
    <w:rsid w:val="00974F26"/>
    <w:rsid w:val="00975406"/>
    <w:rsid w:val="00975611"/>
    <w:rsid w:val="009756D6"/>
    <w:rsid w:val="0097570E"/>
    <w:rsid w:val="00975A8B"/>
    <w:rsid w:val="009767A2"/>
    <w:rsid w:val="00976FD8"/>
    <w:rsid w:val="009771A3"/>
    <w:rsid w:val="00977A63"/>
    <w:rsid w:val="00977BE1"/>
    <w:rsid w:val="0098084D"/>
    <w:rsid w:val="00982819"/>
    <w:rsid w:val="0098297D"/>
    <w:rsid w:val="00982F68"/>
    <w:rsid w:val="00983062"/>
    <w:rsid w:val="00983074"/>
    <w:rsid w:val="009833C9"/>
    <w:rsid w:val="00983E84"/>
    <w:rsid w:val="00984159"/>
    <w:rsid w:val="00984DA3"/>
    <w:rsid w:val="00985FE7"/>
    <w:rsid w:val="009860FF"/>
    <w:rsid w:val="009868E0"/>
    <w:rsid w:val="00986C65"/>
    <w:rsid w:val="009871C3"/>
    <w:rsid w:val="00990120"/>
    <w:rsid w:val="0099054E"/>
    <w:rsid w:val="009905AB"/>
    <w:rsid w:val="009906A6"/>
    <w:rsid w:val="009906CE"/>
    <w:rsid w:val="009910E3"/>
    <w:rsid w:val="009911C9"/>
    <w:rsid w:val="009913C8"/>
    <w:rsid w:val="009916D0"/>
    <w:rsid w:val="00991CEA"/>
    <w:rsid w:val="00991D6C"/>
    <w:rsid w:val="00992C38"/>
    <w:rsid w:val="00992D45"/>
    <w:rsid w:val="00993557"/>
    <w:rsid w:val="00993D9A"/>
    <w:rsid w:val="009943BD"/>
    <w:rsid w:val="0099445C"/>
    <w:rsid w:val="009947B4"/>
    <w:rsid w:val="00994F8A"/>
    <w:rsid w:val="00995075"/>
    <w:rsid w:val="0099548C"/>
    <w:rsid w:val="0099590B"/>
    <w:rsid w:val="00996784"/>
    <w:rsid w:val="00997757"/>
    <w:rsid w:val="00997AAC"/>
    <w:rsid w:val="00997C49"/>
    <w:rsid w:val="00997CBC"/>
    <w:rsid w:val="00997D0B"/>
    <w:rsid w:val="009A01C1"/>
    <w:rsid w:val="009A0465"/>
    <w:rsid w:val="009A0D0B"/>
    <w:rsid w:val="009A0FA7"/>
    <w:rsid w:val="009A1850"/>
    <w:rsid w:val="009A1DD9"/>
    <w:rsid w:val="009A230F"/>
    <w:rsid w:val="009A27B4"/>
    <w:rsid w:val="009A303F"/>
    <w:rsid w:val="009A3188"/>
    <w:rsid w:val="009A323A"/>
    <w:rsid w:val="009A3300"/>
    <w:rsid w:val="009A336E"/>
    <w:rsid w:val="009A351E"/>
    <w:rsid w:val="009A434B"/>
    <w:rsid w:val="009A457E"/>
    <w:rsid w:val="009A45CF"/>
    <w:rsid w:val="009A48C5"/>
    <w:rsid w:val="009A4A0D"/>
    <w:rsid w:val="009A5217"/>
    <w:rsid w:val="009A5644"/>
    <w:rsid w:val="009A5980"/>
    <w:rsid w:val="009A5F83"/>
    <w:rsid w:val="009A6266"/>
    <w:rsid w:val="009A6769"/>
    <w:rsid w:val="009A6C9F"/>
    <w:rsid w:val="009A79F8"/>
    <w:rsid w:val="009A7A94"/>
    <w:rsid w:val="009B07B9"/>
    <w:rsid w:val="009B0A81"/>
    <w:rsid w:val="009B0C48"/>
    <w:rsid w:val="009B0D0C"/>
    <w:rsid w:val="009B0E81"/>
    <w:rsid w:val="009B0ECC"/>
    <w:rsid w:val="009B1093"/>
    <w:rsid w:val="009B28B4"/>
    <w:rsid w:val="009B33D3"/>
    <w:rsid w:val="009B35EF"/>
    <w:rsid w:val="009B3C8A"/>
    <w:rsid w:val="009B4587"/>
    <w:rsid w:val="009B4C85"/>
    <w:rsid w:val="009B52DB"/>
    <w:rsid w:val="009B553C"/>
    <w:rsid w:val="009B5AC6"/>
    <w:rsid w:val="009B5FDB"/>
    <w:rsid w:val="009B645E"/>
    <w:rsid w:val="009B6823"/>
    <w:rsid w:val="009B70C7"/>
    <w:rsid w:val="009B7BA3"/>
    <w:rsid w:val="009B7C25"/>
    <w:rsid w:val="009B7D1D"/>
    <w:rsid w:val="009C09AB"/>
    <w:rsid w:val="009C0F5A"/>
    <w:rsid w:val="009C22E2"/>
    <w:rsid w:val="009C2908"/>
    <w:rsid w:val="009C311E"/>
    <w:rsid w:val="009C32C6"/>
    <w:rsid w:val="009C3D48"/>
    <w:rsid w:val="009C3FE5"/>
    <w:rsid w:val="009C4086"/>
    <w:rsid w:val="009C4807"/>
    <w:rsid w:val="009C4866"/>
    <w:rsid w:val="009C59D5"/>
    <w:rsid w:val="009C6102"/>
    <w:rsid w:val="009C75E3"/>
    <w:rsid w:val="009C7956"/>
    <w:rsid w:val="009C7F8C"/>
    <w:rsid w:val="009D01CA"/>
    <w:rsid w:val="009D0C18"/>
    <w:rsid w:val="009D1A83"/>
    <w:rsid w:val="009D1CBF"/>
    <w:rsid w:val="009D1D72"/>
    <w:rsid w:val="009D254B"/>
    <w:rsid w:val="009D2B72"/>
    <w:rsid w:val="009D30DB"/>
    <w:rsid w:val="009D35D0"/>
    <w:rsid w:val="009D3619"/>
    <w:rsid w:val="009D392C"/>
    <w:rsid w:val="009D3EE0"/>
    <w:rsid w:val="009D42D1"/>
    <w:rsid w:val="009D43C3"/>
    <w:rsid w:val="009D49EC"/>
    <w:rsid w:val="009D51BD"/>
    <w:rsid w:val="009D65F2"/>
    <w:rsid w:val="009D6AA1"/>
    <w:rsid w:val="009D724E"/>
    <w:rsid w:val="009D7BA1"/>
    <w:rsid w:val="009E0030"/>
    <w:rsid w:val="009E1085"/>
    <w:rsid w:val="009E12C7"/>
    <w:rsid w:val="009E15E1"/>
    <w:rsid w:val="009E1792"/>
    <w:rsid w:val="009E1D6F"/>
    <w:rsid w:val="009E2158"/>
    <w:rsid w:val="009E2A28"/>
    <w:rsid w:val="009E3619"/>
    <w:rsid w:val="009E3622"/>
    <w:rsid w:val="009E3C70"/>
    <w:rsid w:val="009E42D6"/>
    <w:rsid w:val="009E43D7"/>
    <w:rsid w:val="009E4518"/>
    <w:rsid w:val="009E494A"/>
    <w:rsid w:val="009E49EA"/>
    <w:rsid w:val="009E5948"/>
    <w:rsid w:val="009E65F6"/>
    <w:rsid w:val="009E68E4"/>
    <w:rsid w:val="009E6CB9"/>
    <w:rsid w:val="009E7513"/>
    <w:rsid w:val="009E7C33"/>
    <w:rsid w:val="009E7EAE"/>
    <w:rsid w:val="009F00C5"/>
    <w:rsid w:val="009F053F"/>
    <w:rsid w:val="009F1354"/>
    <w:rsid w:val="009F13A2"/>
    <w:rsid w:val="009F17D3"/>
    <w:rsid w:val="009F1A4A"/>
    <w:rsid w:val="009F3081"/>
    <w:rsid w:val="009F32C1"/>
    <w:rsid w:val="009F3D68"/>
    <w:rsid w:val="009F4E1F"/>
    <w:rsid w:val="009F4F8D"/>
    <w:rsid w:val="009F55AF"/>
    <w:rsid w:val="009F57AA"/>
    <w:rsid w:val="009F60ED"/>
    <w:rsid w:val="009F6425"/>
    <w:rsid w:val="009F671E"/>
    <w:rsid w:val="009F687D"/>
    <w:rsid w:val="009F6A7D"/>
    <w:rsid w:val="009F7CEC"/>
    <w:rsid w:val="00A00211"/>
    <w:rsid w:val="00A00238"/>
    <w:rsid w:val="00A00477"/>
    <w:rsid w:val="00A014B3"/>
    <w:rsid w:val="00A01592"/>
    <w:rsid w:val="00A01722"/>
    <w:rsid w:val="00A01C8B"/>
    <w:rsid w:val="00A01EDC"/>
    <w:rsid w:val="00A01F4D"/>
    <w:rsid w:val="00A02052"/>
    <w:rsid w:val="00A0223F"/>
    <w:rsid w:val="00A03010"/>
    <w:rsid w:val="00A032F1"/>
    <w:rsid w:val="00A033AD"/>
    <w:rsid w:val="00A0376A"/>
    <w:rsid w:val="00A03B1D"/>
    <w:rsid w:val="00A03B81"/>
    <w:rsid w:val="00A04777"/>
    <w:rsid w:val="00A060EE"/>
    <w:rsid w:val="00A06768"/>
    <w:rsid w:val="00A06BDF"/>
    <w:rsid w:val="00A070EC"/>
    <w:rsid w:val="00A076EF"/>
    <w:rsid w:val="00A07E8B"/>
    <w:rsid w:val="00A1002B"/>
    <w:rsid w:val="00A10068"/>
    <w:rsid w:val="00A113A1"/>
    <w:rsid w:val="00A11519"/>
    <w:rsid w:val="00A1252F"/>
    <w:rsid w:val="00A125DA"/>
    <w:rsid w:val="00A12871"/>
    <w:rsid w:val="00A12956"/>
    <w:rsid w:val="00A12A96"/>
    <w:rsid w:val="00A12C83"/>
    <w:rsid w:val="00A12FE4"/>
    <w:rsid w:val="00A130D6"/>
    <w:rsid w:val="00A133A2"/>
    <w:rsid w:val="00A1364A"/>
    <w:rsid w:val="00A13BF7"/>
    <w:rsid w:val="00A13E70"/>
    <w:rsid w:val="00A14D30"/>
    <w:rsid w:val="00A14D33"/>
    <w:rsid w:val="00A14DAC"/>
    <w:rsid w:val="00A1501D"/>
    <w:rsid w:val="00A153ED"/>
    <w:rsid w:val="00A1560D"/>
    <w:rsid w:val="00A156DF"/>
    <w:rsid w:val="00A15E4D"/>
    <w:rsid w:val="00A168EE"/>
    <w:rsid w:val="00A17EA5"/>
    <w:rsid w:val="00A202D5"/>
    <w:rsid w:val="00A208E2"/>
    <w:rsid w:val="00A20D2D"/>
    <w:rsid w:val="00A2160A"/>
    <w:rsid w:val="00A217E3"/>
    <w:rsid w:val="00A218CC"/>
    <w:rsid w:val="00A218CD"/>
    <w:rsid w:val="00A22222"/>
    <w:rsid w:val="00A23371"/>
    <w:rsid w:val="00A23495"/>
    <w:rsid w:val="00A23A3B"/>
    <w:rsid w:val="00A246BE"/>
    <w:rsid w:val="00A25DD2"/>
    <w:rsid w:val="00A25EF1"/>
    <w:rsid w:val="00A26E2D"/>
    <w:rsid w:val="00A27B78"/>
    <w:rsid w:val="00A30337"/>
    <w:rsid w:val="00A3142F"/>
    <w:rsid w:val="00A3155B"/>
    <w:rsid w:val="00A315DF"/>
    <w:rsid w:val="00A31848"/>
    <w:rsid w:val="00A32CA8"/>
    <w:rsid w:val="00A332F2"/>
    <w:rsid w:val="00A3332F"/>
    <w:rsid w:val="00A33635"/>
    <w:rsid w:val="00A336BA"/>
    <w:rsid w:val="00A33C83"/>
    <w:rsid w:val="00A33CD5"/>
    <w:rsid w:val="00A33FD0"/>
    <w:rsid w:val="00A34A59"/>
    <w:rsid w:val="00A34E6F"/>
    <w:rsid w:val="00A35D1F"/>
    <w:rsid w:val="00A3605C"/>
    <w:rsid w:val="00A37E20"/>
    <w:rsid w:val="00A37F85"/>
    <w:rsid w:val="00A4071D"/>
    <w:rsid w:val="00A408B9"/>
    <w:rsid w:val="00A41295"/>
    <w:rsid w:val="00A41B1C"/>
    <w:rsid w:val="00A41D2E"/>
    <w:rsid w:val="00A420D4"/>
    <w:rsid w:val="00A42373"/>
    <w:rsid w:val="00A42579"/>
    <w:rsid w:val="00A42783"/>
    <w:rsid w:val="00A432A5"/>
    <w:rsid w:val="00A436A2"/>
    <w:rsid w:val="00A440F7"/>
    <w:rsid w:val="00A4417B"/>
    <w:rsid w:val="00A442F0"/>
    <w:rsid w:val="00A44370"/>
    <w:rsid w:val="00A44397"/>
    <w:rsid w:val="00A443E2"/>
    <w:rsid w:val="00A44C44"/>
    <w:rsid w:val="00A452FF"/>
    <w:rsid w:val="00A45A25"/>
    <w:rsid w:val="00A45D7B"/>
    <w:rsid w:val="00A46047"/>
    <w:rsid w:val="00A46152"/>
    <w:rsid w:val="00A46B92"/>
    <w:rsid w:val="00A47341"/>
    <w:rsid w:val="00A477E9"/>
    <w:rsid w:val="00A47869"/>
    <w:rsid w:val="00A47D83"/>
    <w:rsid w:val="00A50056"/>
    <w:rsid w:val="00A50A83"/>
    <w:rsid w:val="00A51041"/>
    <w:rsid w:val="00A51208"/>
    <w:rsid w:val="00A51557"/>
    <w:rsid w:val="00A515A7"/>
    <w:rsid w:val="00A5180C"/>
    <w:rsid w:val="00A51E66"/>
    <w:rsid w:val="00A52269"/>
    <w:rsid w:val="00A52872"/>
    <w:rsid w:val="00A53217"/>
    <w:rsid w:val="00A5379C"/>
    <w:rsid w:val="00A54019"/>
    <w:rsid w:val="00A5408B"/>
    <w:rsid w:val="00A5437D"/>
    <w:rsid w:val="00A54DC6"/>
    <w:rsid w:val="00A54FBC"/>
    <w:rsid w:val="00A54FDB"/>
    <w:rsid w:val="00A55FEE"/>
    <w:rsid w:val="00A561F1"/>
    <w:rsid w:val="00A56241"/>
    <w:rsid w:val="00A56A90"/>
    <w:rsid w:val="00A576E3"/>
    <w:rsid w:val="00A57C08"/>
    <w:rsid w:val="00A57EF2"/>
    <w:rsid w:val="00A6019D"/>
    <w:rsid w:val="00A61111"/>
    <w:rsid w:val="00A6260B"/>
    <w:rsid w:val="00A6275B"/>
    <w:rsid w:val="00A62A69"/>
    <w:rsid w:val="00A632F4"/>
    <w:rsid w:val="00A63958"/>
    <w:rsid w:val="00A63B8E"/>
    <w:rsid w:val="00A64A8D"/>
    <w:rsid w:val="00A64D90"/>
    <w:rsid w:val="00A65A87"/>
    <w:rsid w:val="00A6632C"/>
    <w:rsid w:val="00A6673D"/>
    <w:rsid w:val="00A66C43"/>
    <w:rsid w:val="00A66CE4"/>
    <w:rsid w:val="00A66DB0"/>
    <w:rsid w:val="00A670EE"/>
    <w:rsid w:val="00A67B11"/>
    <w:rsid w:val="00A70170"/>
    <w:rsid w:val="00A70F27"/>
    <w:rsid w:val="00A72392"/>
    <w:rsid w:val="00A7256F"/>
    <w:rsid w:val="00A73BE3"/>
    <w:rsid w:val="00A73F42"/>
    <w:rsid w:val="00A741B2"/>
    <w:rsid w:val="00A74F68"/>
    <w:rsid w:val="00A7530D"/>
    <w:rsid w:val="00A763AE"/>
    <w:rsid w:val="00A76AD4"/>
    <w:rsid w:val="00A76CE2"/>
    <w:rsid w:val="00A775B1"/>
    <w:rsid w:val="00A77850"/>
    <w:rsid w:val="00A80EEA"/>
    <w:rsid w:val="00A80F09"/>
    <w:rsid w:val="00A80F70"/>
    <w:rsid w:val="00A81485"/>
    <w:rsid w:val="00A81FBD"/>
    <w:rsid w:val="00A81FC8"/>
    <w:rsid w:val="00A82940"/>
    <w:rsid w:val="00A82AAA"/>
    <w:rsid w:val="00A83068"/>
    <w:rsid w:val="00A83404"/>
    <w:rsid w:val="00A83849"/>
    <w:rsid w:val="00A848A6"/>
    <w:rsid w:val="00A85337"/>
    <w:rsid w:val="00A85589"/>
    <w:rsid w:val="00A859AB"/>
    <w:rsid w:val="00A85D44"/>
    <w:rsid w:val="00A87256"/>
    <w:rsid w:val="00A87405"/>
    <w:rsid w:val="00A90034"/>
    <w:rsid w:val="00A90906"/>
    <w:rsid w:val="00A90F64"/>
    <w:rsid w:val="00A913C5"/>
    <w:rsid w:val="00A91B71"/>
    <w:rsid w:val="00A91CC9"/>
    <w:rsid w:val="00A92C9A"/>
    <w:rsid w:val="00A92CB2"/>
    <w:rsid w:val="00A92D32"/>
    <w:rsid w:val="00A92FE8"/>
    <w:rsid w:val="00A930D0"/>
    <w:rsid w:val="00A93BC7"/>
    <w:rsid w:val="00A93DF9"/>
    <w:rsid w:val="00A94A99"/>
    <w:rsid w:val="00A9542C"/>
    <w:rsid w:val="00A95696"/>
    <w:rsid w:val="00A9602B"/>
    <w:rsid w:val="00A962E2"/>
    <w:rsid w:val="00A968A5"/>
    <w:rsid w:val="00A97937"/>
    <w:rsid w:val="00AA057B"/>
    <w:rsid w:val="00AA0733"/>
    <w:rsid w:val="00AA07E4"/>
    <w:rsid w:val="00AA15DD"/>
    <w:rsid w:val="00AA1E4B"/>
    <w:rsid w:val="00AA1E59"/>
    <w:rsid w:val="00AA222F"/>
    <w:rsid w:val="00AA3266"/>
    <w:rsid w:val="00AA35E0"/>
    <w:rsid w:val="00AA3E2C"/>
    <w:rsid w:val="00AA43E2"/>
    <w:rsid w:val="00AA44BE"/>
    <w:rsid w:val="00AA4589"/>
    <w:rsid w:val="00AA460E"/>
    <w:rsid w:val="00AA4804"/>
    <w:rsid w:val="00AA51E6"/>
    <w:rsid w:val="00AA60FA"/>
    <w:rsid w:val="00AA6657"/>
    <w:rsid w:val="00AA6E2D"/>
    <w:rsid w:val="00AA7189"/>
    <w:rsid w:val="00AA726C"/>
    <w:rsid w:val="00AA7672"/>
    <w:rsid w:val="00AA772D"/>
    <w:rsid w:val="00AB011A"/>
    <w:rsid w:val="00AB0347"/>
    <w:rsid w:val="00AB0488"/>
    <w:rsid w:val="00AB0592"/>
    <w:rsid w:val="00AB07F0"/>
    <w:rsid w:val="00AB11D4"/>
    <w:rsid w:val="00AB2835"/>
    <w:rsid w:val="00AB2EBA"/>
    <w:rsid w:val="00AB30C0"/>
    <w:rsid w:val="00AB38C1"/>
    <w:rsid w:val="00AB3A7F"/>
    <w:rsid w:val="00AB3B92"/>
    <w:rsid w:val="00AB3CD5"/>
    <w:rsid w:val="00AB49D1"/>
    <w:rsid w:val="00AB56EA"/>
    <w:rsid w:val="00AB5D72"/>
    <w:rsid w:val="00AB6C7B"/>
    <w:rsid w:val="00AB73B5"/>
    <w:rsid w:val="00AB779D"/>
    <w:rsid w:val="00AB784F"/>
    <w:rsid w:val="00AB79D8"/>
    <w:rsid w:val="00AB7D14"/>
    <w:rsid w:val="00AC05E6"/>
    <w:rsid w:val="00AC09DF"/>
    <w:rsid w:val="00AC0CE7"/>
    <w:rsid w:val="00AC113E"/>
    <w:rsid w:val="00AC1BDE"/>
    <w:rsid w:val="00AC27F9"/>
    <w:rsid w:val="00AC298E"/>
    <w:rsid w:val="00AC3404"/>
    <w:rsid w:val="00AC3488"/>
    <w:rsid w:val="00AC3853"/>
    <w:rsid w:val="00AC3DD2"/>
    <w:rsid w:val="00AC3EE4"/>
    <w:rsid w:val="00AC41B7"/>
    <w:rsid w:val="00AC46DA"/>
    <w:rsid w:val="00AC5187"/>
    <w:rsid w:val="00AC59DF"/>
    <w:rsid w:val="00AC68D3"/>
    <w:rsid w:val="00AC6A95"/>
    <w:rsid w:val="00AC7004"/>
    <w:rsid w:val="00AC728A"/>
    <w:rsid w:val="00AC72B9"/>
    <w:rsid w:val="00AD0E9C"/>
    <w:rsid w:val="00AD1523"/>
    <w:rsid w:val="00AD19FE"/>
    <w:rsid w:val="00AD2EA5"/>
    <w:rsid w:val="00AD2F3B"/>
    <w:rsid w:val="00AD3306"/>
    <w:rsid w:val="00AD34B6"/>
    <w:rsid w:val="00AD4F5C"/>
    <w:rsid w:val="00AD510C"/>
    <w:rsid w:val="00AD532E"/>
    <w:rsid w:val="00AD5F8A"/>
    <w:rsid w:val="00AD6006"/>
    <w:rsid w:val="00AD744C"/>
    <w:rsid w:val="00AD78D6"/>
    <w:rsid w:val="00AD7BF2"/>
    <w:rsid w:val="00AD7DD6"/>
    <w:rsid w:val="00AD7EA5"/>
    <w:rsid w:val="00AE09FD"/>
    <w:rsid w:val="00AE0EB6"/>
    <w:rsid w:val="00AE1EDD"/>
    <w:rsid w:val="00AE1F43"/>
    <w:rsid w:val="00AE32FC"/>
    <w:rsid w:val="00AE346D"/>
    <w:rsid w:val="00AE3472"/>
    <w:rsid w:val="00AE35B7"/>
    <w:rsid w:val="00AE3C70"/>
    <w:rsid w:val="00AE4BAA"/>
    <w:rsid w:val="00AE5277"/>
    <w:rsid w:val="00AE52FD"/>
    <w:rsid w:val="00AE5FDC"/>
    <w:rsid w:val="00AE6242"/>
    <w:rsid w:val="00AE68D3"/>
    <w:rsid w:val="00AE6964"/>
    <w:rsid w:val="00AE73BD"/>
    <w:rsid w:val="00AE7C6D"/>
    <w:rsid w:val="00AF0471"/>
    <w:rsid w:val="00AF084D"/>
    <w:rsid w:val="00AF1040"/>
    <w:rsid w:val="00AF206A"/>
    <w:rsid w:val="00AF241C"/>
    <w:rsid w:val="00AF2943"/>
    <w:rsid w:val="00AF4059"/>
    <w:rsid w:val="00AF45CC"/>
    <w:rsid w:val="00AF480F"/>
    <w:rsid w:val="00AF5685"/>
    <w:rsid w:val="00AF5899"/>
    <w:rsid w:val="00AF60E0"/>
    <w:rsid w:val="00AF6C56"/>
    <w:rsid w:val="00AF74AE"/>
    <w:rsid w:val="00AF781F"/>
    <w:rsid w:val="00B0036C"/>
    <w:rsid w:val="00B0048D"/>
    <w:rsid w:val="00B00D5C"/>
    <w:rsid w:val="00B01160"/>
    <w:rsid w:val="00B01B0B"/>
    <w:rsid w:val="00B02A35"/>
    <w:rsid w:val="00B02DC1"/>
    <w:rsid w:val="00B036FF"/>
    <w:rsid w:val="00B043DF"/>
    <w:rsid w:val="00B047EE"/>
    <w:rsid w:val="00B05231"/>
    <w:rsid w:val="00B055EA"/>
    <w:rsid w:val="00B066E0"/>
    <w:rsid w:val="00B06B34"/>
    <w:rsid w:val="00B07698"/>
    <w:rsid w:val="00B0795A"/>
    <w:rsid w:val="00B079E1"/>
    <w:rsid w:val="00B10157"/>
    <w:rsid w:val="00B10177"/>
    <w:rsid w:val="00B10455"/>
    <w:rsid w:val="00B10655"/>
    <w:rsid w:val="00B111C8"/>
    <w:rsid w:val="00B11590"/>
    <w:rsid w:val="00B12276"/>
    <w:rsid w:val="00B12351"/>
    <w:rsid w:val="00B125A3"/>
    <w:rsid w:val="00B126D1"/>
    <w:rsid w:val="00B12EFA"/>
    <w:rsid w:val="00B13740"/>
    <w:rsid w:val="00B14449"/>
    <w:rsid w:val="00B14C88"/>
    <w:rsid w:val="00B14F3B"/>
    <w:rsid w:val="00B15782"/>
    <w:rsid w:val="00B15D3C"/>
    <w:rsid w:val="00B16170"/>
    <w:rsid w:val="00B16304"/>
    <w:rsid w:val="00B16BEB"/>
    <w:rsid w:val="00B16F0F"/>
    <w:rsid w:val="00B1701B"/>
    <w:rsid w:val="00B17294"/>
    <w:rsid w:val="00B17D42"/>
    <w:rsid w:val="00B17E02"/>
    <w:rsid w:val="00B17FD6"/>
    <w:rsid w:val="00B20211"/>
    <w:rsid w:val="00B20AA7"/>
    <w:rsid w:val="00B21091"/>
    <w:rsid w:val="00B212B3"/>
    <w:rsid w:val="00B216EB"/>
    <w:rsid w:val="00B216EF"/>
    <w:rsid w:val="00B21B08"/>
    <w:rsid w:val="00B2224F"/>
    <w:rsid w:val="00B22825"/>
    <w:rsid w:val="00B22CD4"/>
    <w:rsid w:val="00B23440"/>
    <w:rsid w:val="00B238FD"/>
    <w:rsid w:val="00B23A42"/>
    <w:rsid w:val="00B23EBF"/>
    <w:rsid w:val="00B2439D"/>
    <w:rsid w:val="00B2491C"/>
    <w:rsid w:val="00B24A17"/>
    <w:rsid w:val="00B24A5A"/>
    <w:rsid w:val="00B24D10"/>
    <w:rsid w:val="00B24E64"/>
    <w:rsid w:val="00B25490"/>
    <w:rsid w:val="00B25735"/>
    <w:rsid w:val="00B261A2"/>
    <w:rsid w:val="00B2697F"/>
    <w:rsid w:val="00B26FF4"/>
    <w:rsid w:val="00B27C46"/>
    <w:rsid w:val="00B3019F"/>
    <w:rsid w:val="00B30358"/>
    <w:rsid w:val="00B30FE9"/>
    <w:rsid w:val="00B313B7"/>
    <w:rsid w:val="00B31568"/>
    <w:rsid w:val="00B316C6"/>
    <w:rsid w:val="00B31EB7"/>
    <w:rsid w:val="00B3253C"/>
    <w:rsid w:val="00B32A03"/>
    <w:rsid w:val="00B32BB5"/>
    <w:rsid w:val="00B32CF8"/>
    <w:rsid w:val="00B336A2"/>
    <w:rsid w:val="00B3379C"/>
    <w:rsid w:val="00B339BB"/>
    <w:rsid w:val="00B33B05"/>
    <w:rsid w:val="00B33EF2"/>
    <w:rsid w:val="00B34029"/>
    <w:rsid w:val="00B34314"/>
    <w:rsid w:val="00B34339"/>
    <w:rsid w:val="00B348E9"/>
    <w:rsid w:val="00B34DAA"/>
    <w:rsid w:val="00B35125"/>
    <w:rsid w:val="00B3561C"/>
    <w:rsid w:val="00B35B11"/>
    <w:rsid w:val="00B35B2E"/>
    <w:rsid w:val="00B35B77"/>
    <w:rsid w:val="00B35E68"/>
    <w:rsid w:val="00B364A3"/>
    <w:rsid w:val="00B36CBA"/>
    <w:rsid w:val="00B37158"/>
    <w:rsid w:val="00B3729C"/>
    <w:rsid w:val="00B373BA"/>
    <w:rsid w:val="00B37441"/>
    <w:rsid w:val="00B37593"/>
    <w:rsid w:val="00B37A6D"/>
    <w:rsid w:val="00B404A5"/>
    <w:rsid w:val="00B406E8"/>
    <w:rsid w:val="00B40F44"/>
    <w:rsid w:val="00B40F57"/>
    <w:rsid w:val="00B4195F"/>
    <w:rsid w:val="00B41B91"/>
    <w:rsid w:val="00B421A0"/>
    <w:rsid w:val="00B422EF"/>
    <w:rsid w:val="00B42807"/>
    <w:rsid w:val="00B42F1E"/>
    <w:rsid w:val="00B4303F"/>
    <w:rsid w:val="00B453AA"/>
    <w:rsid w:val="00B4642B"/>
    <w:rsid w:val="00B466CD"/>
    <w:rsid w:val="00B46E6F"/>
    <w:rsid w:val="00B47054"/>
    <w:rsid w:val="00B47590"/>
    <w:rsid w:val="00B479C5"/>
    <w:rsid w:val="00B5042A"/>
    <w:rsid w:val="00B50B8C"/>
    <w:rsid w:val="00B5106D"/>
    <w:rsid w:val="00B52104"/>
    <w:rsid w:val="00B5232B"/>
    <w:rsid w:val="00B5239E"/>
    <w:rsid w:val="00B52B31"/>
    <w:rsid w:val="00B54582"/>
    <w:rsid w:val="00B54C2A"/>
    <w:rsid w:val="00B55209"/>
    <w:rsid w:val="00B5534B"/>
    <w:rsid w:val="00B5596C"/>
    <w:rsid w:val="00B55B6C"/>
    <w:rsid w:val="00B55E52"/>
    <w:rsid w:val="00B55EEF"/>
    <w:rsid w:val="00B56CF2"/>
    <w:rsid w:val="00B56EE3"/>
    <w:rsid w:val="00B603A3"/>
    <w:rsid w:val="00B60A16"/>
    <w:rsid w:val="00B60A75"/>
    <w:rsid w:val="00B60E4E"/>
    <w:rsid w:val="00B61A29"/>
    <w:rsid w:val="00B6261D"/>
    <w:rsid w:val="00B63A15"/>
    <w:rsid w:val="00B63ABC"/>
    <w:rsid w:val="00B63E79"/>
    <w:rsid w:val="00B64E71"/>
    <w:rsid w:val="00B65234"/>
    <w:rsid w:val="00B65974"/>
    <w:rsid w:val="00B65A7C"/>
    <w:rsid w:val="00B65B1F"/>
    <w:rsid w:val="00B6612A"/>
    <w:rsid w:val="00B662B1"/>
    <w:rsid w:val="00B67135"/>
    <w:rsid w:val="00B67235"/>
    <w:rsid w:val="00B67A7D"/>
    <w:rsid w:val="00B7073D"/>
    <w:rsid w:val="00B71145"/>
    <w:rsid w:val="00B71399"/>
    <w:rsid w:val="00B7143F"/>
    <w:rsid w:val="00B71818"/>
    <w:rsid w:val="00B71A3D"/>
    <w:rsid w:val="00B71AB7"/>
    <w:rsid w:val="00B71D9E"/>
    <w:rsid w:val="00B71F45"/>
    <w:rsid w:val="00B723DC"/>
    <w:rsid w:val="00B724FA"/>
    <w:rsid w:val="00B73551"/>
    <w:rsid w:val="00B73731"/>
    <w:rsid w:val="00B748F2"/>
    <w:rsid w:val="00B74C22"/>
    <w:rsid w:val="00B74FAF"/>
    <w:rsid w:val="00B755B3"/>
    <w:rsid w:val="00B7572F"/>
    <w:rsid w:val="00B7604C"/>
    <w:rsid w:val="00B7665D"/>
    <w:rsid w:val="00B76740"/>
    <w:rsid w:val="00B76CBD"/>
    <w:rsid w:val="00B76D00"/>
    <w:rsid w:val="00B76D9B"/>
    <w:rsid w:val="00B772BB"/>
    <w:rsid w:val="00B7779B"/>
    <w:rsid w:val="00B8095B"/>
    <w:rsid w:val="00B80BBC"/>
    <w:rsid w:val="00B80D0E"/>
    <w:rsid w:val="00B8175E"/>
    <w:rsid w:val="00B81AA7"/>
    <w:rsid w:val="00B8252D"/>
    <w:rsid w:val="00B8279A"/>
    <w:rsid w:val="00B82F19"/>
    <w:rsid w:val="00B831F0"/>
    <w:rsid w:val="00B83F4E"/>
    <w:rsid w:val="00B840AC"/>
    <w:rsid w:val="00B84A5C"/>
    <w:rsid w:val="00B856A9"/>
    <w:rsid w:val="00B85753"/>
    <w:rsid w:val="00B85EA1"/>
    <w:rsid w:val="00B86D8E"/>
    <w:rsid w:val="00B87149"/>
    <w:rsid w:val="00B87186"/>
    <w:rsid w:val="00B874EC"/>
    <w:rsid w:val="00B87DC6"/>
    <w:rsid w:val="00B88B28"/>
    <w:rsid w:val="00B9038F"/>
    <w:rsid w:val="00B903EE"/>
    <w:rsid w:val="00B907D4"/>
    <w:rsid w:val="00B9114A"/>
    <w:rsid w:val="00B91391"/>
    <w:rsid w:val="00B9155A"/>
    <w:rsid w:val="00B91C30"/>
    <w:rsid w:val="00B91E3D"/>
    <w:rsid w:val="00B92134"/>
    <w:rsid w:val="00B921D6"/>
    <w:rsid w:val="00B9273F"/>
    <w:rsid w:val="00B92A16"/>
    <w:rsid w:val="00B92C1C"/>
    <w:rsid w:val="00B92CAF"/>
    <w:rsid w:val="00B93384"/>
    <w:rsid w:val="00B93580"/>
    <w:rsid w:val="00B939E2"/>
    <w:rsid w:val="00B93CE1"/>
    <w:rsid w:val="00B94D55"/>
    <w:rsid w:val="00B9515A"/>
    <w:rsid w:val="00B96020"/>
    <w:rsid w:val="00B962CA"/>
    <w:rsid w:val="00B96559"/>
    <w:rsid w:val="00B96732"/>
    <w:rsid w:val="00B967AE"/>
    <w:rsid w:val="00B96CB2"/>
    <w:rsid w:val="00B97B2D"/>
    <w:rsid w:val="00B97CBF"/>
    <w:rsid w:val="00BA0BBA"/>
    <w:rsid w:val="00BA1BC3"/>
    <w:rsid w:val="00BA253B"/>
    <w:rsid w:val="00BA2AA5"/>
    <w:rsid w:val="00BA31D3"/>
    <w:rsid w:val="00BA36B2"/>
    <w:rsid w:val="00BA38A9"/>
    <w:rsid w:val="00BA3E67"/>
    <w:rsid w:val="00BA4003"/>
    <w:rsid w:val="00BA40BF"/>
    <w:rsid w:val="00BA427D"/>
    <w:rsid w:val="00BA599C"/>
    <w:rsid w:val="00BA5C1E"/>
    <w:rsid w:val="00BA6176"/>
    <w:rsid w:val="00BA68D7"/>
    <w:rsid w:val="00BA6936"/>
    <w:rsid w:val="00BA6D67"/>
    <w:rsid w:val="00BA70EB"/>
    <w:rsid w:val="00BA72E4"/>
    <w:rsid w:val="00BA7D55"/>
    <w:rsid w:val="00BA7ED5"/>
    <w:rsid w:val="00BB164A"/>
    <w:rsid w:val="00BB1DBA"/>
    <w:rsid w:val="00BB2520"/>
    <w:rsid w:val="00BB27F5"/>
    <w:rsid w:val="00BB2C68"/>
    <w:rsid w:val="00BB3161"/>
    <w:rsid w:val="00BB3224"/>
    <w:rsid w:val="00BB3330"/>
    <w:rsid w:val="00BB43FD"/>
    <w:rsid w:val="00BB47B1"/>
    <w:rsid w:val="00BB612F"/>
    <w:rsid w:val="00BB68A4"/>
    <w:rsid w:val="00BB779F"/>
    <w:rsid w:val="00BB7D7D"/>
    <w:rsid w:val="00BB7EB9"/>
    <w:rsid w:val="00BC00F2"/>
    <w:rsid w:val="00BC21D7"/>
    <w:rsid w:val="00BC2903"/>
    <w:rsid w:val="00BC31BB"/>
    <w:rsid w:val="00BC3E29"/>
    <w:rsid w:val="00BC5A39"/>
    <w:rsid w:val="00BC60A8"/>
    <w:rsid w:val="00BC6347"/>
    <w:rsid w:val="00BC6623"/>
    <w:rsid w:val="00BC77B6"/>
    <w:rsid w:val="00BC7B76"/>
    <w:rsid w:val="00BC7B85"/>
    <w:rsid w:val="00BD0351"/>
    <w:rsid w:val="00BD1477"/>
    <w:rsid w:val="00BD1C75"/>
    <w:rsid w:val="00BD225C"/>
    <w:rsid w:val="00BD2A5A"/>
    <w:rsid w:val="00BD2C2D"/>
    <w:rsid w:val="00BD2D0E"/>
    <w:rsid w:val="00BD3D1C"/>
    <w:rsid w:val="00BD3E8D"/>
    <w:rsid w:val="00BD51D0"/>
    <w:rsid w:val="00BD51F0"/>
    <w:rsid w:val="00BD57CF"/>
    <w:rsid w:val="00BD5DE2"/>
    <w:rsid w:val="00BD5FC1"/>
    <w:rsid w:val="00BD62D4"/>
    <w:rsid w:val="00BD6B2D"/>
    <w:rsid w:val="00BD6D14"/>
    <w:rsid w:val="00BD703D"/>
    <w:rsid w:val="00BE0499"/>
    <w:rsid w:val="00BE1070"/>
    <w:rsid w:val="00BE2A81"/>
    <w:rsid w:val="00BE2B7A"/>
    <w:rsid w:val="00BE2E74"/>
    <w:rsid w:val="00BE307F"/>
    <w:rsid w:val="00BE35B4"/>
    <w:rsid w:val="00BE3A26"/>
    <w:rsid w:val="00BE3EA3"/>
    <w:rsid w:val="00BE43F8"/>
    <w:rsid w:val="00BE4BCF"/>
    <w:rsid w:val="00BE5458"/>
    <w:rsid w:val="00BE55E9"/>
    <w:rsid w:val="00BE64BC"/>
    <w:rsid w:val="00BE7198"/>
    <w:rsid w:val="00BE77BB"/>
    <w:rsid w:val="00BF0B0B"/>
    <w:rsid w:val="00BF0DA3"/>
    <w:rsid w:val="00BF1361"/>
    <w:rsid w:val="00BF1567"/>
    <w:rsid w:val="00BF1DBC"/>
    <w:rsid w:val="00BF1E53"/>
    <w:rsid w:val="00BF24D1"/>
    <w:rsid w:val="00BF25C5"/>
    <w:rsid w:val="00BF2629"/>
    <w:rsid w:val="00BF3A05"/>
    <w:rsid w:val="00BF3BBC"/>
    <w:rsid w:val="00BF4482"/>
    <w:rsid w:val="00BF458E"/>
    <w:rsid w:val="00BF4AD3"/>
    <w:rsid w:val="00BF5898"/>
    <w:rsid w:val="00BF6381"/>
    <w:rsid w:val="00BF65DA"/>
    <w:rsid w:val="00BF6F93"/>
    <w:rsid w:val="00BF7227"/>
    <w:rsid w:val="00BF79A4"/>
    <w:rsid w:val="00C01062"/>
    <w:rsid w:val="00C015D0"/>
    <w:rsid w:val="00C01639"/>
    <w:rsid w:val="00C016B5"/>
    <w:rsid w:val="00C02345"/>
    <w:rsid w:val="00C02542"/>
    <w:rsid w:val="00C0378B"/>
    <w:rsid w:val="00C03C1D"/>
    <w:rsid w:val="00C0450F"/>
    <w:rsid w:val="00C0659D"/>
    <w:rsid w:val="00C06FEC"/>
    <w:rsid w:val="00C0772B"/>
    <w:rsid w:val="00C0772F"/>
    <w:rsid w:val="00C07B68"/>
    <w:rsid w:val="00C10419"/>
    <w:rsid w:val="00C106EF"/>
    <w:rsid w:val="00C10AC0"/>
    <w:rsid w:val="00C10EC8"/>
    <w:rsid w:val="00C126A3"/>
    <w:rsid w:val="00C127CC"/>
    <w:rsid w:val="00C128BD"/>
    <w:rsid w:val="00C12B17"/>
    <w:rsid w:val="00C13096"/>
    <w:rsid w:val="00C13594"/>
    <w:rsid w:val="00C13CD1"/>
    <w:rsid w:val="00C1429D"/>
    <w:rsid w:val="00C14558"/>
    <w:rsid w:val="00C14945"/>
    <w:rsid w:val="00C14D1A"/>
    <w:rsid w:val="00C16A43"/>
    <w:rsid w:val="00C1781C"/>
    <w:rsid w:val="00C20735"/>
    <w:rsid w:val="00C209C2"/>
    <w:rsid w:val="00C21503"/>
    <w:rsid w:val="00C224A8"/>
    <w:rsid w:val="00C224F8"/>
    <w:rsid w:val="00C24ACB"/>
    <w:rsid w:val="00C24C45"/>
    <w:rsid w:val="00C2512F"/>
    <w:rsid w:val="00C2553B"/>
    <w:rsid w:val="00C25EAC"/>
    <w:rsid w:val="00C26139"/>
    <w:rsid w:val="00C26B80"/>
    <w:rsid w:val="00C27382"/>
    <w:rsid w:val="00C2753B"/>
    <w:rsid w:val="00C308CD"/>
    <w:rsid w:val="00C30D0E"/>
    <w:rsid w:val="00C313A2"/>
    <w:rsid w:val="00C3150A"/>
    <w:rsid w:val="00C3281F"/>
    <w:rsid w:val="00C32873"/>
    <w:rsid w:val="00C329D1"/>
    <w:rsid w:val="00C32AC1"/>
    <w:rsid w:val="00C3312D"/>
    <w:rsid w:val="00C34D2C"/>
    <w:rsid w:val="00C35560"/>
    <w:rsid w:val="00C35CC1"/>
    <w:rsid w:val="00C36213"/>
    <w:rsid w:val="00C365B9"/>
    <w:rsid w:val="00C369A6"/>
    <w:rsid w:val="00C37887"/>
    <w:rsid w:val="00C401C3"/>
    <w:rsid w:val="00C406C7"/>
    <w:rsid w:val="00C4096A"/>
    <w:rsid w:val="00C40C71"/>
    <w:rsid w:val="00C411BB"/>
    <w:rsid w:val="00C412CC"/>
    <w:rsid w:val="00C41494"/>
    <w:rsid w:val="00C41842"/>
    <w:rsid w:val="00C41F99"/>
    <w:rsid w:val="00C42D57"/>
    <w:rsid w:val="00C42F62"/>
    <w:rsid w:val="00C43731"/>
    <w:rsid w:val="00C43940"/>
    <w:rsid w:val="00C43ADF"/>
    <w:rsid w:val="00C43F13"/>
    <w:rsid w:val="00C44141"/>
    <w:rsid w:val="00C4439B"/>
    <w:rsid w:val="00C44432"/>
    <w:rsid w:val="00C44520"/>
    <w:rsid w:val="00C44ECA"/>
    <w:rsid w:val="00C450C5"/>
    <w:rsid w:val="00C4581B"/>
    <w:rsid w:val="00C460E3"/>
    <w:rsid w:val="00C464E6"/>
    <w:rsid w:val="00C465D1"/>
    <w:rsid w:val="00C469BB"/>
    <w:rsid w:val="00C46E03"/>
    <w:rsid w:val="00C46FFE"/>
    <w:rsid w:val="00C47344"/>
    <w:rsid w:val="00C47B16"/>
    <w:rsid w:val="00C47F3C"/>
    <w:rsid w:val="00C510A9"/>
    <w:rsid w:val="00C512DA"/>
    <w:rsid w:val="00C51404"/>
    <w:rsid w:val="00C519EA"/>
    <w:rsid w:val="00C5207C"/>
    <w:rsid w:val="00C524F9"/>
    <w:rsid w:val="00C52658"/>
    <w:rsid w:val="00C52B1B"/>
    <w:rsid w:val="00C52F64"/>
    <w:rsid w:val="00C535BC"/>
    <w:rsid w:val="00C53CB1"/>
    <w:rsid w:val="00C54905"/>
    <w:rsid w:val="00C55161"/>
    <w:rsid w:val="00C55632"/>
    <w:rsid w:val="00C556E2"/>
    <w:rsid w:val="00C557DC"/>
    <w:rsid w:val="00C557FB"/>
    <w:rsid w:val="00C55BAE"/>
    <w:rsid w:val="00C561A6"/>
    <w:rsid w:val="00C56780"/>
    <w:rsid w:val="00C56E67"/>
    <w:rsid w:val="00C56F36"/>
    <w:rsid w:val="00C573FA"/>
    <w:rsid w:val="00C579FD"/>
    <w:rsid w:val="00C57C74"/>
    <w:rsid w:val="00C60EC9"/>
    <w:rsid w:val="00C61488"/>
    <w:rsid w:val="00C61B3B"/>
    <w:rsid w:val="00C6200B"/>
    <w:rsid w:val="00C629E1"/>
    <w:rsid w:val="00C62C98"/>
    <w:rsid w:val="00C62D4A"/>
    <w:rsid w:val="00C6330C"/>
    <w:rsid w:val="00C643F4"/>
    <w:rsid w:val="00C64765"/>
    <w:rsid w:val="00C6494C"/>
    <w:rsid w:val="00C65156"/>
    <w:rsid w:val="00C65359"/>
    <w:rsid w:val="00C65E25"/>
    <w:rsid w:val="00C65ECB"/>
    <w:rsid w:val="00C66550"/>
    <w:rsid w:val="00C66891"/>
    <w:rsid w:val="00C66AEE"/>
    <w:rsid w:val="00C66B65"/>
    <w:rsid w:val="00C6703E"/>
    <w:rsid w:val="00C67420"/>
    <w:rsid w:val="00C679F7"/>
    <w:rsid w:val="00C67E5D"/>
    <w:rsid w:val="00C67FE5"/>
    <w:rsid w:val="00C7031A"/>
    <w:rsid w:val="00C706CB"/>
    <w:rsid w:val="00C71FD8"/>
    <w:rsid w:val="00C71FE2"/>
    <w:rsid w:val="00C72FB9"/>
    <w:rsid w:val="00C73130"/>
    <w:rsid w:val="00C734B9"/>
    <w:rsid w:val="00C74523"/>
    <w:rsid w:val="00C74615"/>
    <w:rsid w:val="00C74CBB"/>
    <w:rsid w:val="00C74F54"/>
    <w:rsid w:val="00C7528F"/>
    <w:rsid w:val="00C757AF"/>
    <w:rsid w:val="00C757E4"/>
    <w:rsid w:val="00C75813"/>
    <w:rsid w:val="00C758BB"/>
    <w:rsid w:val="00C76A90"/>
    <w:rsid w:val="00C778DC"/>
    <w:rsid w:val="00C77ED2"/>
    <w:rsid w:val="00C803DA"/>
    <w:rsid w:val="00C80452"/>
    <w:rsid w:val="00C80E4E"/>
    <w:rsid w:val="00C80F99"/>
    <w:rsid w:val="00C81008"/>
    <w:rsid w:val="00C8109F"/>
    <w:rsid w:val="00C81522"/>
    <w:rsid w:val="00C81F85"/>
    <w:rsid w:val="00C8219D"/>
    <w:rsid w:val="00C82B1A"/>
    <w:rsid w:val="00C82CC4"/>
    <w:rsid w:val="00C8348B"/>
    <w:rsid w:val="00C83DA3"/>
    <w:rsid w:val="00C83DC3"/>
    <w:rsid w:val="00C84127"/>
    <w:rsid w:val="00C855FB"/>
    <w:rsid w:val="00C85F52"/>
    <w:rsid w:val="00C8641A"/>
    <w:rsid w:val="00C8650D"/>
    <w:rsid w:val="00C86620"/>
    <w:rsid w:val="00C86D16"/>
    <w:rsid w:val="00C86DA3"/>
    <w:rsid w:val="00C86F23"/>
    <w:rsid w:val="00C9014B"/>
    <w:rsid w:val="00C90681"/>
    <w:rsid w:val="00C90839"/>
    <w:rsid w:val="00C90895"/>
    <w:rsid w:val="00C92C88"/>
    <w:rsid w:val="00C9330D"/>
    <w:rsid w:val="00C93425"/>
    <w:rsid w:val="00C941FD"/>
    <w:rsid w:val="00C9431E"/>
    <w:rsid w:val="00C94555"/>
    <w:rsid w:val="00C94BAC"/>
    <w:rsid w:val="00C94C7F"/>
    <w:rsid w:val="00C95088"/>
    <w:rsid w:val="00C9593F"/>
    <w:rsid w:val="00C964F0"/>
    <w:rsid w:val="00C965D8"/>
    <w:rsid w:val="00C96B65"/>
    <w:rsid w:val="00C96DFE"/>
    <w:rsid w:val="00C9786E"/>
    <w:rsid w:val="00CA003B"/>
    <w:rsid w:val="00CA0055"/>
    <w:rsid w:val="00CA03E3"/>
    <w:rsid w:val="00CA06F5"/>
    <w:rsid w:val="00CA0C75"/>
    <w:rsid w:val="00CA0EEE"/>
    <w:rsid w:val="00CA1E33"/>
    <w:rsid w:val="00CA2071"/>
    <w:rsid w:val="00CA2A2C"/>
    <w:rsid w:val="00CA2A60"/>
    <w:rsid w:val="00CA2E38"/>
    <w:rsid w:val="00CA2E60"/>
    <w:rsid w:val="00CA3048"/>
    <w:rsid w:val="00CA37FE"/>
    <w:rsid w:val="00CA3C25"/>
    <w:rsid w:val="00CA3FA8"/>
    <w:rsid w:val="00CA438A"/>
    <w:rsid w:val="00CA45DE"/>
    <w:rsid w:val="00CA4772"/>
    <w:rsid w:val="00CA4A09"/>
    <w:rsid w:val="00CA4D71"/>
    <w:rsid w:val="00CA539A"/>
    <w:rsid w:val="00CA5A29"/>
    <w:rsid w:val="00CA5B62"/>
    <w:rsid w:val="00CA62D4"/>
    <w:rsid w:val="00CA6885"/>
    <w:rsid w:val="00CA72A1"/>
    <w:rsid w:val="00CA7D89"/>
    <w:rsid w:val="00CB038B"/>
    <w:rsid w:val="00CB06A8"/>
    <w:rsid w:val="00CB0A9C"/>
    <w:rsid w:val="00CB1687"/>
    <w:rsid w:val="00CB1702"/>
    <w:rsid w:val="00CB1C65"/>
    <w:rsid w:val="00CB1CAC"/>
    <w:rsid w:val="00CB21AB"/>
    <w:rsid w:val="00CB244C"/>
    <w:rsid w:val="00CB2545"/>
    <w:rsid w:val="00CB259A"/>
    <w:rsid w:val="00CB2B79"/>
    <w:rsid w:val="00CB34CA"/>
    <w:rsid w:val="00CB4290"/>
    <w:rsid w:val="00CB4532"/>
    <w:rsid w:val="00CB45B2"/>
    <w:rsid w:val="00CB48AC"/>
    <w:rsid w:val="00CB5063"/>
    <w:rsid w:val="00CB54D3"/>
    <w:rsid w:val="00CB56E0"/>
    <w:rsid w:val="00CB5718"/>
    <w:rsid w:val="00CB5D6B"/>
    <w:rsid w:val="00CB5D92"/>
    <w:rsid w:val="00CB6BCD"/>
    <w:rsid w:val="00CB7347"/>
    <w:rsid w:val="00CB7E7A"/>
    <w:rsid w:val="00CC07EA"/>
    <w:rsid w:val="00CC0C3F"/>
    <w:rsid w:val="00CC2C45"/>
    <w:rsid w:val="00CC352B"/>
    <w:rsid w:val="00CC37DC"/>
    <w:rsid w:val="00CC4043"/>
    <w:rsid w:val="00CC50F6"/>
    <w:rsid w:val="00CC527A"/>
    <w:rsid w:val="00CC583E"/>
    <w:rsid w:val="00CC58A4"/>
    <w:rsid w:val="00CC5AF7"/>
    <w:rsid w:val="00CC615C"/>
    <w:rsid w:val="00CC6E69"/>
    <w:rsid w:val="00CC7909"/>
    <w:rsid w:val="00CD0497"/>
    <w:rsid w:val="00CD07A3"/>
    <w:rsid w:val="00CD08B6"/>
    <w:rsid w:val="00CD15A8"/>
    <w:rsid w:val="00CD15FF"/>
    <w:rsid w:val="00CD1E1D"/>
    <w:rsid w:val="00CD2421"/>
    <w:rsid w:val="00CD2D8C"/>
    <w:rsid w:val="00CD30F8"/>
    <w:rsid w:val="00CD36C3"/>
    <w:rsid w:val="00CD3D75"/>
    <w:rsid w:val="00CD4031"/>
    <w:rsid w:val="00CD428A"/>
    <w:rsid w:val="00CD4362"/>
    <w:rsid w:val="00CD4408"/>
    <w:rsid w:val="00CD49F5"/>
    <w:rsid w:val="00CD4C4D"/>
    <w:rsid w:val="00CD52F8"/>
    <w:rsid w:val="00CD5420"/>
    <w:rsid w:val="00CD5BB8"/>
    <w:rsid w:val="00CD61A5"/>
    <w:rsid w:val="00CD6400"/>
    <w:rsid w:val="00CD68AE"/>
    <w:rsid w:val="00CD6B8A"/>
    <w:rsid w:val="00CD6E66"/>
    <w:rsid w:val="00CD70B5"/>
    <w:rsid w:val="00CD70D4"/>
    <w:rsid w:val="00CD70F9"/>
    <w:rsid w:val="00CD7CC6"/>
    <w:rsid w:val="00CD7DE6"/>
    <w:rsid w:val="00CE16B2"/>
    <w:rsid w:val="00CE1A33"/>
    <w:rsid w:val="00CE1C26"/>
    <w:rsid w:val="00CE1DEA"/>
    <w:rsid w:val="00CE2008"/>
    <w:rsid w:val="00CE272A"/>
    <w:rsid w:val="00CE2AF0"/>
    <w:rsid w:val="00CE3025"/>
    <w:rsid w:val="00CE3948"/>
    <w:rsid w:val="00CE399A"/>
    <w:rsid w:val="00CE3B11"/>
    <w:rsid w:val="00CE4135"/>
    <w:rsid w:val="00CE4A8D"/>
    <w:rsid w:val="00CE4D90"/>
    <w:rsid w:val="00CE4FB7"/>
    <w:rsid w:val="00CE5003"/>
    <w:rsid w:val="00CE5034"/>
    <w:rsid w:val="00CE564A"/>
    <w:rsid w:val="00CE7220"/>
    <w:rsid w:val="00CE7BBB"/>
    <w:rsid w:val="00CF01C7"/>
    <w:rsid w:val="00CF0D0E"/>
    <w:rsid w:val="00CF17AF"/>
    <w:rsid w:val="00CF190E"/>
    <w:rsid w:val="00CF1AFD"/>
    <w:rsid w:val="00CF218F"/>
    <w:rsid w:val="00CF2204"/>
    <w:rsid w:val="00CF282C"/>
    <w:rsid w:val="00CF3278"/>
    <w:rsid w:val="00CF3592"/>
    <w:rsid w:val="00CF39B0"/>
    <w:rsid w:val="00CF3E1C"/>
    <w:rsid w:val="00CF4926"/>
    <w:rsid w:val="00CF49C2"/>
    <w:rsid w:val="00CF6736"/>
    <w:rsid w:val="00CF68B2"/>
    <w:rsid w:val="00CF748C"/>
    <w:rsid w:val="00CF7720"/>
    <w:rsid w:val="00CF7AE2"/>
    <w:rsid w:val="00CF7D2B"/>
    <w:rsid w:val="00D000DE"/>
    <w:rsid w:val="00D0017C"/>
    <w:rsid w:val="00D003CB"/>
    <w:rsid w:val="00D00462"/>
    <w:rsid w:val="00D00604"/>
    <w:rsid w:val="00D00EAC"/>
    <w:rsid w:val="00D018F9"/>
    <w:rsid w:val="00D01E3E"/>
    <w:rsid w:val="00D01FD7"/>
    <w:rsid w:val="00D02A1C"/>
    <w:rsid w:val="00D02B60"/>
    <w:rsid w:val="00D02BBD"/>
    <w:rsid w:val="00D02DCF"/>
    <w:rsid w:val="00D03248"/>
    <w:rsid w:val="00D0394E"/>
    <w:rsid w:val="00D03D9A"/>
    <w:rsid w:val="00D04075"/>
    <w:rsid w:val="00D045EF"/>
    <w:rsid w:val="00D045FD"/>
    <w:rsid w:val="00D04E62"/>
    <w:rsid w:val="00D05678"/>
    <w:rsid w:val="00D05BAD"/>
    <w:rsid w:val="00D06826"/>
    <w:rsid w:val="00D0705A"/>
    <w:rsid w:val="00D0775D"/>
    <w:rsid w:val="00D07780"/>
    <w:rsid w:val="00D10216"/>
    <w:rsid w:val="00D10555"/>
    <w:rsid w:val="00D10FC9"/>
    <w:rsid w:val="00D114DB"/>
    <w:rsid w:val="00D1205A"/>
    <w:rsid w:val="00D12313"/>
    <w:rsid w:val="00D1250A"/>
    <w:rsid w:val="00D13603"/>
    <w:rsid w:val="00D13899"/>
    <w:rsid w:val="00D13CF6"/>
    <w:rsid w:val="00D13FA0"/>
    <w:rsid w:val="00D143A8"/>
    <w:rsid w:val="00D153E9"/>
    <w:rsid w:val="00D1583E"/>
    <w:rsid w:val="00D15A4F"/>
    <w:rsid w:val="00D15DCC"/>
    <w:rsid w:val="00D170D7"/>
    <w:rsid w:val="00D174FB"/>
    <w:rsid w:val="00D1752B"/>
    <w:rsid w:val="00D17D06"/>
    <w:rsid w:val="00D20428"/>
    <w:rsid w:val="00D205CD"/>
    <w:rsid w:val="00D208BD"/>
    <w:rsid w:val="00D20C03"/>
    <w:rsid w:val="00D215C8"/>
    <w:rsid w:val="00D21772"/>
    <w:rsid w:val="00D22351"/>
    <w:rsid w:val="00D22C6B"/>
    <w:rsid w:val="00D23022"/>
    <w:rsid w:val="00D248A5"/>
    <w:rsid w:val="00D25448"/>
    <w:rsid w:val="00D26689"/>
    <w:rsid w:val="00D275F2"/>
    <w:rsid w:val="00D27DB2"/>
    <w:rsid w:val="00D27F9D"/>
    <w:rsid w:val="00D30109"/>
    <w:rsid w:val="00D30375"/>
    <w:rsid w:val="00D3045A"/>
    <w:rsid w:val="00D307D8"/>
    <w:rsid w:val="00D311F5"/>
    <w:rsid w:val="00D319B0"/>
    <w:rsid w:val="00D31BAA"/>
    <w:rsid w:val="00D31D32"/>
    <w:rsid w:val="00D31EB2"/>
    <w:rsid w:val="00D31EF8"/>
    <w:rsid w:val="00D32C69"/>
    <w:rsid w:val="00D32F4E"/>
    <w:rsid w:val="00D330B7"/>
    <w:rsid w:val="00D33318"/>
    <w:rsid w:val="00D34400"/>
    <w:rsid w:val="00D3455E"/>
    <w:rsid w:val="00D351AE"/>
    <w:rsid w:val="00D351DE"/>
    <w:rsid w:val="00D3560D"/>
    <w:rsid w:val="00D362CC"/>
    <w:rsid w:val="00D36601"/>
    <w:rsid w:val="00D371D9"/>
    <w:rsid w:val="00D40282"/>
    <w:rsid w:val="00D40759"/>
    <w:rsid w:val="00D40A5F"/>
    <w:rsid w:val="00D40ACF"/>
    <w:rsid w:val="00D41BD0"/>
    <w:rsid w:val="00D41F8B"/>
    <w:rsid w:val="00D42956"/>
    <w:rsid w:val="00D42969"/>
    <w:rsid w:val="00D430E7"/>
    <w:rsid w:val="00D43BEC"/>
    <w:rsid w:val="00D43FB4"/>
    <w:rsid w:val="00D441CB"/>
    <w:rsid w:val="00D44938"/>
    <w:rsid w:val="00D44D8B"/>
    <w:rsid w:val="00D46296"/>
    <w:rsid w:val="00D462F9"/>
    <w:rsid w:val="00D464DC"/>
    <w:rsid w:val="00D46BCF"/>
    <w:rsid w:val="00D4771B"/>
    <w:rsid w:val="00D47D52"/>
    <w:rsid w:val="00D500D5"/>
    <w:rsid w:val="00D50764"/>
    <w:rsid w:val="00D50C45"/>
    <w:rsid w:val="00D50C4F"/>
    <w:rsid w:val="00D50D61"/>
    <w:rsid w:val="00D50EEE"/>
    <w:rsid w:val="00D51357"/>
    <w:rsid w:val="00D51884"/>
    <w:rsid w:val="00D530C7"/>
    <w:rsid w:val="00D533F9"/>
    <w:rsid w:val="00D541E5"/>
    <w:rsid w:val="00D54D58"/>
    <w:rsid w:val="00D55A0B"/>
    <w:rsid w:val="00D570E5"/>
    <w:rsid w:val="00D5726A"/>
    <w:rsid w:val="00D574EF"/>
    <w:rsid w:val="00D57D96"/>
    <w:rsid w:val="00D603C7"/>
    <w:rsid w:val="00D60A9D"/>
    <w:rsid w:val="00D60C9D"/>
    <w:rsid w:val="00D60F0F"/>
    <w:rsid w:val="00D6133C"/>
    <w:rsid w:val="00D613D2"/>
    <w:rsid w:val="00D613D4"/>
    <w:rsid w:val="00D617F2"/>
    <w:rsid w:val="00D617F9"/>
    <w:rsid w:val="00D618F5"/>
    <w:rsid w:val="00D62323"/>
    <w:rsid w:val="00D628BF"/>
    <w:rsid w:val="00D62DD4"/>
    <w:rsid w:val="00D62F54"/>
    <w:rsid w:val="00D631B0"/>
    <w:rsid w:val="00D631B5"/>
    <w:rsid w:val="00D63DA3"/>
    <w:rsid w:val="00D63F4B"/>
    <w:rsid w:val="00D63F8C"/>
    <w:rsid w:val="00D646C4"/>
    <w:rsid w:val="00D648C9"/>
    <w:rsid w:val="00D64DC2"/>
    <w:rsid w:val="00D65E13"/>
    <w:rsid w:val="00D66126"/>
    <w:rsid w:val="00D66317"/>
    <w:rsid w:val="00D6689E"/>
    <w:rsid w:val="00D67339"/>
    <w:rsid w:val="00D677A3"/>
    <w:rsid w:val="00D67F26"/>
    <w:rsid w:val="00D703E9"/>
    <w:rsid w:val="00D710E9"/>
    <w:rsid w:val="00D7158C"/>
    <w:rsid w:val="00D7172D"/>
    <w:rsid w:val="00D71903"/>
    <w:rsid w:val="00D72880"/>
    <w:rsid w:val="00D72CE5"/>
    <w:rsid w:val="00D73AE4"/>
    <w:rsid w:val="00D73D1D"/>
    <w:rsid w:val="00D745E7"/>
    <w:rsid w:val="00D74A40"/>
    <w:rsid w:val="00D750EE"/>
    <w:rsid w:val="00D7527F"/>
    <w:rsid w:val="00D76B3C"/>
    <w:rsid w:val="00D76DF2"/>
    <w:rsid w:val="00D80556"/>
    <w:rsid w:val="00D80F45"/>
    <w:rsid w:val="00D80F9E"/>
    <w:rsid w:val="00D81069"/>
    <w:rsid w:val="00D82219"/>
    <w:rsid w:val="00D825C9"/>
    <w:rsid w:val="00D83184"/>
    <w:rsid w:val="00D8366A"/>
    <w:rsid w:val="00D83A94"/>
    <w:rsid w:val="00D83ACA"/>
    <w:rsid w:val="00D844A0"/>
    <w:rsid w:val="00D84512"/>
    <w:rsid w:val="00D85674"/>
    <w:rsid w:val="00D85E7B"/>
    <w:rsid w:val="00D86789"/>
    <w:rsid w:val="00D8683D"/>
    <w:rsid w:val="00D870D0"/>
    <w:rsid w:val="00D902A2"/>
    <w:rsid w:val="00D90459"/>
    <w:rsid w:val="00D90634"/>
    <w:rsid w:val="00D90B30"/>
    <w:rsid w:val="00D90BD7"/>
    <w:rsid w:val="00D90CFF"/>
    <w:rsid w:val="00D9127C"/>
    <w:rsid w:val="00D91293"/>
    <w:rsid w:val="00D915C8"/>
    <w:rsid w:val="00D91D14"/>
    <w:rsid w:val="00D91F30"/>
    <w:rsid w:val="00D927AD"/>
    <w:rsid w:val="00D92E09"/>
    <w:rsid w:val="00D93246"/>
    <w:rsid w:val="00D933EA"/>
    <w:rsid w:val="00D937B3"/>
    <w:rsid w:val="00D93B59"/>
    <w:rsid w:val="00D93D0B"/>
    <w:rsid w:val="00D93D87"/>
    <w:rsid w:val="00D94182"/>
    <w:rsid w:val="00D94988"/>
    <w:rsid w:val="00D949C7"/>
    <w:rsid w:val="00D951DA"/>
    <w:rsid w:val="00D9528E"/>
    <w:rsid w:val="00D95575"/>
    <w:rsid w:val="00D95FD6"/>
    <w:rsid w:val="00D96D4B"/>
    <w:rsid w:val="00D96EDF"/>
    <w:rsid w:val="00DA03B1"/>
    <w:rsid w:val="00DA05BB"/>
    <w:rsid w:val="00DA0715"/>
    <w:rsid w:val="00DA0EB9"/>
    <w:rsid w:val="00DA11EA"/>
    <w:rsid w:val="00DA27E8"/>
    <w:rsid w:val="00DA334A"/>
    <w:rsid w:val="00DA426F"/>
    <w:rsid w:val="00DA4C25"/>
    <w:rsid w:val="00DA5157"/>
    <w:rsid w:val="00DA643C"/>
    <w:rsid w:val="00DA6723"/>
    <w:rsid w:val="00DA6A84"/>
    <w:rsid w:val="00DA6F18"/>
    <w:rsid w:val="00DA7B2A"/>
    <w:rsid w:val="00DB02C3"/>
    <w:rsid w:val="00DB0D74"/>
    <w:rsid w:val="00DB14FB"/>
    <w:rsid w:val="00DB1524"/>
    <w:rsid w:val="00DB1B66"/>
    <w:rsid w:val="00DB2441"/>
    <w:rsid w:val="00DB287E"/>
    <w:rsid w:val="00DB3892"/>
    <w:rsid w:val="00DB3C55"/>
    <w:rsid w:val="00DB5567"/>
    <w:rsid w:val="00DB592B"/>
    <w:rsid w:val="00DB5A2F"/>
    <w:rsid w:val="00DB66B5"/>
    <w:rsid w:val="00DB72C2"/>
    <w:rsid w:val="00DB73B0"/>
    <w:rsid w:val="00DB757F"/>
    <w:rsid w:val="00DB7A42"/>
    <w:rsid w:val="00DB7AF8"/>
    <w:rsid w:val="00DC0928"/>
    <w:rsid w:val="00DC0C01"/>
    <w:rsid w:val="00DC0E74"/>
    <w:rsid w:val="00DC103D"/>
    <w:rsid w:val="00DC15F7"/>
    <w:rsid w:val="00DC16F6"/>
    <w:rsid w:val="00DC2217"/>
    <w:rsid w:val="00DC346F"/>
    <w:rsid w:val="00DC3A1B"/>
    <w:rsid w:val="00DC48B2"/>
    <w:rsid w:val="00DC4C13"/>
    <w:rsid w:val="00DC725E"/>
    <w:rsid w:val="00DC7938"/>
    <w:rsid w:val="00DC7BDE"/>
    <w:rsid w:val="00DD032E"/>
    <w:rsid w:val="00DD0BA8"/>
    <w:rsid w:val="00DD0C97"/>
    <w:rsid w:val="00DD0F8C"/>
    <w:rsid w:val="00DD14BE"/>
    <w:rsid w:val="00DD18BD"/>
    <w:rsid w:val="00DD1B0B"/>
    <w:rsid w:val="00DD1C32"/>
    <w:rsid w:val="00DD227D"/>
    <w:rsid w:val="00DD252C"/>
    <w:rsid w:val="00DD35E6"/>
    <w:rsid w:val="00DD3A21"/>
    <w:rsid w:val="00DD412C"/>
    <w:rsid w:val="00DD4258"/>
    <w:rsid w:val="00DD43F4"/>
    <w:rsid w:val="00DD4728"/>
    <w:rsid w:val="00DD51B7"/>
    <w:rsid w:val="00DD53C7"/>
    <w:rsid w:val="00DD5642"/>
    <w:rsid w:val="00DD5BAB"/>
    <w:rsid w:val="00DD6060"/>
    <w:rsid w:val="00DD6752"/>
    <w:rsid w:val="00DD6B61"/>
    <w:rsid w:val="00DD7AD3"/>
    <w:rsid w:val="00DD7C1E"/>
    <w:rsid w:val="00DE0072"/>
    <w:rsid w:val="00DE0F82"/>
    <w:rsid w:val="00DE0FC0"/>
    <w:rsid w:val="00DE25B4"/>
    <w:rsid w:val="00DE2A16"/>
    <w:rsid w:val="00DE329C"/>
    <w:rsid w:val="00DE3508"/>
    <w:rsid w:val="00DE37B8"/>
    <w:rsid w:val="00DE4181"/>
    <w:rsid w:val="00DE4523"/>
    <w:rsid w:val="00DE4E88"/>
    <w:rsid w:val="00DE5156"/>
    <w:rsid w:val="00DE517F"/>
    <w:rsid w:val="00DE575C"/>
    <w:rsid w:val="00DE5AE7"/>
    <w:rsid w:val="00DE667D"/>
    <w:rsid w:val="00DE6952"/>
    <w:rsid w:val="00DE6A9D"/>
    <w:rsid w:val="00DE6B52"/>
    <w:rsid w:val="00DE7110"/>
    <w:rsid w:val="00DE73D6"/>
    <w:rsid w:val="00DF006A"/>
    <w:rsid w:val="00DF0137"/>
    <w:rsid w:val="00DF0677"/>
    <w:rsid w:val="00DF06CB"/>
    <w:rsid w:val="00DF08DC"/>
    <w:rsid w:val="00DF0CA4"/>
    <w:rsid w:val="00DF1A79"/>
    <w:rsid w:val="00DF264A"/>
    <w:rsid w:val="00DF268A"/>
    <w:rsid w:val="00DF26D0"/>
    <w:rsid w:val="00DF30BB"/>
    <w:rsid w:val="00DF3242"/>
    <w:rsid w:val="00DF335C"/>
    <w:rsid w:val="00DF4A24"/>
    <w:rsid w:val="00DF4EAF"/>
    <w:rsid w:val="00DF4F9D"/>
    <w:rsid w:val="00DF547B"/>
    <w:rsid w:val="00DF55ED"/>
    <w:rsid w:val="00DF5B2F"/>
    <w:rsid w:val="00DF61F0"/>
    <w:rsid w:val="00DF658D"/>
    <w:rsid w:val="00DF674B"/>
    <w:rsid w:val="00DF6D0E"/>
    <w:rsid w:val="00DF6D27"/>
    <w:rsid w:val="00DF7106"/>
    <w:rsid w:val="00DF7256"/>
    <w:rsid w:val="00DF7822"/>
    <w:rsid w:val="00DF7BC5"/>
    <w:rsid w:val="00E00549"/>
    <w:rsid w:val="00E00586"/>
    <w:rsid w:val="00E00FC2"/>
    <w:rsid w:val="00E01459"/>
    <w:rsid w:val="00E014A4"/>
    <w:rsid w:val="00E0174C"/>
    <w:rsid w:val="00E0192A"/>
    <w:rsid w:val="00E01956"/>
    <w:rsid w:val="00E01BF0"/>
    <w:rsid w:val="00E01D55"/>
    <w:rsid w:val="00E02ACD"/>
    <w:rsid w:val="00E032BD"/>
    <w:rsid w:val="00E03368"/>
    <w:rsid w:val="00E033F8"/>
    <w:rsid w:val="00E03605"/>
    <w:rsid w:val="00E03C63"/>
    <w:rsid w:val="00E04927"/>
    <w:rsid w:val="00E054C8"/>
    <w:rsid w:val="00E05778"/>
    <w:rsid w:val="00E05850"/>
    <w:rsid w:val="00E05D52"/>
    <w:rsid w:val="00E05D6A"/>
    <w:rsid w:val="00E0630B"/>
    <w:rsid w:val="00E06755"/>
    <w:rsid w:val="00E068F6"/>
    <w:rsid w:val="00E070DD"/>
    <w:rsid w:val="00E071FD"/>
    <w:rsid w:val="00E07AD2"/>
    <w:rsid w:val="00E07B44"/>
    <w:rsid w:val="00E07CF8"/>
    <w:rsid w:val="00E1000C"/>
    <w:rsid w:val="00E10415"/>
    <w:rsid w:val="00E1044D"/>
    <w:rsid w:val="00E10EAD"/>
    <w:rsid w:val="00E10FC5"/>
    <w:rsid w:val="00E1123D"/>
    <w:rsid w:val="00E1133E"/>
    <w:rsid w:val="00E11A02"/>
    <w:rsid w:val="00E11FCE"/>
    <w:rsid w:val="00E1205F"/>
    <w:rsid w:val="00E12410"/>
    <w:rsid w:val="00E12606"/>
    <w:rsid w:val="00E1299C"/>
    <w:rsid w:val="00E12CAB"/>
    <w:rsid w:val="00E136A5"/>
    <w:rsid w:val="00E13A11"/>
    <w:rsid w:val="00E13DE3"/>
    <w:rsid w:val="00E1464E"/>
    <w:rsid w:val="00E14A35"/>
    <w:rsid w:val="00E150E8"/>
    <w:rsid w:val="00E15F50"/>
    <w:rsid w:val="00E16C0A"/>
    <w:rsid w:val="00E17287"/>
    <w:rsid w:val="00E208A7"/>
    <w:rsid w:val="00E20BC4"/>
    <w:rsid w:val="00E20C67"/>
    <w:rsid w:val="00E219A9"/>
    <w:rsid w:val="00E219B3"/>
    <w:rsid w:val="00E21A62"/>
    <w:rsid w:val="00E2248D"/>
    <w:rsid w:val="00E233A8"/>
    <w:rsid w:val="00E2369B"/>
    <w:rsid w:val="00E237E0"/>
    <w:rsid w:val="00E239F7"/>
    <w:rsid w:val="00E23F25"/>
    <w:rsid w:val="00E245BE"/>
    <w:rsid w:val="00E24A1F"/>
    <w:rsid w:val="00E250AA"/>
    <w:rsid w:val="00E253AB"/>
    <w:rsid w:val="00E25AED"/>
    <w:rsid w:val="00E25B84"/>
    <w:rsid w:val="00E25F15"/>
    <w:rsid w:val="00E2627D"/>
    <w:rsid w:val="00E26496"/>
    <w:rsid w:val="00E276A3"/>
    <w:rsid w:val="00E276DE"/>
    <w:rsid w:val="00E27D21"/>
    <w:rsid w:val="00E27D42"/>
    <w:rsid w:val="00E2CCDB"/>
    <w:rsid w:val="00E314B9"/>
    <w:rsid w:val="00E31794"/>
    <w:rsid w:val="00E31FC4"/>
    <w:rsid w:val="00E3222E"/>
    <w:rsid w:val="00E32622"/>
    <w:rsid w:val="00E32998"/>
    <w:rsid w:val="00E329C6"/>
    <w:rsid w:val="00E3300F"/>
    <w:rsid w:val="00E33012"/>
    <w:rsid w:val="00E33F2B"/>
    <w:rsid w:val="00E33F9B"/>
    <w:rsid w:val="00E34710"/>
    <w:rsid w:val="00E34A26"/>
    <w:rsid w:val="00E34F25"/>
    <w:rsid w:val="00E357A5"/>
    <w:rsid w:val="00E3590D"/>
    <w:rsid w:val="00E3601C"/>
    <w:rsid w:val="00E3674E"/>
    <w:rsid w:val="00E36916"/>
    <w:rsid w:val="00E3693B"/>
    <w:rsid w:val="00E370FE"/>
    <w:rsid w:val="00E37231"/>
    <w:rsid w:val="00E3737D"/>
    <w:rsid w:val="00E37415"/>
    <w:rsid w:val="00E37A7F"/>
    <w:rsid w:val="00E37B21"/>
    <w:rsid w:val="00E41240"/>
    <w:rsid w:val="00E42050"/>
    <w:rsid w:val="00E42454"/>
    <w:rsid w:val="00E428C2"/>
    <w:rsid w:val="00E42E8D"/>
    <w:rsid w:val="00E430E3"/>
    <w:rsid w:val="00E43629"/>
    <w:rsid w:val="00E43C8D"/>
    <w:rsid w:val="00E43E98"/>
    <w:rsid w:val="00E4447C"/>
    <w:rsid w:val="00E4502F"/>
    <w:rsid w:val="00E4513C"/>
    <w:rsid w:val="00E453C8"/>
    <w:rsid w:val="00E45721"/>
    <w:rsid w:val="00E45883"/>
    <w:rsid w:val="00E46089"/>
    <w:rsid w:val="00E46AA5"/>
    <w:rsid w:val="00E46EB2"/>
    <w:rsid w:val="00E4717C"/>
    <w:rsid w:val="00E473F9"/>
    <w:rsid w:val="00E47992"/>
    <w:rsid w:val="00E47993"/>
    <w:rsid w:val="00E50841"/>
    <w:rsid w:val="00E50B21"/>
    <w:rsid w:val="00E50B63"/>
    <w:rsid w:val="00E50F69"/>
    <w:rsid w:val="00E5199B"/>
    <w:rsid w:val="00E52718"/>
    <w:rsid w:val="00E534CF"/>
    <w:rsid w:val="00E53938"/>
    <w:rsid w:val="00E53E41"/>
    <w:rsid w:val="00E54C63"/>
    <w:rsid w:val="00E552D1"/>
    <w:rsid w:val="00E5682B"/>
    <w:rsid w:val="00E569C4"/>
    <w:rsid w:val="00E56E38"/>
    <w:rsid w:val="00E574FC"/>
    <w:rsid w:val="00E5792A"/>
    <w:rsid w:val="00E601CB"/>
    <w:rsid w:val="00E617DF"/>
    <w:rsid w:val="00E61FD6"/>
    <w:rsid w:val="00E62E7B"/>
    <w:rsid w:val="00E637E2"/>
    <w:rsid w:val="00E63964"/>
    <w:rsid w:val="00E63971"/>
    <w:rsid w:val="00E63ADF"/>
    <w:rsid w:val="00E64355"/>
    <w:rsid w:val="00E643E5"/>
    <w:rsid w:val="00E64510"/>
    <w:rsid w:val="00E64FA3"/>
    <w:rsid w:val="00E6528C"/>
    <w:rsid w:val="00E6572C"/>
    <w:rsid w:val="00E65E46"/>
    <w:rsid w:val="00E67002"/>
    <w:rsid w:val="00E6704D"/>
    <w:rsid w:val="00E67979"/>
    <w:rsid w:val="00E67C2B"/>
    <w:rsid w:val="00E67C8C"/>
    <w:rsid w:val="00E67CD7"/>
    <w:rsid w:val="00E70094"/>
    <w:rsid w:val="00E715E8"/>
    <w:rsid w:val="00E7191A"/>
    <w:rsid w:val="00E72228"/>
    <w:rsid w:val="00E723D6"/>
    <w:rsid w:val="00E72502"/>
    <w:rsid w:val="00E7330F"/>
    <w:rsid w:val="00E73728"/>
    <w:rsid w:val="00E73978"/>
    <w:rsid w:val="00E73DAF"/>
    <w:rsid w:val="00E73F45"/>
    <w:rsid w:val="00E74B23"/>
    <w:rsid w:val="00E75A4C"/>
    <w:rsid w:val="00E77567"/>
    <w:rsid w:val="00E80534"/>
    <w:rsid w:val="00E8068F"/>
    <w:rsid w:val="00E80964"/>
    <w:rsid w:val="00E819F5"/>
    <w:rsid w:val="00E82684"/>
    <w:rsid w:val="00E82965"/>
    <w:rsid w:val="00E8380D"/>
    <w:rsid w:val="00E84331"/>
    <w:rsid w:val="00E848CC"/>
    <w:rsid w:val="00E84D82"/>
    <w:rsid w:val="00E84ED0"/>
    <w:rsid w:val="00E85728"/>
    <w:rsid w:val="00E85979"/>
    <w:rsid w:val="00E85ED6"/>
    <w:rsid w:val="00E865E8"/>
    <w:rsid w:val="00E869A1"/>
    <w:rsid w:val="00E86C07"/>
    <w:rsid w:val="00E86ECB"/>
    <w:rsid w:val="00E871D9"/>
    <w:rsid w:val="00E875B1"/>
    <w:rsid w:val="00E87835"/>
    <w:rsid w:val="00E902F9"/>
    <w:rsid w:val="00E90651"/>
    <w:rsid w:val="00E90AC5"/>
    <w:rsid w:val="00E91A61"/>
    <w:rsid w:val="00E91AC0"/>
    <w:rsid w:val="00E91DAC"/>
    <w:rsid w:val="00E9229F"/>
    <w:rsid w:val="00E92515"/>
    <w:rsid w:val="00E9285F"/>
    <w:rsid w:val="00E92ADF"/>
    <w:rsid w:val="00E92C38"/>
    <w:rsid w:val="00E92E62"/>
    <w:rsid w:val="00E92F1D"/>
    <w:rsid w:val="00E936A5"/>
    <w:rsid w:val="00E93C8B"/>
    <w:rsid w:val="00E94FC9"/>
    <w:rsid w:val="00E9549E"/>
    <w:rsid w:val="00E957B3"/>
    <w:rsid w:val="00E96B0E"/>
    <w:rsid w:val="00E96EB8"/>
    <w:rsid w:val="00E9708C"/>
    <w:rsid w:val="00E972CC"/>
    <w:rsid w:val="00E97DAB"/>
    <w:rsid w:val="00E97DEE"/>
    <w:rsid w:val="00E97F46"/>
    <w:rsid w:val="00E97FB7"/>
    <w:rsid w:val="00EA02C1"/>
    <w:rsid w:val="00EA13C5"/>
    <w:rsid w:val="00EA2919"/>
    <w:rsid w:val="00EA2EA8"/>
    <w:rsid w:val="00EA39C6"/>
    <w:rsid w:val="00EA462F"/>
    <w:rsid w:val="00EA4CD3"/>
    <w:rsid w:val="00EA5179"/>
    <w:rsid w:val="00EA52BE"/>
    <w:rsid w:val="00EA5553"/>
    <w:rsid w:val="00EA5A04"/>
    <w:rsid w:val="00EA72AB"/>
    <w:rsid w:val="00EA75ED"/>
    <w:rsid w:val="00EA783B"/>
    <w:rsid w:val="00EB076D"/>
    <w:rsid w:val="00EB07EF"/>
    <w:rsid w:val="00EB102B"/>
    <w:rsid w:val="00EB18FE"/>
    <w:rsid w:val="00EB218A"/>
    <w:rsid w:val="00EB22F5"/>
    <w:rsid w:val="00EB2D9D"/>
    <w:rsid w:val="00EB3510"/>
    <w:rsid w:val="00EB3534"/>
    <w:rsid w:val="00EB3760"/>
    <w:rsid w:val="00EB3EC2"/>
    <w:rsid w:val="00EB4A68"/>
    <w:rsid w:val="00EB5592"/>
    <w:rsid w:val="00EB5B3A"/>
    <w:rsid w:val="00EB5FEB"/>
    <w:rsid w:val="00EB6921"/>
    <w:rsid w:val="00EB6D5A"/>
    <w:rsid w:val="00EB6E2B"/>
    <w:rsid w:val="00EB78E6"/>
    <w:rsid w:val="00EB7E78"/>
    <w:rsid w:val="00EC013A"/>
    <w:rsid w:val="00EC014E"/>
    <w:rsid w:val="00EC0364"/>
    <w:rsid w:val="00EC0645"/>
    <w:rsid w:val="00EC0A27"/>
    <w:rsid w:val="00EC0B81"/>
    <w:rsid w:val="00EC129F"/>
    <w:rsid w:val="00EC196F"/>
    <w:rsid w:val="00EC1F34"/>
    <w:rsid w:val="00EC279C"/>
    <w:rsid w:val="00EC280A"/>
    <w:rsid w:val="00EC285E"/>
    <w:rsid w:val="00EC2D1F"/>
    <w:rsid w:val="00EC3529"/>
    <w:rsid w:val="00EC3535"/>
    <w:rsid w:val="00EC3A06"/>
    <w:rsid w:val="00EC4DB1"/>
    <w:rsid w:val="00EC51A3"/>
    <w:rsid w:val="00EC53E5"/>
    <w:rsid w:val="00EC584A"/>
    <w:rsid w:val="00EC6398"/>
    <w:rsid w:val="00EC7734"/>
    <w:rsid w:val="00ED069F"/>
    <w:rsid w:val="00ED124A"/>
    <w:rsid w:val="00ED2985"/>
    <w:rsid w:val="00ED2FD9"/>
    <w:rsid w:val="00ED3112"/>
    <w:rsid w:val="00ED320B"/>
    <w:rsid w:val="00ED323A"/>
    <w:rsid w:val="00ED36C1"/>
    <w:rsid w:val="00ED3AC5"/>
    <w:rsid w:val="00ED3CE1"/>
    <w:rsid w:val="00ED3D32"/>
    <w:rsid w:val="00ED525E"/>
    <w:rsid w:val="00ED5279"/>
    <w:rsid w:val="00ED5648"/>
    <w:rsid w:val="00ED5AA8"/>
    <w:rsid w:val="00ED61C5"/>
    <w:rsid w:val="00ED61E7"/>
    <w:rsid w:val="00ED6201"/>
    <w:rsid w:val="00ED63BB"/>
    <w:rsid w:val="00EE0EDC"/>
    <w:rsid w:val="00EE1908"/>
    <w:rsid w:val="00EE1F43"/>
    <w:rsid w:val="00EE2D46"/>
    <w:rsid w:val="00EE3A80"/>
    <w:rsid w:val="00EE4063"/>
    <w:rsid w:val="00EE452F"/>
    <w:rsid w:val="00EE5690"/>
    <w:rsid w:val="00EE5B9E"/>
    <w:rsid w:val="00EE5CCE"/>
    <w:rsid w:val="00EE64CC"/>
    <w:rsid w:val="00EE6551"/>
    <w:rsid w:val="00EE68E0"/>
    <w:rsid w:val="00EE695B"/>
    <w:rsid w:val="00EE6DBB"/>
    <w:rsid w:val="00EE6E0F"/>
    <w:rsid w:val="00EE7100"/>
    <w:rsid w:val="00EE7F1F"/>
    <w:rsid w:val="00EF01C7"/>
    <w:rsid w:val="00EF072B"/>
    <w:rsid w:val="00EF09BD"/>
    <w:rsid w:val="00EF0A2E"/>
    <w:rsid w:val="00EF0BB7"/>
    <w:rsid w:val="00EF1160"/>
    <w:rsid w:val="00EF1F8F"/>
    <w:rsid w:val="00EF2554"/>
    <w:rsid w:val="00EF297F"/>
    <w:rsid w:val="00EF3096"/>
    <w:rsid w:val="00EF38DA"/>
    <w:rsid w:val="00EF3902"/>
    <w:rsid w:val="00EF3977"/>
    <w:rsid w:val="00EF4342"/>
    <w:rsid w:val="00EF542E"/>
    <w:rsid w:val="00EF5AA2"/>
    <w:rsid w:val="00EF5EC9"/>
    <w:rsid w:val="00EF5F33"/>
    <w:rsid w:val="00EF63E2"/>
    <w:rsid w:val="00EF7953"/>
    <w:rsid w:val="00EF7D59"/>
    <w:rsid w:val="00F00DC7"/>
    <w:rsid w:val="00F015BF"/>
    <w:rsid w:val="00F01D72"/>
    <w:rsid w:val="00F020D2"/>
    <w:rsid w:val="00F0273D"/>
    <w:rsid w:val="00F030A6"/>
    <w:rsid w:val="00F035F4"/>
    <w:rsid w:val="00F04719"/>
    <w:rsid w:val="00F0475B"/>
    <w:rsid w:val="00F04A13"/>
    <w:rsid w:val="00F04F27"/>
    <w:rsid w:val="00F05045"/>
    <w:rsid w:val="00F053FD"/>
    <w:rsid w:val="00F0597A"/>
    <w:rsid w:val="00F05BAD"/>
    <w:rsid w:val="00F05DDF"/>
    <w:rsid w:val="00F05F12"/>
    <w:rsid w:val="00F05F6A"/>
    <w:rsid w:val="00F065BC"/>
    <w:rsid w:val="00F06F26"/>
    <w:rsid w:val="00F0771B"/>
    <w:rsid w:val="00F07EBA"/>
    <w:rsid w:val="00F1013C"/>
    <w:rsid w:val="00F109E1"/>
    <w:rsid w:val="00F10EA8"/>
    <w:rsid w:val="00F110A1"/>
    <w:rsid w:val="00F11116"/>
    <w:rsid w:val="00F11144"/>
    <w:rsid w:val="00F1119E"/>
    <w:rsid w:val="00F11450"/>
    <w:rsid w:val="00F12044"/>
    <w:rsid w:val="00F120AB"/>
    <w:rsid w:val="00F1226A"/>
    <w:rsid w:val="00F1228E"/>
    <w:rsid w:val="00F123A9"/>
    <w:rsid w:val="00F126A1"/>
    <w:rsid w:val="00F12CD7"/>
    <w:rsid w:val="00F13D50"/>
    <w:rsid w:val="00F1409E"/>
    <w:rsid w:val="00F145A8"/>
    <w:rsid w:val="00F15252"/>
    <w:rsid w:val="00F15808"/>
    <w:rsid w:val="00F15E27"/>
    <w:rsid w:val="00F163A6"/>
    <w:rsid w:val="00F16638"/>
    <w:rsid w:val="00F177E4"/>
    <w:rsid w:val="00F1791A"/>
    <w:rsid w:val="00F17C2D"/>
    <w:rsid w:val="00F20356"/>
    <w:rsid w:val="00F20499"/>
    <w:rsid w:val="00F2088B"/>
    <w:rsid w:val="00F20A3D"/>
    <w:rsid w:val="00F20CD1"/>
    <w:rsid w:val="00F21CF6"/>
    <w:rsid w:val="00F22480"/>
    <w:rsid w:val="00F225D4"/>
    <w:rsid w:val="00F22629"/>
    <w:rsid w:val="00F2302C"/>
    <w:rsid w:val="00F23E54"/>
    <w:rsid w:val="00F243F1"/>
    <w:rsid w:val="00F24595"/>
    <w:rsid w:val="00F24C30"/>
    <w:rsid w:val="00F2546E"/>
    <w:rsid w:val="00F25682"/>
    <w:rsid w:val="00F2595E"/>
    <w:rsid w:val="00F2658E"/>
    <w:rsid w:val="00F26AEB"/>
    <w:rsid w:val="00F2794B"/>
    <w:rsid w:val="00F279DA"/>
    <w:rsid w:val="00F30345"/>
    <w:rsid w:val="00F303D7"/>
    <w:rsid w:val="00F305FE"/>
    <w:rsid w:val="00F30670"/>
    <w:rsid w:val="00F30BFC"/>
    <w:rsid w:val="00F30C22"/>
    <w:rsid w:val="00F30C39"/>
    <w:rsid w:val="00F31316"/>
    <w:rsid w:val="00F3170B"/>
    <w:rsid w:val="00F31C96"/>
    <w:rsid w:val="00F33531"/>
    <w:rsid w:val="00F338A8"/>
    <w:rsid w:val="00F33FB2"/>
    <w:rsid w:val="00F34981"/>
    <w:rsid w:val="00F34CE1"/>
    <w:rsid w:val="00F35175"/>
    <w:rsid w:val="00F3598C"/>
    <w:rsid w:val="00F36798"/>
    <w:rsid w:val="00F36857"/>
    <w:rsid w:val="00F3698C"/>
    <w:rsid w:val="00F37037"/>
    <w:rsid w:val="00F370A5"/>
    <w:rsid w:val="00F3775F"/>
    <w:rsid w:val="00F378BC"/>
    <w:rsid w:val="00F37C4B"/>
    <w:rsid w:val="00F413F3"/>
    <w:rsid w:val="00F41410"/>
    <w:rsid w:val="00F41DB2"/>
    <w:rsid w:val="00F42060"/>
    <w:rsid w:val="00F4349E"/>
    <w:rsid w:val="00F43F02"/>
    <w:rsid w:val="00F43F92"/>
    <w:rsid w:val="00F4416D"/>
    <w:rsid w:val="00F4428A"/>
    <w:rsid w:val="00F443D2"/>
    <w:rsid w:val="00F444D8"/>
    <w:rsid w:val="00F444DD"/>
    <w:rsid w:val="00F454D9"/>
    <w:rsid w:val="00F46C74"/>
    <w:rsid w:val="00F47359"/>
    <w:rsid w:val="00F47375"/>
    <w:rsid w:val="00F476B9"/>
    <w:rsid w:val="00F493EA"/>
    <w:rsid w:val="00F50F3A"/>
    <w:rsid w:val="00F5102B"/>
    <w:rsid w:val="00F51A69"/>
    <w:rsid w:val="00F51FD2"/>
    <w:rsid w:val="00F520E4"/>
    <w:rsid w:val="00F525F1"/>
    <w:rsid w:val="00F5270C"/>
    <w:rsid w:val="00F5335A"/>
    <w:rsid w:val="00F542D4"/>
    <w:rsid w:val="00F54536"/>
    <w:rsid w:val="00F54C59"/>
    <w:rsid w:val="00F54D38"/>
    <w:rsid w:val="00F55042"/>
    <w:rsid w:val="00F55347"/>
    <w:rsid w:val="00F554D0"/>
    <w:rsid w:val="00F5550F"/>
    <w:rsid w:val="00F558DE"/>
    <w:rsid w:val="00F55A51"/>
    <w:rsid w:val="00F55D29"/>
    <w:rsid w:val="00F56B0A"/>
    <w:rsid w:val="00F56DAB"/>
    <w:rsid w:val="00F56DDA"/>
    <w:rsid w:val="00F606B5"/>
    <w:rsid w:val="00F618E2"/>
    <w:rsid w:val="00F61ADC"/>
    <w:rsid w:val="00F6235A"/>
    <w:rsid w:val="00F62434"/>
    <w:rsid w:val="00F6285A"/>
    <w:rsid w:val="00F630AE"/>
    <w:rsid w:val="00F6320E"/>
    <w:rsid w:val="00F64091"/>
    <w:rsid w:val="00F6467E"/>
    <w:rsid w:val="00F64F4A"/>
    <w:rsid w:val="00F650B2"/>
    <w:rsid w:val="00F65420"/>
    <w:rsid w:val="00F654FA"/>
    <w:rsid w:val="00F657F0"/>
    <w:rsid w:val="00F65AD5"/>
    <w:rsid w:val="00F65DE8"/>
    <w:rsid w:val="00F66241"/>
    <w:rsid w:val="00F662DF"/>
    <w:rsid w:val="00F66EEA"/>
    <w:rsid w:val="00F66F36"/>
    <w:rsid w:val="00F66F7D"/>
    <w:rsid w:val="00F672B5"/>
    <w:rsid w:val="00F67CDE"/>
    <w:rsid w:val="00F67E6F"/>
    <w:rsid w:val="00F7017D"/>
    <w:rsid w:val="00F70759"/>
    <w:rsid w:val="00F70778"/>
    <w:rsid w:val="00F70794"/>
    <w:rsid w:val="00F70B5D"/>
    <w:rsid w:val="00F71D11"/>
    <w:rsid w:val="00F71EA6"/>
    <w:rsid w:val="00F720DD"/>
    <w:rsid w:val="00F726D7"/>
    <w:rsid w:val="00F7291F"/>
    <w:rsid w:val="00F72F64"/>
    <w:rsid w:val="00F73C92"/>
    <w:rsid w:val="00F747E6"/>
    <w:rsid w:val="00F74BC1"/>
    <w:rsid w:val="00F74BE4"/>
    <w:rsid w:val="00F74BF2"/>
    <w:rsid w:val="00F755FE"/>
    <w:rsid w:val="00F7609E"/>
    <w:rsid w:val="00F769CF"/>
    <w:rsid w:val="00F76EB3"/>
    <w:rsid w:val="00F772A9"/>
    <w:rsid w:val="00F77369"/>
    <w:rsid w:val="00F77CC5"/>
    <w:rsid w:val="00F80DC1"/>
    <w:rsid w:val="00F81608"/>
    <w:rsid w:val="00F820D3"/>
    <w:rsid w:val="00F820FE"/>
    <w:rsid w:val="00F8253C"/>
    <w:rsid w:val="00F8259D"/>
    <w:rsid w:val="00F82A8E"/>
    <w:rsid w:val="00F82E71"/>
    <w:rsid w:val="00F83858"/>
    <w:rsid w:val="00F843AA"/>
    <w:rsid w:val="00F84BAF"/>
    <w:rsid w:val="00F84DEB"/>
    <w:rsid w:val="00F84E80"/>
    <w:rsid w:val="00F8518F"/>
    <w:rsid w:val="00F851B9"/>
    <w:rsid w:val="00F85272"/>
    <w:rsid w:val="00F852AD"/>
    <w:rsid w:val="00F85982"/>
    <w:rsid w:val="00F86198"/>
    <w:rsid w:val="00F8687F"/>
    <w:rsid w:val="00F868FB"/>
    <w:rsid w:val="00F8763D"/>
    <w:rsid w:val="00F87C93"/>
    <w:rsid w:val="00F87EAC"/>
    <w:rsid w:val="00F906B9"/>
    <w:rsid w:val="00F90E8E"/>
    <w:rsid w:val="00F9109D"/>
    <w:rsid w:val="00F91F5F"/>
    <w:rsid w:val="00F929B4"/>
    <w:rsid w:val="00F93CAD"/>
    <w:rsid w:val="00F93D2D"/>
    <w:rsid w:val="00F95686"/>
    <w:rsid w:val="00F95FA8"/>
    <w:rsid w:val="00F95FEF"/>
    <w:rsid w:val="00F96153"/>
    <w:rsid w:val="00F96B55"/>
    <w:rsid w:val="00F96EE5"/>
    <w:rsid w:val="00F972C4"/>
    <w:rsid w:val="00F973C9"/>
    <w:rsid w:val="00F97ED5"/>
    <w:rsid w:val="00FA0442"/>
    <w:rsid w:val="00FA04B9"/>
    <w:rsid w:val="00FA0951"/>
    <w:rsid w:val="00FA15BC"/>
    <w:rsid w:val="00FA1AF5"/>
    <w:rsid w:val="00FA32F8"/>
    <w:rsid w:val="00FA3C03"/>
    <w:rsid w:val="00FA3D1D"/>
    <w:rsid w:val="00FA4426"/>
    <w:rsid w:val="00FA4FF1"/>
    <w:rsid w:val="00FA516F"/>
    <w:rsid w:val="00FA51B9"/>
    <w:rsid w:val="00FA5339"/>
    <w:rsid w:val="00FA5FCB"/>
    <w:rsid w:val="00FA6B0A"/>
    <w:rsid w:val="00FA6EA4"/>
    <w:rsid w:val="00FA73AA"/>
    <w:rsid w:val="00FB028E"/>
    <w:rsid w:val="00FB0DAC"/>
    <w:rsid w:val="00FB1127"/>
    <w:rsid w:val="00FB1421"/>
    <w:rsid w:val="00FB1877"/>
    <w:rsid w:val="00FB18F3"/>
    <w:rsid w:val="00FB1D8B"/>
    <w:rsid w:val="00FB1FDE"/>
    <w:rsid w:val="00FB204A"/>
    <w:rsid w:val="00FB20A2"/>
    <w:rsid w:val="00FB2240"/>
    <w:rsid w:val="00FB2DC5"/>
    <w:rsid w:val="00FB304E"/>
    <w:rsid w:val="00FB3E95"/>
    <w:rsid w:val="00FB417F"/>
    <w:rsid w:val="00FB4790"/>
    <w:rsid w:val="00FB47B9"/>
    <w:rsid w:val="00FB49C0"/>
    <w:rsid w:val="00FB4BDE"/>
    <w:rsid w:val="00FB575D"/>
    <w:rsid w:val="00FB608F"/>
    <w:rsid w:val="00FB644E"/>
    <w:rsid w:val="00FB6787"/>
    <w:rsid w:val="00FB68F6"/>
    <w:rsid w:val="00FB6BE3"/>
    <w:rsid w:val="00FB6D97"/>
    <w:rsid w:val="00FB6DD6"/>
    <w:rsid w:val="00FB7014"/>
    <w:rsid w:val="00FB76FC"/>
    <w:rsid w:val="00FC0A20"/>
    <w:rsid w:val="00FC0E0B"/>
    <w:rsid w:val="00FC0F06"/>
    <w:rsid w:val="00FC1EAE"/>
    <w:rsid w:val="00FC230B"/>
    <w:rsid w:val="00FC2A5E"/>
    <w:rsid w:val="00FC3D43"/>
    <w:rsid w:val="00FC3FF5"/>
    <w:rsid w:val="00FC44B2"/>
    <w:rsid w:val="00FC4BD5"/>
    <w:rsid w:val="00FC4E40"/>
    <w:rsid w:val="00FC4EEE"/>
    <w:rsid w:val="00FC5A28"/>
    <w:rsid w:val="00FC699D"/>
    <w:rsid w:val="00FC6FA3"/>
    <w:rsid w:val="00FC7990"/>
    <w:rsid w:val="00FC79EA"/>
    <w:rsid w:val="00FC7C5E"/>
    <w:rsid w:val="00FD0A64"/>
    <w:rsid w:val="00FD18A6"/>
    <w:rsid w:val="00FD236C"/>
    <w:rsid w:val="00FD24BA"/>
    <w:rsid w:val="00FD2F3B"/>
    <w:rsid w:val="00FD36BC"/>
    <w:rsid w:val="00FD37F2"/>
    <w:rsid w:val="00FD41B5"/>
    <w:rsid w:val="00FD435D"/>
    <w:rsid w:val="00FD4878"/>
    <w:rsid w:val="00FD5689"/>
    <w:rsid w:val="00FD6111"/>
    <w:rsid w:val="00FD6659"/>
    <w:rsid w:val="00FD7661"/>
    <w:rsid w:val="00FE04D3"/>
    <w:rsid w:val="00FE0B0D"/>
    <w:rsid w:val="00FE13D4"/>
    <w:rsid w:val="00FE2BD7"/>
    <w:rsid w:val="00FE2C6A"/>
    <w:rsid w:val="00FE2CA2"/>
    <w:rsid w:val="00FE30B0"/>
    <w:rsid w:val="00FE4797"/>
    <w:rsid w:val="00FE4C1F"/>
    <w:rsid w:val="00FE5074"/>
    <w:rsid w:val="00FE52E5"/>
    <w:rsid w:val="00FE5347"/>
    <w:rsid w:val="00FE5560"/>
    <w:rsid w:val="00FE5D38"/>
    <w:rsid w:val="00FE65FF"/>
    <w:rsid w:val="00FE6ACC"/>
    <w:rsid w:val="00FE711F"/>
    <w:rsid w:val="00FE7C3E"/>
    <w:rsid w:val="00FF0A6F"/>
    <w:rsid w:val="00FF0C4F"/>
    <w:rsid w:val="00FF0CD2"/>
    <w:rsid w:val="00FF0D37"/>
    <w:rsid w:val="00FF1061"/>
    <w:rsid w:val="00FF10D3"/>
    <w:rsid w:val="00FF13F8"/>
    <w:rsid w:val="00FF1425"/>
    <w:rsid w:val="00FF1449"/>
    <w:rsid w:val="00FF14C9"/>
    <w:rsid w:val="00FF271C"/>
    <w:rsid w:val="00FF348C"/>
    <w:rsid w:val="00FF43B1"/>
    <w:rsid w:val="00FF4420"/>
    <w:rsid w:val="00FF5012"/>
    <w:rsid w:val="00FF51FB"/>
    <w:rsid w:val="00FF6245"/>
    <w:rsid w:val="013037C1"/>
    <w:rsid w:val="0135688C"/>
    <w:rsid w:val="01D0DAF4"/>
    <w:rsid w:val="02013361"/>
    <w:rsid w:val="02591B82"/>
    <w:rsid w:val="02955D69"/>
    <w:rsid w:val="03624349"/>
    <w:rsid w:val="0366A909"/>
    <w:rsid w:val="03812236"/>
    <w:rsid w:val="03C288F2"/>
    <w:rsid w:val="03E9203F"/>
    <w:rsid w:val="04B0F8AD"/>
    <w:rsid w:val="04F01348"/>
    <w:rsid w:val="04FF68E9"/>
    <w:rsid w:val="0518D80B"/>
    <w:rsid w:val="0531E999"/>
    <w:rsid w:val="05BFFB9F"/>
    <w:rsid w:val="05DBB42D"/>
    <w:rsid w:val="0611F658"/>
    <w:rsid w:val="063EE46C"/>
    <w:rsid w:val="0642B19D"/>
    <w:rsid w:val="06DBBD73"/>
    <w:rsid w:val="0707CBDE"/>
    <w:rsid w:val="075AA6D7"/>
    <w:rsid w:val="0792BCCD"/>
    <w:rsid w:val="086BF54E"/>
    <w:rsid w:val="086CA00B"/>
    <w:rsid w:val="088F9399"/>
    <w:rsid w:val="090F1D9E"/>
    <w:rsid w:val="0918A163"/>
    <w:rsid w:val="092D0014"/>
    <w:rsid w:val="095B4C19"/>
    <w:rsid w:val="09988327"/>
    <w:rsid w:val="09B4CF7B"/>
    <w:rsid w:val="09C29AE7"/>
    <w:rsid w:val="09D417A2"/>
    <w:rsid w:val="0A64396D"/>
    <w:rsid w:val="0A67EB17"/>
    <w:rsid w:val="0A7E7D09"/>
    <w:rsid w:val="0AFF1164"/>
    <w:rsid w:val="0B5ACE5F"/>
    <w:rsid w:val="0C33BEB5"/>
    <w:rsid w:val="0CDAE89C"/>
    <w:rsid w:val="0D06860A"/>
    <w:rsid w:val="0D1FBB3D"/>
    <w:rsid w:val="0DA1D1B0"/>
    <w:rsid w:val="0E8894FE"/>
    <w:rsid w:val="0F0732F5"/>
    <w:rsid w:val="0F141ACE"/>
    <w:rsid w:val="0F3299C5"/>
    <w:rsid w:val="0F38EA86"/>
    <w:rsid w:val="0F6DCF2A"/>
    <w:rsid w:val="0FD195B7"/>
    <w:rsid w:val="0FDB85CC"/>
    <w:rsid w:val="0FE00762"/>
    <w:rsid w:val="0FE76E5B"/>
    <w:rsid w:val="1028A74B"/>
    <w:rsid w:val="107E7AD7"/>
    <w:rsid w:val="10AF564E"/>
    <w:rsid w:val="10FDD9E9"/>
    <w:rsid w:val="115CED6E"/>
    <w:rsid w:val="115D28AF"/>
    <w:rsid w:val="11995B5D"/>
    <w:rsid w:val="11E89057"/>
    <w:rsid w:val="11EDF4DA"/>
    <w:rsid w:val="120081D3"/>
    <w:rsid w:val="120E0BBF"/>
    <w:rsid w:val="129410A7"/>
    <w:rsid w:val="12B4278E"/>
    <w:rsid w:val="136EDF3E"/>
    <w:rsid w:val="1384502B"/>
    <w:rsid w:val="13A82593"/>
    <w:rsid w:val="143AC8F4"/>
    <w:rsid w:val="14D6D9A4"/>
    <w:rsid w:val="1509D809"/>
    <w:rsid w:val="1536A254"/>
    <w:rsid w:val="15CAC0C2"/>
    <w:rsid w:val="15CADCA8"/>
    <w:rsid w:val="15E0C705"/>
    <w:rsid w:val="166243A5"/>
    <w:rsid w:val="1691EF92"/>
    <w:rsid w:val="169DA61A"/>
    <w:rsid w:val="169EDB42"/>
    <w:rsid w:val="16C8A731"/>
    <w:rsid w:val="16C8AB69"/>
    <w:rsid w:val="17518ED1"/>
    <w:rsid w:val="1764F0F5"/>
    <w:rsid w:val="177D722B"/>
    <w:rsid w:val="17AF253C"/>
    <w:rsid w:val="17DBE59F"/>
    <w:rsid w:val="17FAAEBA"/>
    <w:rsid w:val="180B8169"/>
    <w:rsid w:val="1837365E"/>
    <w:rsid w:val="188093A3"/>
    <w:rsid w:val="198DF124"/>
    <w:rsid w:val="19DE6271"/>
    <w:rsid w:val="19FB7DE5"/>
    <w:rsid w:val="1A1E2DC7"/>
    <w:rsid w:val="1A63C34B"/>
    <w:rsid w:val="1A67AAB9"/>
    <w:rsid w:val="1A7938B2"/>
    <w:rsid w:val="1AB0CEC1"/>
    <w:rsid w:val="1ABE97F0"/>
    <w:rsid w:val="1B36BF15"/>
    <w:rsid w:val="1B81E50B"/>
    <w:rsid w:val="1B8D3541"/>
    <w:rsid w:val="1BBCB647"/>
    <w:rsid w:val="1C0F1F64"/>
    <w:rsid w:val="1C320EC8"/>
    <w:rsid w:val="1C38C527"/>
    <w:rsid w:val="1C46E45E"/>
    <w:rsid w:val="1C5A9D33"/>
    <w:rsid w:val="1C642E10"/>
    <w:rsid w:val="1CBC1E48"/>
    <w:rsid w:val="1CBC7917"/>
    <w:rsid w:val="1D08F5BC"/>
    <w:rsid w:val="1D392F6D"/>
    <w:rsid w:val="1DA32A85"/>
    <w:rsid w:val="1DC04B2F"/>
    <w:rsid w:val="1DEA14D9"/>
    <w:rsid w:val="1EA52CBE"/>
    <w:rsid w:val="1EA844B2"/>
    <w:rsid w:val="1ECD9E64"/>
    <w:rsid w:val="1F43A8D0"/>
    <w:rsid w:val="1FF66F51"/>
    <w:rsid w:val="1FFA9EA2"/>
    <w:rsid w:val="2020F347"/>
    <w:rsid w:val="202EBBD5"/>
    <w:rsid w:val="2032C4BB"/>
    <w:rsid w:val="204BDDD2"/>
    <w:rsid w:val="205A3BFC"/>
    <w:rsid w:val="20A3E2FC"/>
    <w:rsid w:val="20FAD17E"/>
    <w:rsid w:val="210D8CF2"/>
    <w:rsid w:val="21457B38"/>
    <w:rsid w:val="215348E2"/>
    <w:rsid w:val="21D8B681"/>
    <w:rsid w:val="2236ED5B"/>
    <w:rsid w:val="22507CF2"/>
    <w:rsid w:val="22751F64"/>
    <w:rsid w:val="22D82D1C"/>
    <w:rsid w:val="2306E087"/>
    <w:rsid w:val="2307391F"/>
    <w:rsid w:val="2308B216"/>
    <w:rsid w:val="23249E09"/>
    <w:rsid w:val="238335E3"/>
    <w:rsid w:val="249B3970"/>
    <w:rsid w:val="24AA235C"/>
    <w:rsid w:val="25A18D1E"/>
    <w:rsid w:val="25A8602D"/>
    <w:rsid w:val="2612DC58"/>
    <w:rsid w:val="264CC856"/>
    <w:rsid w:val="265350A0"/>
    <w:rsid w:val="265E9B44"/>
    <w:rsid w:val="26A490E6"/>
    <w:rsid w:val="26AF963A"/>
    <w:rsid w:val="26CE3E20"/>
    <w:rsid w:val="2737B844"/>
    <w:rsid w:val="2783EFDF"/>
    <w:rsid w:val="27B6ECCD"/>
    <w:rsid w:val="27B87E00"/>
    <w:rsid w:val="27CAF5EE"/>
    <w:rsid w:val="27D335C3"/>
    <w:rsid w:val="27DD31D3"/>
    <w:rsid w:val="286C6C17"/>
    <w:rsid w:val="28B2A641"/>
    <w:rsid w:val="291CB1BF"/>
    <w:rsid w:val="293AFA7C"/>
    <w:rsid w:val="2951AC96"/>
    <w:rsid w:val="29FC5865"/>
    <w:rsid w:val="2A3B503C"/>
    <w:rsid w:val="2A3FFA95"/>
    <w:rsid w:val="2AECB64D"/>
    <w:rsid w:val="2B22A883"/>
    <w:rsid w:val="2B3481CE"/>
    <w:rsid w:val="2B849395"/>
    <w:rsid w:val="2BD264F1"/>
    <w:rsid w:val="2BF2E5E9"/>
    <w:rsid w:val="2C22722B"/>
    <w:rsid w:val="2CAE13C4"/>
    <w:rsid w:val="2CED2C68"/>
    <w:rsid w:val="2D06C729"/>
    <w:rsid w:val="2D3F5513"/>
    <w:rsid w:val="2D47EB30"/>
    <w:rsid w:val="2DAC105E"/>
    <w:rsid w:val="2DB77CA9"/>
    <w:rsid w:val="2DB993DF"/>
    <w:rsid w:val="2DD84772"/>
    <w:rsid w:val="2DE367D5"/>
    <w:rsid w:val="2DE701A7"/>
    <w:rsid w:val="2E1EBE79"/>
    <w:rsid w:val="2E636A6D"/>
    <w:rsid w:val="2ED6E8E9"/>
    <w:rsid w:val="2F07A8DB"/>
    <w:rsid w:val="2F514A2B"/>
    <w:rsid w:val="2FA63BB6"/>
    <w:rsid w:val="2FB3D1BE"/>
    <w:rsid w:val="300D6528"/>
    <w:rsid w:val="306F906C"/>
    <w:rsid w:val="3084473D"/>
    <w:rsid w:val="30985F15"/>
    <w:rsid w:val="30B99C5D"/>
    <w:rsid w:val="30E4BBDA"/>
    <w:rsid w:val="310FD9E7"/>
    <w:rsid w:val="3178A957"/>
    <w:rsid w:val="31E7268E"/>
    <w:rsid w:val="325F9F72"/>
    <w:rsid w:val="32723533"/>
    <w:rsid w:val="330FABE8"/>
    <w:rsid w:val="3396F5B2"/>
    <w:rsid w:val="3424D11A"/>
    <w:rsid w:val="344CA26F"/>
    <w:rsid w:val="346C422F"/>
    <w:rsid w:val="34DF562B"/>
    <w:rsid w:val="34EAC52A"/>
    <w:rsid w:val="356BB970"/>
    <w:rsid w:val="358A0E33"/>
    <w:rsid w:val="35F70710"/>
    <w:rsid w:val="35F8AA4E"/>
    <w:rsid w:val="3617DBA7"/>
    <w:rsid w:val="3677CDC0"/>
    <w:rsid w:val="36A1C4B9"/>
    <w:rsid w:val="36B6054A"/>
    <w:rsid w:val="37288EEF"/>
    <w:rsid w:val="37774B81"/>
    <w:rsid w:val="37C9CB49"/>
    <w:rsid w:val="381585E7"/>
    <w:rsid w:val="3841B539"/>
    <w:rsid w:val="385C5C9B"/>
    <w:rsid w:val="3870C06C"/>
    <w:rsid w:val="38CE014B"/>
    <w:rsid w:val="38F8ED77"/>
    <w:rsid w:val="39D87987"/>
    <w:rsid w:val="3A1CA345"/>
    <w:rsid w:val="3A2F597E"/>
    <w:rsid w:val="3A590533"/>
    <w:rsid w:val="3A9B71C1"/>
    <w:rsid w:val="3AF277B3"/>
    <w:rsid w:val="3B54CD71"/>
    <w:rsid w:val="3C1B215F"/>
    <w:rsid w:val="3CB578DC"/>
    <w:rsid w:val="3CF24998"/>
    <w:rsid w:val="3D3B92E4"/>
    <w:rsid w:val="3DB04625"/>
    <w:rsid w:val="3DEB66A8"/>
    <w:rsid w:val="3E09CA8F"/>
    <w:rsid w:val="3E19B2CB"/>
    <w:rsid w:val="3E3775A1"/>
    <w:rsid w:val="3E4BF10D"/>
    <w:rsid w:val="3E5958B7"/>
    <w:rsid w:val="3E7BA100"/>
    <w:rsid w:val="3EB88D57"/>
    <w:rsid w:val="3F50125F"/>
    <w:rsid w:val="3F847222"/>
    <w:rsid w:val="3FC7EA38"/>
    <w:rsid w:val="404F3F8D"/>
    <w:rsid w:val="40FA7B1F"/>
    <w:rsid w:val="4135B6BD"/>
    <w:rsid w:val="418200EB"/>
    <w:rsid w:val="41CA5C1D"/>
    <w:rsid w:val="41CCB536"/>
    <w:rsid w:val="41E2D63D"/>
    <w:rsid w:val="421DB94F"/>
    <w:rsid w:val="4238C5E3"/>
    <w:rsid w:val="430E0E97"/>
    <w:rsid w:val="439BDD6B"/>
    <w:rsid w:val="43D46CE8"/>
    <w:rsid w:val="43E897DF"/>
    <w:rsid w:val="4408A55E"/>
    <w:rsid w:val="447892F6"/>
    <w:rsid w:val="44BB1940"/>
    <w:rsid w:val="452A9B22"/>
    <w:rsid w:val="4567D588"/>
    <w:rsid w:val="45714AED"/>
    <w:rsid w:val="458DC4B8"/>
    <w:rsid w:val="45B2C186"/>
    <w:rsid w:val="45C84998"/>
    <w:rsid w:val="46488777"/>
    <w:rsid w:val="467955C4"/>
    <w:rsid w:val="46AC54ED"/>
    <w:rsid w:val="46EF8E48"/>
    <w:rsid w:val="46F31758"/>
    <w:rsid w:val="46F55B18"/>
    <w:rsid w:val="4706D875"/>
    <w:rsid w:val="47A162CE"/>
    <w:rsid w:val="47D374B9"/>
    <w:rsid w:val="47F9C2BA"/>
    <w:rsid w:val="48055B28"/>
    <w:rsid w:val="481D8DFE"/>
    <w:rsid w:val="485D1AED"/>
    <w:rsid w:val="48830476"/>
    <w:rsid w:val="48CE8F15"/>
    <w:rsid w:val="491AA9A1"/>
    <w:rsid w:val="4948005B"/>
    <w:rsid w:val="494E6758"/>
    <w:rsid w:val="498789DE"/>
    <w:rsid w:val="49E247F0"/>
    <w:rsid w:val="4A6A4BE0"/>
    <w:rsid w:val="4B6115E5"/>
    <w:rsid w:val="4B944FFA"/>
    <w:rsid w:val="4BA3C2AF"/>
    <w:rsid w:val="4BEC9482"/>
    <w:rsid w:val="4C3071F8"/>
    <w:rsid w:val="4C375B45"/>
    <w:rsid w:val="4C457B47"/>
    <w:rsid w:val="4C6A4952"/>
    <w:rsid w:val="4C797CE2"/>
    <w:rsid w:val="4D22F2FA"/>
    <w:rsid w:val="4D41837D"/>
    <w:rsid w:val="4D9821BB"/>
    <w:rsid w:val="4E2B1BC7"/>
    <w:rsid w:val="4E43D754"/>
    <w:rsid w:val="4EB25389"/>
    <w:rsid w:val="4EBD9090"/>
    <w:rsid w:val="4EC52FCC"/>
    <w:rsid w:val="4EFEDBB9"/>
    <w:rsid w:val="4F6A6F9B"/>
    <w:rsid w:val="4F7D0EEB"/>
    <w:rsid w:val="4FBC8A8A"/>
    <w:rsid w:val="4FC601C8"/>
    <w:rsid w:val="4FD9545B"/>
    <w:rsid w:val="501090F4"/>
    <w:rsid w:val="50E2F685"/>
    <w:rsid w:val="51079C2C"/>
    <w:rsid w:val="511D91A3"/>
    <w:rsid w:val="52351541"/>
    <w:rsid w:val="52A6B17F"/>
    <w:rsid w:val="532D89BA"/>
    <w:rsid w:val="534FFADB"/>
    <w:rsid w:val="5356EB7F"/>
    <w:rsid w:val="53C30785"/>
    <w:rsid w:val="53DEAD61"/>
    <w:rsid w:val="53E8AF2C"/>
    <w:rsid w:val="54849D5E"/>
    <w:rsid w:val="55182E98"/>
    <w:rsid w:val="559DE922"/>
    <w:rsid w:val="559EB394"/>
    <w:rsid w:val="55BE766B"/>
    <w:rsid w:val="55C86B93"/>
    <w:rsid w:val="55F41FA1"/>
    <w:rsid w:val="564F7465"/>
    <w:rsid w:val="56658B5E"/>
    <w:rsid w:val="566AC944"/>
    <w:rsid w:val="568DEFCA"/>
    <w:rsid w:val="56932A48"/>
    <w:rsid w:val="569C4DD6"/>
    <w:rsid w:val="56C42087"/>
    <w:rsid w:val="56FADB43"/>
    <w:rsid w:val="5829CF2F"/>
    <w:rsid w:val="582BF5FB"/>
    <w:rsid w:val="58369847"/>
    <w:rsid w:val="58E9DB1C"/>
    <w:rsid w:val="5927689D"/>
    <w:rsid w:val="593356D5"/>
    <w:rsid w:val="5941E3BA"/>
    <w:rsid w:val="59DD9335"/>
    <w:rsid w:val="59DF40F4"/>
    <w:rsid w:val="5AB98D02"/>
    <w:rsid w:val="5AD717F7"/>
    <w:rsid w:val="5B15AB12"/>
    <w:rsid w:val="5B43B644"/>
    <w:rsid w:val="5B466CC2"/>
    <w:rsid w:val="5BBA6983"/>
    <w:rsid w:val="5BC5C804"/>
    <w:rsid w:val="5C0AAC98"/>
    <w:rsid w:val="5C4C1782"/>
    <w:rsid w:val="5C834C1E"/>
    <w:rsid w:val="5CCD4C66"/>
    <w:rsid w:val="5CF064F7"/>
    <w:rsid w:val="5D142E1E"/>
    <w:rsid w:val="5D3A8D21"/>
    <w:rsid w:val="5D75E096"/>
    <w:rsid w:val="5DBF58C1"/>
    <w:rsid w:val="5DDAEB3F"/>
    <w:rsid w:val="5DFCCD7D"/>
    <w:rsid w:val="5EBBC95C"/>
    <w:rsid w:val="5F17ADBA"/>
    <w:rsid w:val="5F506913"/>
    <w:rsid w:val="5F7B8A30"/>
    <w:rsid w:val="5F813418"/>
    <w:rsid w:val="6000F393"/>
    <w:rsid w:val="60D04E05"/>
    <w:rsid w:val="614ED13F"/>
    <w:rsid w:val="62689AD2"/>
    <w:rsid w:val="629A62A0"/>
    <w:rsid w:val="62DAF889"/>
    <w:rsid w:val="62DD4E99"/>
    <w:rsid w:val="63487B22"/>
    <w:rsid w:val="6393D97A"/>
    <w:rsid w:val="63C03EDD"/>
    <w:rsid w:val="63C63404"/>
    <w:rsid w:val="63D1F4B2"/>
    <w:rsid w:val="64566D38"/>
    <w:rsid w:val="6463A769"/>
    <w:rsid w:val="64776E17"/>
    <w:rsid w:val="6487D1EF"/>
    <w:rsid w:val="6555345F"/>
    <w:rsid w:val="65766AB0"/>
    <w:rsid w:val="657EA27C"/>
    <w:rsid w:val="65BE2002"/>
    <w:rsid w:val="66D182F6"/>
    <w:rsid w:val="670E0F4F"/>
    <w:rsid w:val="67102765"/>
    <w:rsid w:val="6780D7D2"/>
    <w:rsid w:val="680D08DF"/>
    <w:rsid w:val="6827769A"/>
    <w:rsid w:val="6827D9AF"/>
    <w:rsid w:val="685F9799"/>
    <w:rsid w:val="68EED202"/>
    <w:rsid w:val="68F1E99F"/>
    <w:rsid w:val="6940A75A"/>
    <w:rsid w:val="6958D4D3"/>
    <w:rsid w:val="69EF7531"/>
    <w:rsid w:val="6A3C4549"/>
    <w:rsid w:val="6A424078"/>
    <w:rsid w:val="6AD27376"/>
    <w:rsid w:val="6B3163C7"/>
    <w:rsid w:val="6B6D812D"/>
    <w:rsid w:val="6B7EC294"/>
    <w:rsid w:val="6C4766CC"/>
    <w:rsid w:val="6CE565AB"/>
    <w:rsid w:val="6CEA06E1"/>
    <w:rsid w:val="6D142D28"/>
    <w:rsid w:val="6D443713"/>
    <w:rsid w:val="6D4A2477"/>
    <w:rsid w:val="6D50217E"/>
    <w:rsid w:val="6D94757D"/>
    <w:rsid w:val="6E5E428C"/>
    <w:rsid w:val="6E64FE5A"/>
    <w:rsid w:val="6F48AF3C"/>
    <w:rsid w:val="6F5B3D63"/>
    <w:rsid w:val="6F7EDEC7"/>
    <w:rsid w:val="700303A9"/>
    <w:rsid w:val="7008039D"/>
    <w:rsid w:val="708AB03F"/>
    <w:rsid w:val="708C3A3E"/>
    <w:rsid w:val="70A4930B"/>
    <w:rsid w:val="70C1A867"/>
    <w:rsid w:val="70F21D5E"/>
    <w:rsid w:val="7126E2A1"/>
    <w:rsid w:val="7134DAD6"/>
    <w:rsid w:val="71387FC8"/>
    <w:rsid w:val="71A7378C"/>
    <w:rsid w:val="7202F39D"/>
    <w:rsid w:val="7263400F"/>
    <w:rsid w:val="72657829"/>
    <w:rsid w:val="72841858"/>
    <w:rsid w:val="72D8E6A4"/>
    <w:rsid w:val="72DB76B3"/>
    <w:rsid w:val="73401288"/>
    <w:rsid w:val="736D055C"/>
    <w:rsid w:val="737D6F87"/>
    <w:rsid w:val="73A43C80"/>
    <w:rsid w:val="73CFE6FA"/>
    <w:rsid w:val="73D544D1"/>
    <w:rsid w:val="73F49714"/>
    <w:rsid w:val="7466CF06"/>
    <w:rsid w:val="74A385A9"/>
    <w:rsid w:val="755F25C0"/>
    <w:rsid w:val="7659F0A5"/>
    <w:rsid w:val="76B17BEB"/>
    <w:rsid w:val="76D8F11E"/>
    <w:rsid w:val="7736630F"/>
    <w:rsid w:val="774237A4"/>
    <w:rsid w:val="7801F480"/>
    <w:rsid w:val="78211C9A"/>
    <w:rsid w:val="782C00FB"/>
    <w:rsid w:val="788F3FFC"/>
    <w:rsid w:val="78984E76"/>
    <w:rsid w:val="78AD35C2"/>
    <w:rsid w:val="78B0FDA0"/>
    <w:rsid w:val="78BD2412"/>
    <w:rsid w:val="7909931B"/>
    <w:rsid w:val="7911FAE5"/>
    <w:rsid w:val="797AAFDD"/>
    <w:rsid w:val="798617E2"/>
    <w:rsid w:val="79EFC94B"/>
    <w:rsid w:val="7A1E009C"/>
    <w:rsid w:val="7B07814A"/>
    <w:rsid w:val="7B1DE2B2"/>
    <w:rsid w:val="7B77F578"/>
    <w:rsid w:val="7B9EAFA7"/>
    <w:rsid w:val="7BB153AA"/>
    <w:rsid w:val="7BC94DBE"/>
    <w:rsid w:val="7C3C5C5D"/>
    <w:rsid w:val="7C5DFEF2"/>
    <w:rsid w:val="7C7B3FE6"/>
    <w:rsid w:val="7CBF8293"/>
    <w:rsid w:val="7CC04615"/>
    <w:rsid w:val="7CDAC92A"/>
    <w:rsid w:val="7D5FCA71"/>
    <w:rsid w:val="7D6D3E39"/>
    <w:rsid w:val="7D7E9758"/>
    <w:rsid w:val="7DA46811"/>
    <w:rsid w:val="7DB8093E"/>
    <w:rsid w:val="7DBD4802"/>
    <w:rsid w:val="7DEF3DF3"/>
    <w:rsid w:val="7E3209F3"/>
    <w:rsid w:val="7E89006F"/>
    <w:rsid w:val="7EF04BC7"/>
    <w:rsid w:val="7F4F0D6E"/>
    <w:rsid w:val="7F8EAE96"/>
    <w:rsid w:val="7FF1C438"/>
    <w:rsid w:val="7FF93241"/>
    <w:rsid w:val="7FFDC0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07D20"/>
  <w15:docId w15:val="{08FB8D10-7E36-49BF-81C1-22AFEE729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6DC"/>
  </w:style>
  <w:style w:type="paragraph" w:styleId="Heading1">
    <w:name w:val="heading 1"/>
    <w:basedOn w:val="Normal"/>
    <w:next w:val="Normal"/>
    <w:link w:val="Heading1Char"/>
    <w:qFormat/>
    <w:rsid w:val="00A83068"/>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unhideWhenUsed/>
    <w:qFormat/>
    <w:rsid w:val="008B68C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A83068"/>
    <w:pPr>
      <w:keepNext/>
      <w:spacing w:before="240" w:after="60" w:line="360" w:lineRule="auto"/>
      <w:jc w:val="center"/>
      <w:outlineLvl w:val="2"/>
    </w:pPr>
    <w:rPr>
      <w:rFonts w:ascii="Times New Roman" w:eastAsia="Times New Roman" w:hAnsi="Times New Roman" w:cs="Times New Roman"/>
      <w:b/>
      <w:bCs/>
      <w:sz w:val="26"/>
      <w:szCs w:val="26"/>
    </w:rPr>
  </w:style>
  <w:style w:type="paragraph" w:styleId="Heading4">
    <w:name w:val="heading 4"/>
    <w:basedOn w:val="Normal"/>
    <w:next w:val="Normal"/>
    <w:link w:val="Heading4Char"/>
    <w:uiPriority w:val="9"/>
    <w:unhideWhenUsed/>
    <w:qFormat/>
    <w:rsid w:val="00A6275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A303F"/>
    <w:pPr>
      <w:spacing w:before="240" w:after="60" w:line="360" w:lineRule="auto"/>
      <w:jc w:val="center"/>
      <w:outlineLvl w:val="4"/>
    </w:pPr>
    <w:rPr>
      <w:rFonts w:ascii="Times New Roman" w:eastAsia="Calibri" w:hAnsi="Times New Roman" w:cs="Times New Roman"/>
      <w:b/>
      <w:bCs/>
      <w:iCs/>
      <w:szCs w:val="26"/>
    </w:rPr>
  </w:style>
  <w:style w:type="paragraph" w:styleId="Heading6">
    <w:name w:val="heading 6"/>
    <w:basedOn w:val="Normal"/>
    <w:next w:val="Normal"/>
    <w:link w:val="Heading6Char"/>
    <w:uiPriority w:val="9"/>
    <w:unhideWhenUsed/>
    <w:qFormat/>
    <w:rsid w:val="00A83068"/>
    <w:pPr>
      <w:spacing w:before="240" w:after="60"/>
      <w:jc w:val="center"/>
      <w:outlineLvl w:val="5"/>
    </w:pPr>
    <w:rPr>
      <w:rFonts w:ascii="Calibri" w:eastAsia="Times New Roman" w:hAnsi="Calibri" w:cs="Times New Roman"/>
      <w:b/>
      <w:bCs/>
    </w:rPr>
  </w:style>
  <w:style w:type="paragraph" w:styleId="Heading7">
    <w:name w:val="heading 7"/>
    <w:basedOn w:val="Normal"/>
    <w:next w:val="Normal"/>
    <w:link w:val="Heading7Char"/>
    <w:uiPriority w:val="9"/>
    <w:unhideWhenUsed/>
    <w:qFormat/>
    <w:rsid w:val="00A83068"/>
    <w:pPr>
      <w:spacing w:before="240" w:after="60"/>
      <w:jc w:val="center"/>
      <w:outlineLvl w:val="6"/>
    </w:pPr>
    <w:rPr>
      <w:rFonts w:ascii="Calibri" w:eastAsia="Times New Roman" w:hAnsi="Calibri" w:cs="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Reference1">
    <w:name w:val="Comment Reference1"/>
    <w:basedOn w:val="DefaultParagraphFont"/>
    <w:uiPriority w:val="99"/>
    <w:semiHidden/>
    <w:unhideWhenUsed/>
    <w:rsid w:val="009F6425"/>
    <w:rPr>
      <w:sz w:val="16"/>
      <w:szCs w:val="16"/>
    </w:rPr>
  </w:style>
  <w:style w:type="paragraph" w:customStyle="1" w:styleId="CommentText1">
    <w:name w:val="Comment Text1"/>
    <w:basedOn w:val="Normal"/>
    <w:link w:val="CommentTextChar"/>
    <w:uiPriority w:val="99"/>
    <w:unhideWhenUsed/>
    <w:rsid w:val="009F6425"/>
    <w:pPr>
      <w:spacing w:line="240" w:lineRule="auto"/>
    </w:pPr>
    <w:rPr>
      <w:sz w:val="20"/>
      <w:szCs w:val="20"/>
    </w:rPr>
  </w:style>
  <w:style w:type="character" w:customStyle="1" w:styleId="CommentTextChar">
    <w:name w:val="Comment Text Char"/>
    <w:basedOn w:val="DefaultParagraphFont"/>
    <w:link w:val="CommentText1"/>
    <w:uiPriority w:val="99"/>
    <w:rsid w:val="009F6425"/>
    <w:rPr>
      <w:sz w:val="20"/>
      <w:szCs w:val="20"/>
    </w:rPr>
  </w:style>
  <w:style w:type="paragraph" w:customStyle="1" w:styleId="CommentSubject1">
    <w:name w:val="Comment Subject1"/>
    <w:basedOn w:val="CommentText1"/>
    <w:next w:val="CommentText1"/>
    <w:link w:val="CommentSubjectChar"/>
    <w:uiPriority w:val="99"/>
    <w:semiHidden/>
    <w:unhideWhenUsed/>
    <w:rsid w:val="009F6425"/>
    <w:rPr>
      <w:b/>
      <w:bCs/>
    </w:rPr>
  </w:style>
  <w:style w:type="character" w:customStyle="1" w:styleId="CommentSubjectChar">
    <w:name w:val="Comment Subject Char"/>
    <w:basedOn w:val="CommentTextChar"/>
    <w:link w:val="CommentSubject1"/>
    <w:uiPriority w:val="99"/>
    <w:semiHidden/>
    <w:rsid w:val="009F6425"/>
    <w:rPr>
      <w:b/>
      <w:bCs/>
      <w:sz w:val="20"/>
      <w:szCs w:val="20"/>
    </w:rPr>
  </w:style>
  <w:style w:type="paragraph" w:styleId="BalloonText">
    <w:name w:val="Balloon Text"/>
    <w:basedOn w:val="Normal"/>
    <w:link w:val="BalloonTextChar"/>
    <w:uiPriority w:val="99"/>
    <w:semiHidden/>
    <w:unhideWhenUsed/>
    <w:rsid w:val="009F6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425"/>
    <w:rPr>
      <w:rFonts w:ascii="Tahoma" w:hAnsi="Tahoma" w:cs="Tahoma"/>
      <w:sz w:val="16"/>
      <w:szCs w:val="16"/>
    </w:rPr>
  </w:style>
  <w:style w:type="paragraph" w:styleId="Header">
    <w:name w:val="header"/>
    <w:basedOn w:val="Normal"/>
    <w:link w:val="HeaderChar"/>
    <w:uiPriority w:val="99"/>
    <w:unhideWhenUsed/>
    <w:rsid w:val="001A57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5730"/>
  </w:style>
  <w:style w:type="paragraph" w:styleId="Footer">
    <w:name w:val="footer"/>
    <w:basedOn w:val="Normal"/>
    <w:link w:val="FooterChar"/>
    <w:uiPriority w:val="99"/>
    <w:unhideWhenUsed/>
    <w:rsid w:val="001A57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5730"/>
  </w:style>
  <w:style w:type="paragraph" w:styleId="NoSpacing">
    <w:name w:val="No Spacing"/>
    <w:uiPriority w:val="1"/>
    <w:qFormat/>
    <w:rsid w:val="00B60A16"/>
    <w:pPr>
      <w:spacing w:after="0" w:line="240" w:lineRule="auto"/>
    </w:pPr>
    <w:rPr>
      <w:rFonts w:ascii="Calibri" w:hAnsi="Calibri" w:cs="Times New Roman"/>
    </w:rPr>
  </w:style>
  <w:style w:type="table" w:styleId="TableGrid">
    <w:name w:val="Table Grid"/>
    <w:basedOn w:val="TableNormal"/>
    <w:rsid w:val="0000565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8104">
    <w:name w:val="box_458104"/>
    <w:basedOn w:val="Normal"/>
    <w:rsid w:val="009905A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basedOn w:val="Normal"/>
    <w:uiPriority w:val="34"/>
    <w:qFormat/>
    <w:rsid w:val="001D5195"/>
    <w:pPr>
      <w:ind w:left="720"/>
      <w:contextualSpacing/>
    </w:pPr>
  </w:style>
  <w:style w:type="paragraph" w:styleId="Revision">
    <w:name w:val="Revision"/>
    <w:hidden/>
    <w:uiPriority w:val="99"/>
    <w:semiHidden/>
    <w:rsid w:val="00B16304"/>
    <w:pPr>
      <w:spacing w:after="0" w:line="240" w:lineRule="auto"/>
    </w:pPr>
  </w:style>
  <w:style w:type="character" w:styleId="Hyperlink">
    <w:name w:val="Hyperlink"/>
    <w:basedOn w:val="DefaultParagraphFont"/>
    <w:uiPriority w:val="99"/>
    <w:unhideWhenUsed/>
    <w:rsid w:val="00AA3E2C"/>
    <w:rPr>
      <w:color w:val="0000FF" w:themeColor="hyperlink"/>
      <w:u w:val="single"/>
    </w:rPr>
  </w:style>
  <w:style w:type="paragraph" w:styleId="NormalWeb">
    <w:name w:val="Normal (Web)"/>
    <w:basedOn w:val="Normal"/>
    <w:unhideWhenUsed/>
    <w:rsid w:val="0095045A"/>
    <w:pPr>
      <w:spacing w:before="100" w:beforeAutospacing="1" w:after="100" w:afterAutospacing="1" w:line="240" w:lineRule="auto"/>
    </w:pPr>
    <w:rPr>
      <w:rFonts w:ascii="Times New Roman" w:eastAsiaTheme="minorEastAsia" w:hAnsi="Times New Roman" w:cs="Times New Roman"/>
      <w:sz w:val="24"/>
      <w:szCs w:val="24"/>
      <w:lang w:eastAsia="hr-HR"/>
    </w:rPr>
  </w:style>
  <w:style w:type="character" w:customStyle="1" w:styleId="Heading2Char">
    <w:name w:val="Heading 2 Char"/>
    <w:basedOn w:val="DefaultParagraphFont"/>
    <w:link w:val="Heading2"/>
    <w:rsid w:val="008B68CC"/>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nhideWhenUsed/>
    <w:rsid w:val="004270C2"/>
    <w:pPr>
      <w:spacing w:after="0" w:line="240" w:lineRule="auto"/>
    </w:pPr>
    <w:rPr>
      <w:sz w:val="20"/>
      <w:szCs w:val="20"/>
    </w:rPr>
  </w:style>
  <w:style w:type="character" w:customStyle="1" w:styleId="FootnoteTextChar">
    <w:name w:val="Footnote Text Char"/>
    <w:basedOn w:val="DefaultParagraphFont"/>
    <w:link w:val="FootnoteText"/>
    <w:rsid w:val="004270C2"/>
    <w:rPr>
      <w:sz w:val="20"/>
      <w:szCs w:val="20"/>
    </w:rPr>
  </w:style>
  <w:style w:type="character" w:styleId="FootnoteReference">
    <w:name w:val="footnote reference"/>
    <w:basedOn w:val="DefaultParagraphFont"/>
    <w:uiPriority w:val="99"/>
    <w:semiHidden/>
    <w:unhideWhenUsed/>
    <w:rsid w:val="004270C2"/>
    <w:rPr>
      <w:vertAlign w:val="superscript"/>
    </w:rPr>
  </w:style>
  <w:style w:type="paragraph" w:customStyle="1" w:styleId="oj-doc-ti">
    <w:name w:val="oj-doc-ti"/>
    <w:basedOn w:val="Normal"/>
    <w:rsid w:val="0014345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Emphasis">
    <w:name w:val="Emphasis"/>
    <w:basedOn w:val="DefaultParagraphFont"/>
    <w:uiPriority w:val="20"/>
    <w:qFormat/>
    <w:rsid w:val="00143454"/>
    <w:rPr>
      <w:i/>
      <w:iCs/>
    </w:rPr>
  </w:style>
  <w:style w:type="paragraph" w:customStyle="1" w:styleId="doc-ti">
    <w:name w:val="doc-ti"/>
    <w:basedOn w:val="Normal"/>
    <w:rsid w:val="00343CDC"/>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5Char">
    <w:name w:val="Heading 5 Char"/>
    <w:basedOn w:val="DefaultParagraphFont"/>
    <w:link w:val="Heading5"/>
    <w:uiPriority w:val="9"/>
    <w:rsid w:val="009A303F"/>
    <w:rPr>
      <w:rFonts w:ascii="Times New Roman" w:eastAsia="Calibri" w:hAnsi="Times New Roman" w:cs="Times New Roman"/>
      <w:b/>
      <w:bCs/>
      <w:iCs/>
      <w:szCs w:val="26"/>
    </w:rPr>
  </w:style>
  <w:style w:type="character" w:customStyle="1" w:styleId="Heading4Char">
    <w:name w:val="Heading 4 Char"/>
    <w:basedOn w:val="DefaultParagraphFont"/>
    <w:link w:val="Heading4"/>
    <w:uiPriority w:val="9"/>
    <w:rsid w:val="00A6275B"/>
    <w:rPr>
      <w:rFonts w:asciiTheme="majorHAnsi" w:eastAsiaTheme="majorEastAsia" w:hAnsiTheme="majorHAnsi" w:cstheme="majorBidi"/>
      <w:i/>
      <w:iCs/>
      <w:color w:val="365F91" w:themeColor="accent1" w:themeShade="BF"/>
    </w:rPr>
  </w:style>
  <w:style w:type="character" w:customStyle="1" w:styleId="preformatted-text">
    <w:name w:val="preformatted-text"/>
    <w:basedOn w:val="DefaultParagraphFont"/>
    <w:rsid w:val="00846A98"/>
  </w:style>
  <w:style w:type="character" w:customStyle="1" w:styleId="Heading1Char">
    <w:name w:val="Heading 1 Char"/>
    <w:basedOn w:val="DefaultParagraphFont"/>
    <w:link w:val="Heading1"/>
    <w:rsid w:val="00A83068"/>
    <w:rPr>
      <w:rFonts w:ascii="Arial" w:eastAsia="Times New Roman" w:hAnsi="Arial" w:cs="Arial"/>
      <w:b/>
      <w:bCs/>
      <w:kern w:val="32"/>
      <w:sz w:val="32"/>
      <w:szCs w:val="32"/>
      <w:lang w:val="en-US"/>
    </w:rPr>
  </w:style>
  <w:style w:type="character" w:customStyle="1" w:styleId="Heading3Char">
    <w:name w:val="Heading 3 Char"/>
    <w:basedOn w:val="DefaultParagraphFont"/>
    <w:link w:val="Heading3"/>
    <w:rsid w:val="00A83068"/>
    <w:rPr>
      <w:rFonts w:ascii="Times New Roman" w:eastAsia="Times New Roman" w:hAnsi="Times New Roman" w:cs="Times New Roman"/>
      <w:b/>
      <w:bCs/>
      <w:sz w:val="26"/>
      <w:szCs w:val="26"/>
    </w:rPr>
  </w:style>
  <w:style w:type="character" w:customStyle="1" w:styleId="Heading6Char">
    <w:name w:val="Heading 6 Char"/>
    <w:basedOn w:val="DefaultParagraphFont"/>
    <w:link w:val="Heading6"/>
    <w:uiPriority w:val="9"/>
    <w:rsid w:val="00A83068"/>
    <w:rPr>
      <w:rFonts w:ascii="Calibri" w:eastAsia="Times New Roman" w:hAnsi="Calibri" w:cs="Times New Roman"/>
      <w:b/>
      <w:bCs/>
    </w:rPr>
  </w:style>
  <w:style w:type="character" w:customStyle="1" w:styleId="Heading7Char">
    <w:name w:val="Heading 7 Char"/>
    <w:basedOn w:val="DefaultParagraphFont"/>
    <w:link w:val="Heading7"/>
    <w:uiPriority w:val="9"/>
    <w:rsid w:val="00A83068"/>
    <w:rPr>
      <w:rFonts w:ascii="Calibri" w:eastAsia="Times New Roman" w:hAnsi="Calibri" w:cs="Times New Roman"/>
      <w:b/>
      <w:sz w:val="20"/>
    </w:rPr>
  </w:style>
  <w:style w:type="paragraph" w:customStyle="1" w:styleId="1">
    <w:name w:val="1"/>
    <w:basedOn w:val="Normal"/>
    <w:rsid w:val="00A83068"/>
    <w:pPr>
      <w:jc w:val="center"/>
    </w:pPr>
    <w:rPr>
      <w:rFonts w:ascii="Calibri" w:eastAsia="Calibri" w:hAnsi="Calibri" w:cs="Times New Roman"/>
      <w:b/>
    </w:rPr>
  </w:style>
  <w:style w:type="paragraph" w:customStyle="1" w:styleId="11">
    <w:name w:val="1.1."/>
    <w:basedOn w:val="Normal"/>
    <w:rsid w:val="00A83068"/>
    <w:pPr>
      <w:jc w:val="center"/>
    </w:pPr>
    <w:rPr>
      <w:rFonts w:ascii="Calibri" w:eastAsia="Calibri" w:hAnsi="Calibri" w:cs="Times New Roman"/>
      <w:b/>
    </w:rPr>
  </w:style>
  <w:style w:type="paragraph" w:customStyle="1" w:styleId="111">
    <w:name w:val="1.1.1"/>
    <w:basedOn w:val="Normal"/>
    <w:rsid w:val="00A83068"/>
    <w:pPr>
      <w:spacing w:after="0" w:line="240" w:lineRule="auto"/>
      <w:jc w:val="center"/>
    </w:pPr>
    <w:rPr>
      <w:rFonts w:ascii="Times New Roman" w:eastAsia="Times New Roman" w:hAnsi="Times New Roman" w:cs="Times New Roman"/>
      <w:b/>
      <w:sz w:val="20"/>
      <w:szCs w:val="20"/>
    </w:rPr>
  </w:style>
  <w:style w:type="character" w:styleId="PageNumber">
    <w:name w:val="page number"/>
    <w:basedOn w:val="DefaultParagraphFont"/>
    <w:rsid w:val="00A83068"/>
  </w:style>
  <w:style w:type="character" w:customStyle="1" w:styleId="FootnoteTextChar1">
    <w:name w:val="Footnote Text Char1"/>
    <w:uiPriority w:val="99"/>
    <w:semiHidden/>
    <w:rsid w:val="00A83068"/>
    <w:rPr>
      <w:lang w:eastAsia="en-US"/>
    </w:rPr>
  </w:style>
  <w:style w:type="paragraph" w:customStyle="1" w:styleId="brojdesno2">
    <w:name w:val="brojdesno2"/>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2">
    <w:name w:val="t-98-2"/>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klasa2">
    <w:name w:val="klasa2"/>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otpisnik">
    <w:name w:val="potpisnik"/>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DefaultParagraphFont"/>
    <w:rsid w:val="00A83068"/>
  </w:style>
  <w:style w:type="paragraph" w:customStyle="1" w:styleId="t-119sred">
    <w:name w:val="t-119sred"/>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09curz">
    <w:name w:val="t-109curz"/>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1">
    <w:name w:val="n1"/>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2">
    <w:name w:val="n2"/>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1a">
    <w:name w:val="n1a"/>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2a">
    <w:name w:val="n2a"/>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20">
    <w:name w:val="T-9/8-2"/>
    <w:basedOn w:val="Normal"/>
    <w:rsid w:val="00A83068"/>
    <w:pPr>
      <w:widowControl w:val="0"/>
      <w:tabs>
        <w:tab w:val="left" w:pos="2153"/>
      </w:tabs>
      <w:autoSpaceDE w:val="0"/>
      <w:autoSpaceDN w:val="0"/>
      <w:adjustRightInd w:val="0"/>
      <w:spacing w:after="43" w:line="240" w:lineRule="auto"/>
      <w:ind w:firstLine="342"/>
      <w:jc w:val="both"/>
    </w:pPr>
    <w:rPr>
      <w:rFonts w:ascii="Times-NewRoman" w:eastAsia="Times New Roman" w:hAnsi="Times-NewRoman" w:cs="Times New Roman"/>
      <w:sz w:val="19"/>
      <w:szCs w:val="19"/>
      <w:lang w:val="en-GB"/>
    </w:rPr>
  </w:style>
  <w:style w:type="paragraph" w:customStyle="1" w:styleId="Clanak0">
    <w:name w:val="Clanak"/>
    <w:next w:val="T-98-20"/>
    <w:rsid w:val="00A83068"/>
    <w:pPr>
      <w:widowControl w:val="0"/>
      <w:autoSpaceDE w:val="0"/>
      <w:autoSpaceDN w:val="0"/>
      <w:adjustRightInd w:val="0"/>
      <w:spacing w:before="86" w:after="43" w:line="240" w:lineRule="auto"/>
      <w:jc w:val="center"/>
    </w:pPr>
    <w:rPr>
      <w:rFonts w:ascii="Times-NewRoman" w:eastAsia="Times New Roman" w:hAnsi="Times-NewRoman" w:cs="Times New Roman"/>
      <w:sz w:val="19"/>
      <w:szCs w:val="19"/>
      <w:lang w:val="en-GB"/>
    </w:rPr>
  </w:style>
  <w:style w:type="paragraph" w:customStyle="1" w:styleId="T-109curz0">
    <w:name w:val="T-10/9 curz"/>
    <w:rsid w:val="00A83068"/>
    <w:pPr>
      <w:widowControl w:val="0"/>
      <w:autoSpaceDE w:val="0"/>
      <w:autoSpaceDN w:val="0"/>
      <w:adjustRightInd w:val="0"/>
      <w:spacing w:before="85" w:after="43" w:line="240" w:lineRule="auto"/>
      <w:jc w:val="center"/>
    </w:pPr>
    <w:rPr>
      <w:rFonts w:ascii="Times-NewRoman" w:eastAsia="Times New Roman" w:hAnsi="Times-NewRoman" w:cs="Times New Roman"/>
      <w:i/>
      <w:iCs/>
      <w:sz w:val="21"/>
      <w:szCs w:val="21"/>
      <w:lang w:val="en-GB"/>
    </w:rPr>
  </w:style>
  <w:style w:type="paragraph" w:styleId="BodyText">
    <w:name w:val="Body Text"/>
    <w:basedOn w:val="Normal"/>
    <w:link w:val="BodyTextChar"/>
    <w:rsid w:val="00A83068"/>
    <w:pPr>
      <w:spacing w:after="0" w:line="240" w:lineRule="auto"/>
      <w:jc w:val="both"/>
    </w:pPr>
    <w:rPr>
      <w:rFonts w:ascii="Arial" w:eastAsia="Times New Roman" w:hAnsi="Arial" w:cs="Arial"/>
      <w:sz w:val="28"/>
      <w:szCs w:val="24"/>
    </w:rPr>
  </w:style>
  <w:style w:type="character" w:customStyle="1" w:styleId="BodyTextChar">
    <w:name w:val="Body Text Char"/>
    <w:basedOn w:val="DefaultParagraphFont"/>
    <w:link w:val="BodyText"/>
    <w:rsid w:val="00A83068"/>
    <w:rPr>
      <w:rFonts w:ascii="Arial" w:eastAsia="Times New Roman" w:hAnsi="Arial" w:cs="Arial"/>
      <w:sz w:val="28"/>
      <w:szCs w:val="24"/>
    </w:rPr>
  </w:style>
  <w:style w:type="paragraph" w:customStyle="1" w:styleId="T-109fett">
    <w:name w:val="T-10/9 fett"/>
    <w:rsid w:val="00A83068"/>
    <w:pPr>
      <w:widowControl w:val="0"/>
      <w:autoSpaceDE w:val="0"/>
      <w:autoSpaceDN w:val="0"/>
      <w:adjustRightInd w:val="0"/>
      <w:spacing w:before="128" w:after="43" w:line="240" w:lineRule="auto"/>
      <w:jc w:val="center"/>
    </w:pPr>
    <w:rPr>
      <w:rFonts w:ascii="Times-NewRoman" w:eastAsia="Times New Roman" w:hAnsi="Times-NewRoman" w:cs="Times New Roman"/>
      <w:b/>
      <w:bCs/>
      <w:sz w:val="21"/>
      <w:szCs w:val="21"/>
      <w:lang w:val="en-US"/>
    </w:rPr>
  </w:style>
  <w:style w:type="paragraph" w:customStyle="1" w:styleId="T-109sred">
    <w:name w:val="T-10/9 sred"/>
    <w:rsid w:val="00A83068"/>
    <w:pPr>
      <w:widowControl w:val="0"/>
      <w:autoSpaceDE w:val="0"/>
      <w:autoSpaceDN w:val="0"/>
      <w:adjustRightInd w:val="0"/>
      <w:spacing w:before="85" w:after="43" w:line="240" w:lineRule="auto"/>
      <w:jc w:val="center"/>
    </w:pPr>
    <w:rPr>
      <w:rFonts w:ascii="Times-NewRoman" w:eastAsia="Times New Roman" w:hAnsi="Times-NewRoman" w:cs="Times New Roman"/>
      <w:sz w:val="21"/>
      <w:szCs w:val="21"/>
      <w:lang w:val="en-US"/>
    </w:rPr>
  </w:style>
  <w:style w:type="paragraph" w:customStyle="1" w:styleId="T-119fett">
    <w:name w:val="T-11/9 fett"/>
    <w:rsid w:val="00A83068"/>
    <w:pPr>
      <w:widowControl w:val="0"/>
      <w:autoSpaceDE w:val="0"/>
      <w:autoSpaceDN w:val="0"/>
      <w:adjustRightInd w:val="0"/>
      <w:spacing w:before="128" w:after="43" w:line="240" w:lineRule="auto"/>
      <w:jc w:val="center"/>
    </w:pPr>
    <w:rPr>
      <w:rFonts w:ascii="Times-NewRoman" w:eastAsia="Times New Roman" w:hAnsi="Times-NewRoman" w:cs="Times New Roman"/>
      <w:b/>
      <w:bCs/>
      <w:sz w:val="23"/>
      <w:szCs w:val="23"/>
      <w:lang w:val="en-US"/>
    </w:rPr>
  </w:style>
  <w:style w:type="paragraph" w:customStyle="1" w:styleId="T-119sred0">
    <w:name w:val="T-11/9 sred"/>
    <w:next w:val="T-98-20"/>
    <w:rsid w:val="00A83068"/>
    <w:pPr>
      <w:widowControl w:val="0"/>
      <w:autoSpaceDE w:val="0"/>
      <w:autoSpaceDN w:val="0"/>
      <w:adjustRightInd w:val="0"/>
      <w:spacing w:before="128" w:after="43" w:line="240" w:lineRule="auto"/>
      <w:jc w:val="center"/>
    </w:pPr>
    <w:rPr>
      <w:rFonts w:ascii="Times-NewRoman" w:eastAsia="Times New Roman" w:hAnsi="Times-NewRoman" w:cs="Times New Roman"/>
      <w:sz w:val="23"/>
      <w:szCs w:val="23"/>
      <w:lang w:val="en-US"/>
    </w:rPr>
  </w:style>
  <w:style w:type="character" w:styleId="HTMLTypewriter">
    <w:name w:val="HTML Typewriter"/>
    <w:rsid w:val="00A83068"/>
    <w:rPr>
      <w:rFonts w:ascii="Courier New" w:eastAsia="Times New Roman" w:hAnsi="Courier New" w:cs="Courier New"/>
      <w:sz w:val="20"/>
      <w:szCs w:val="20"/>
    </w:rPr>
  </w:style>
  <w:style w:type="paragraph" w:styleId="BodyText2">
    <w:name w:val="Body Text 2"/>
    <w:basedOn w:val="Normal"/>
    <w:link w:val="BodyText2Char"/>
    <w:rsid w:val="00A8306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A83068"/>
    <w:rPr>
      <w:rFonts w:ascii="Times New Roman" w:eastAsia="Times New Roman" w:hAnsi="Times New Roman" w:cs="Times New Roman"/>
      <w:sz w:val="24"/>
      <w:szCs w:val="24"/>
    </w:rPr>
  </w:style>
  <w:style w:type="paragraph" w:styleId="PlainText">
    <w:name w:val="Plain Text"/>
    <w:basedOn w:val="Normal"/>
    <w:link w:val="PlainTextChar"/>
    <w:rsid w:val="00A83068"/>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A83068"/>
    <w:rPr>
      <w:rFonts w:ascii="Courier New" w:eastAsia="Times New Roman" w:hAnsi="Courier New" w:cs="Courier New"/>
      <w:sz w:val="20"/>
      <w:szCs w:val="20"/>
      <w:lang w:val="en-US"/>
    </w:rPr>
  </w:style>
  <w:style w:type="paragraph" w:styleId="TOC1">
    <w:name w:val="toc 1"/>
    <w:basedOn w:val="Normal"/>
    <w:next w:val="Normal"/>
    <w:autoRedefine/>
    <w:uiPriority w:val="39"/>
    <w:rsid w:val="00A83068"/>
    <w:pPr>
      <w:spacing w:after="0"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rsid w:val="00A83068"/>
    <w:pPr>
      <w:spacing w:after="0" w:line="240" w:lineRule="auto"/>
      <w:ind w:left="240"/>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rsid w:val="00A83068"/>
    <w:pPr>
      <w:spacing w:after="0" w:line="240" w:lineRule="auto"/>
      <w:ind w:left="480"/>
    </w:pPr>
    <w:rPr>
      <w:rFonts w:ascii="Times New Roman" w:eastAsia="Times New Roman" w:hAnsi="Times New Roman" w:cs="Times New Roman"/>
      <w:sz w:val="24"/>
      <w:szCs w:val="24"/>
      <w:lang w:val="en-US"/>
    </w:rPr>
  </w:style>
  <w:style w:type="paragraph" w:customStyle="1" w:styleId="t-9-8">
    <w:name w:val="t-9-8"/>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FollowedHyperlink">
    <w:name w:val="FollowedHyperlink"/>
    <w:uiPriority w:val="99"/>
    <w:semiHidden/>
    <w:unhideWhenUsed/>
    <w:rsid w:val="00A83068"/>
    <w:rPr>
      <w:color w:val="800080"/>
      <w:u w:val="single"/>
    </w:rPr>
  </w:style>
  <w:style w:type="character" w:customStyle="1" w:styleId="v207invalidact">
    <w:name w:val="v207invalidact"/>
    <w:basedOn w:val="DefaultParagraphFont"/>
    <w:rsid w:val="00A83068"/>
  </w:style>
  <w:style w:type="numbering" w:customStyle="1" w:styleId="Bezpopisa1">
    <w:name w:val="Bez popisa1"/>
    <w:next w:val="NoList"/>
    <w:uiPriority w:val="99"/>
    <w:semiHidden/>
    <w:unhideWhenUsed/>
    <w:rsid w:val="00A83068"/>
  </w:style>
  <w:style w:type="paragraph" w:customStyle="1" w:styleId="msonormal0">
    <w:name w:val="msonormal"/>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rsid w:val="00A83068"/>
  </w:style>
  <w:style w:type="character" w:customStyle="1" w:styleId="Nerijeenospominjanje">
    <w:name w:val="Neriješeno spominjanje"/>
    <w:uiPriority w:val="99"/>
    <w:semiHidden/>
    <w:unhideWhenUsed/>
    <w:rsid w:val="00A83068"/>
    <w:rPr>
      <w:color w:val="605E5C"/>
      <w:shd w:val="clear" w:color="auto" w:fill="E1DFDD"/>
    </w:rPr>
  </w:style>
  <w:style w:type="paragraph" w:customStyle="1" w:styleId="box473035">
    <w:name w:val="box_473035"/>
    <w:basedOn w:val="Normal"/>
    <w:rsid w:val="00A8306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77650">
    <w:name w:val="box_477650"/>
    <w:basedOn w:val="Normal"/>
    <w:rsid w:val="00941BD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80913">
    <w:name w:val="box_480913"/>
    <w:basedOn w:val="Normal"/>
    <w:rsid w:val="001428EC"/>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oj-normal">
    <w:name w:val="oj-normal"/>
    <w:basedOn w:val="Normal"/>
    <w:rsid w:val="00C82B1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DefaultParagraphFont"/>
    <w:rsid w:val="00FC79EA"/>
  </w:style>
  <w:style w:type="character" w:customStyle="1" w:styleId="eop">
    <w:name w:val="eop"/>
    <w:basedOn w:val="DefaultParagraphFont"/>
    <w:rsid w:val="00FC79EA"/>
  </w:style>
  <w:style w:type="paragraph" w:customStyle="1" w:styleId="paragraph">
    <w:name w:val="paragraph"/>
    <w:basedOn w:val="Normal"/>
    <w:rsid w:val="0083699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parag">
    <w:name w:val="no-parag"/>
    <w:basedOn w:val="DefaultParagraphFont"/>
    <w:rsid w:val="0018100D"/>
  </w:style>
  <w:style w:type="paragraph" w:customStyle="1" w:styleId="modref">
    <w:name w:val="modref"/>
    <w:basedOn w:val="Normal"/>
    <w:rsid w:val="0018100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orm">
    <w:name w:val="norm"/>
    <w:basedOn w:val="Normal"/>
    <w:rsid w:val="0018100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2C2E0D"/>
    <w:rPr>
      <w:b/>
      <w:bCs/>
    </w:rPr>
  </w:style>
  <w:style w:type="character" w:customStyle="1" w:styleId="CommentSubjectChar1">
    <w:name w:val="Comment Subject Char1"/>
    <w:basedOn w:val="CommentTextChar1"/>
    <w:link w:val="CommentSubject"/>
    <w:uiPriority w:val="99"/>
    <w:semiHidden/>
    <w:rsid w:val="002C2E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9037">
      <w:bodyDiv w:val="1"/>
      <w:marLeft w:val="0"/>
      <w:marRight w:val="0"/>
      <w:marTop w:val="0"/>
      <w:marBottom w:val="0"/>
      <w:divBdr>
        <w:top w:val="none" w:sz="0" w:space="0" w:color="auto"/>
        <w:left w:val="none" w:sz="0" w:space="0" w:color="auto"/>
        <w:bottom w:val="none" w:sz="0" w:space="0" w:color="auto"/>
        <w:right w:val="none" w:sz="0" w:space="0" w:color="auto"/>
      </w:divBdr>
    </w:div>
    <w:div w:id="17438759">
      <w:bodyDiv w:val="1"/>
      <w:marLeft w:val="0"/>
      <w:marRight w:val="0"/>
      <w:marTop w:val="0"/>
      <w:marBottom w:val="0"/>
      <w:divBdr>
        <w:top w:val="none" w:sz="0" w:space="0" w:color="auto"/>
        <w:left w:val="none" w:sz="0" w:space="0" w:color="auto"/>
        <w:bottom w:val="none" w:sz="0" w:space="0" w:color="auto"/>
        <w:right w:val="none" w:sz="0" w:space="0" w:color="auto"/>
      </w:divBdr>
      <w:divsChild>
        <w:div w:id="577904658">
          <w:marLeft w:val="0"/>
          <w:marRight w:val="0"/>
          <w:marTop w:val="0"/>
          <w:marBottom w:val="0"/>
          <w:divBdr>
            <w:top w:val="none" w:sz="0" w:space="0" w:color="auto"/>
            <w:left w:val="none" w:sz="0" w:space="0" w:color="auto"/>
            <w:bottom w:val="none" w:sz="0" w:space="0" w:color="auto"/>
            <w:right w:val="none" w:sz="0" w:space="0" w:color="auto"/>
          </w:divBdr>
        </w:div>
        <w:div w:id="1236889724">
          <w:marLeft w:val="0"/>
          <w:marRight w:val="0"/>
          <w:marTop w:val="0"/>
          <w:marBottom w:val="0"/>
          <w:divBdr>
            <w:top w:val="none" w:sz="0" w:space="0" w:color="auto"/>
            <w:left w:val="none" w:sz="0" w:space="0" w:color="auto"/>
            <w:bottom w:val="none" w:sz="0" w:space="0" w:color="auto"/>
            <w:right w:val="none" w:sz="0" w:space="0" w:color="auto"/>
          </w:divBdr>
        </w:div>
        <w:div w:id="1606304371">
          <w:marLeft w:val="0"/>
          <w:marRight w:val="0"/>
          <w:marTop w:val="0"/>
          <w:marBottom w:val="0"/>
          <w:divBdr>
            <w:top w:val="none" w:sz="0" w:space="0" w:color="auto"/>
            <w:left w:val="none" w:sz="0" w:space="0" w:color="auto"/>
            <w:bottom w:val="none" w:sz="0" w:space="0" w:color="auto"/>
            <w:right w:val="none" w:sz="0" w:space="0" w:color="auto"/>
          </w:divBdr>
        </w:div>
        <w:div w:id="1871794175">
          <w:marLeft w:val="0"/>
          <w:marRight w:val="0"/>
          <w:marTop w:val="0"/>
          <w:marBottom w:val="0"/>
          <w:divBdr>
            <w:top w:val="none" w:sz="0" w:space="0" w:color="auto"/>
            <w:left w:val="none" w:sz="0" w:space="0" w:color="auto"/>
            <w:bottom w:val="none" w:sz="0" w:space="0" w:color="auto"/>
            <w:right w:val="none" w:sz="0" w:space="0" w:color="auto"/>
          </w:divBdr>
        </w:div>
      </w:divsChild>
    </w:div>
    <w:div w:id="19743285">
      <w:bodyDiv w:val="1"/>
      <w:marLeft w:val="0"/>
      <w:marRight w:val="0"/>
      <w:marTop w:val="0"/>
      <w:marBottom w:val="0"/>
      <w:divBdr>
        <w:top w:val="none" w:sz="0" w:space="0" w:color="auto"/>
        <w:left w:val="none" w:sz="0" w:space="0" w:color="auto"/>
        <w:bottom w:val="none" w:sz="0" w:space="0" w:color="auto"/>
        <w:right w:val="none" w:sz="0" w:space="0" w:color="auto"/>
      </w:divBdr>
    </w:div>
    <w:div w:id="25446381">
      <w:bodyDiv w:val="1"/>
      <w:marLeft w:val="0"/>
      <w:marRight w:val="0"/>
      <w:marTop w:val="0"/>
      <w:marBottom w:val="0"/>
      <w:divBdr>
        <w:top w:val="none" w:sz="0" w:space="0" w:color="auto"/>
        <w:left w:val="none" w:sz="0" w:space="0" w:color="auto"/>
        <w:bottom w:val="none" w:sz="0" w:space="0" w:color="auto"/>
        <w:right w:val="none" w:sz="0" w:space="0" w:color="auto"/>
      </w:divBdr>
      <w:divsChild>
        <w:div w:id="1842500117">
          <w:marLeft w:val="0"/>
          <w:marRight w:val="0"/>
          <w:marTop w:val="0"/>
          <w:marBottom w:val="135"/>
          <w:divBdr>
            <w:top w:val="none" w:sz="0" w:space="0" w:color="auto"/>
            <w:left w:val="none" w:sz="0" w:space="0" w:color="auto"/>
            <w:bottom w:val="none" w:sz="0" w:space="0" w:color="auto"/>
            <w:right w:val="none" w:sz="0" w:space="0" w:color="auto"/>
          </w:divBdr>
          <w:divsChild>
            <w:div w:id="970093739">
              <w:marLeft w:val="0"/>
              <w:marRight w:val="0"/>
              <w:marTop w:val="0"/>
              <w:marBottom w:val="0"/>
              <w:divBdr>
                <w:top w:val="none" w:sz="0" w:space="0" w:color="auto"/>
                <w:left w:val="none" w:sz="0" w:space="0" w:color="auto"/>
                <w:bottom w:val="none" w:sz="0" w:space="0" w:color="auto"/>
                <w:right w:val="none" w:sz="0" w:space="0" w:color="auto"/>
              </w:divBdr>
              <w:divsChild>
                <w:div w:id="139404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4386">
          <w:marLeft w:val="0"/>
          <w:marRight w:val="0"/>
          <w:marTop w:val="0"/>
          <w:marBottom w:val="0"/>
          <w:divBdr>
            <w:top w:val="none" w:sz="0" w:space="0" w:color="auto"/>
            <w:left w:val="none" w:sz="0" w:space="0" w:color="auto"/>
            <w:bottom w:val="none" w:sz="0" w:space="0" w:color="auto"/>
            <w:right w:val="none" w:sz="0" w:space="0" w:color="auto"/>
          </w:divBdr>
          <w:divsChild>
            <w:div w:id="1587764956">
              <w:marLeft w:val="0"/>
              <w:marRight w:val="0"/>
              <w:marTop w:val="0"/>
              <w:marBottom w:val="0"/>
              <w:divBdr>
                <w:top w:val="none" w:sz="0" w:space="0" w:color="auto"/>
                <w:left w:val="none" w:sz="0" w:space="0" w:color="auto"/>
                <w:bottom w:val="none" w:sz="0" w:space="0" w:color="auto"/>
                <w:right w:val="none" w:sz="0" w:space="0" w:color="auto"/>
              </w:divBdr>
              <w:divsChild>
                <w:div w:id="1048797019">
                  <w:marLeft w:val="0"/>
                  <w:marRight w:val="0"/>
                  <w:marTop w:val="0"/>
                  <w:marBottom w:val="60"/>
                  <w:divBdr>
                    <w:top w:val="none" w:sz="0" w:space="0" w:color="auto"/>
                    <w:left w:val="none" w:sz="0" w:space="0" w:color="auto"/>
                    <w:bottom w:val="none" w:sz="0" w:space="0" w:color="auto"/>
                    <w:right w:val="none" w:sz="0" w:space="0" w:color="auto"/>
                  </w:divBdr>
                  <w:divsChild>
                    <w:div w:id="1946762786">
                      <w:marLeft w:val="0"/>
                      <w:marRight w:val="0"/>
                      <w:marTop w:val="0"/>
                      <w:marBottom w:val="0"/>
                      <w:divBdr>
                        <w:top w:val="none" w:sz="0" w:space="0" w:color="auto"/>
                        <w:left w:val="none" w:sz="0" w:space="0" w:color="auto"/>
                        <w:bottom w:val="none" w:sz="0" w:space="0" w:color="auto"/>
                        <w:right w:val="none" w:sz="0" w:space="0" w:color="auto"/>
                      </w:divBdr>
                      <w:divsChild>
                        <w:div w:id="524711167">
                          <w:marLeft w:val="0"/>
                          <w:marRight w:val="0"/>
                          <w:marTop w:val="0"/>
                          <w:marBottom w:val="0"/>
                          <w:divBdr>
                            <w:top w:val="none" w:sz="0" w:space="0" w:color="auto"/>
                            <w:left w:val="none" w:sz="0" w:space="0" w:color="auto"/>
                            <w:bottom w:val="none" w:sz="0" w:space="0" w:color="auto"/>
                            <w:right w:val="none" w:sz="0" w:space="0" w:color="auto"/>
                          </w:divBdr>
                          <w:divsChild>
                            <w:div w:id="1484005476">
                              <w:marLeft w:val="0"/>
                              <w:marRight w:val="0"/>
                              <w:marTop w:val="0"/>
                              <w:marBottom w:val="30"/>
                              <w:divBdr>
                                <w:top w:val="none" w:sz="0" w:space="0" w:color="auto"/>
                                <w:left w:val="none" w:sz="0" w:space="0" w:color="auto"/>
                                <w:bottom w:val="none" w:sz="0" w:space="0" w:color="auto"/>
                                <w:right w:val="none" w:sz="0" w:space="0" w:color="auto"/>
                              </w:divBdr>
                              <w:divsChild>
                                <w:div w:id="1727877231">
                                  <w:marLeft w:val="0"/>
                                  <w:marRight w:val="0"/>
                                  <w:marTop w:val="0"/>
                                  <w:marBottom w:val="0"/>
                                  <w:divBdr>
                                    <w:top w:val="none" w:sz="0" w:space="0" w:color="auto"/>
                                    <w:left w:val="none" w:sz="0" w:space="0" w:color="auto"/>
                                    <w:bottom w:val="none" w:sz="0" w:space="0" w:color="auto"/>
                                    <w:right w:val="none" w:sz="0" w:space="0" w:color="auto"/>
                                  </w:divBdr>
                                  <w:divsChild>
                                    <w:div w:id="365330367">
                                      <w:marLeft w:val="0"/>
                                      <w:marRight w:val="0"/>
                                      <w:marTop w:val="0"/>
                                      <w:marBottom w:val="0"/>
                                      <w:divBdr>
                                        <w:top w:val="none" w:sz="0" w:space="0" w:color="auto"/>
                                        <w:left w:val="none" w:sz="0" w:space="0" w:color="auto"/>
                                        <w:bottom w:val="none" w:sz="0" w:space="0" w:color="auto"/>
                                        <w:right w:val="none" w:sz="0" w:space="0" w:color="auto"/>
                                      </w:divBdr>
                                      <w:divsChild>
                                        <w:div w:id="1137381418">
                                          <w:marLeft w:val="0"/>
                                          <w:marRight w:val="0"/>
                                          <w:marTop w:val="0"/>
                                          <w:marBottom w:val="0"/>
                                          <w:divBdr>
                                            <w:top w:val="none" w:sz="0" w:space="0" w:color="auto"/>
                                            <w:left w:val="none" w:sz="0" w:space="0" w:color="auto"/>
                                            <w:bottom w:val="none" w:sz="0" w:space="0" w:color="auto"/>
                                            <w:right w:val="none" w:sz="0" w:space="0" w:color="auto"/>
                                          </w:divBdr>
                                          <w:divsChild>
                                            <w:div w:id="211773229">
                                              <w:marLeft w:val="0"/>
                                              <w:marRight w:val="0"/>
                                              <w:marTop w:val="0"/>
                                              <w:marBottom w:val="0"/>
                                              <w:divBdr>
                                                <w:top w:val="none" w:sz="0" w:space="0" w:color="auto"/>
                                                <w:left w:val="none" w:sz="0" w:space="0" w:color="auto"/>
                                                <w:bottom w:val="none" w:sz="0" w:space="0" w:color="auto"/>
                                                <w:right w:val="none" w:sz="0" w:space="0" w:color="auto"/>
                                              </w:divBdr>
                                              <w:divsChild>
                                                <w:div w:id="2060125695">
                                                  <w:marLeft w:val="0"/>
                                                  <w:marRight w:val="0"/>
                                                  <w:marTop w:val="0"/>
                                                  <w:marBottom w:val="0"/>
                                                  <w:divBdr>
                                                    <w:top w:val="none" w:sz="0" w:space="0" w:color="auto"/>
                                                    <w:left w:val="none" w:sz="0" w:space="0" w:color="auto"/>
                                                    <w:bottom w:val="none" w:sz="0" w:space="0" w:color="auto"/>
                                                    <w:right w:val="none" w:sz="0" w:space="0" w:color="auto"/>
                                                  </w:divBdr>
                                                  <w:divsChild>
                                                    <w:div w:id="1966424505">
                                                      <w:marLeft w:val="0"/>
                                                      <w:marRight w:val="0"/>
                                                      <w:marTop w:val="0"/>
                                                      <w:marBottom w:val="75"/>
                                                      <w:divBdr>
                                                        <w:top w:val="none" w:sz="0" w:space="0" w:color="auto"/>
                                                        <w:left w:val="none" w:sz="0" w:space="0" w:color="auto"/>
                                                        <w:bottom w:val="none" w:sz="0" w:space="0" w:color="auto"/>
                                                        <w:right w:val="none" w:sz="0" w:space="0" w:color="auto"/>
                                                      </w:divBdr>
                                                      <w:divsChild>
                                                        <w:div w:id="29669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484518">
                                          <w:marLeft w:val="0"/>
                                          <w:marRight w:val="0"/>
                                          <w:marTop w:val="0"/>
                                          <w:marBottom w:val="0"/>
                                          <w:divBdr>
                                            <w:top w:val="none" w:sz="0" w:space="0" w:color="auto"/>
                                            <w:left w:val="none" w:sz="0" w:space="0" w:color="auto"/>
                                            <w:bottom w:val="none" w:sz="0" w:space="0" w:color="auto"/>
                                            <w:right w:val="none" w:sz="0" w:space="0" w:color="auto"/>
                                          </w:divBdr>
                                          <w:divsChild>
                                            <w:div w:id="1036389313">
                                              <w:marLeft w:val="0"/>
                                              <w:marRight w:val="0"/>
                                              <w:marTop w:val="0"/>
                                              <w:marBottom w:val="0"/>
                                              <w:divBdr>
                                                <w:top w:val="none" w:sz="0" w:space="0" w:color="auto"/>
                                                <w:left w:val="none" w:sz="0" w:space="0" w:color="auto"/>
                                                <w:bottom w:val="none" w:sz="0" w:space="0" w:color="auto"/>
                                                <w:right w:val="none" w:sz="0" w:space="0" w:color="auto"/>
                                              </w:divBdr>
                                              <w:divsChild>
                                                <w:div w:id="56100779">
                                                  <w:marLeft w:val="0"/>
                                                  <w:marRight w:val="0"/>
                                                  <w:marTop w:val="0"/>
                                                  <w:marBottom w:val="0"/>
                                                  <w:divBdr>
                                                    <w:top w:val="none" w:sz="0" w:space="0" w:color="auto"/>
                                                    <w:left w:val="none" w:sz="0" w:space="0" w:color="auto"/>
                                                    <w:bottom w:val="none" w:sz="0" w:space="0" w:color="auto"/>
                                                    <w:right w:val="none" w:sz="0" w:space="0" w:color="auto"/>
                                                  </w:divBdr>
                                                  <w:divsChild>
                                                    <w:div w:id="992223358">
                                                      <w:marLeft w:val="0"/>
                                                      <w:marRight w:val="0"/>
                                                      <w:marTop w:val="0"/>
                                                      <w:marBottom w:val="0"/>
                                                      <w:divBdr>
                                                        <w:top w:val="none" w:sz="0" w:space="0" w:color="auto"/>
                                                        <w:left w:val="none" w:sz="0" w:space="0" w:color="auto"/>
                                                        <w:bottom w:val="none" w:sz="0" w:space="0" w:color="auto"/>
                                                        <w:right w:val="none" w:sz="0" w:space="0" w:color="auto"/>
                                                      </w:divBdr>
                                                    </w:div>
                                                  </w:divsChild>
                                                </w:div>
                                                <w:div w:id="1522086880">
                                                  <w:marLeft w:val="0"/>
                                                  <w:marRight w:val="0"/>
                                                  <w:marTop w:val="0"/>
                                                  <w:marBottom w:val="0"/>
                                                  <w:divBdr>
                                                    <w:top w:val="none" w:sz="0" w:space="0" w:color="auto"/>
                                                    <w:left w:val="none" w:sz="0" w:space="0" w:color="auto"/>
                                                    <w:bottom w:val="none" w:sz="0" w:space="0" w:color="auto"/>
                                                    <w:right w:val="none" w:sz="0" w:space="0" w:color="auto"/>
                                                  </w:divBdr>
                                                  <w:divsChild>
                                                    <w:div w:id="571768469">
                                                      <w:marLeft w:val="0"/>
                                                      <w:marRight w:val="0"/>
                                                      <w:marTop w:val="0"/>
                                                      <w:marBottom w:val="0"/>
                                                      <w:divBdr>
                                                        <w:top w:val="none" w:sz="0" w:space="0" w:color="auto"/>
                                                        <w:left w:val="none" w:sz="0" w:space="0" w:color="auto"/>
                                                        <w:bottom w:val="none" w:sz="0" w:space="0" w:color="auto"/>
                                                        <w:right w:val="none" w:sz="0" w:space="0" w:color="auto"/>
                                                      </w:divBdr>
                                                      <w:divsChild>
                                                        <w:div w:id="763035742">
                                                          <w:marLeft w:val="0"/>
                                                          <w:marRight w:val="0"/>
                                                          <w:marTop w:val="0"/>
                                                          <w:marBottom w:val="0"/>
                                                          <w:divBdr>
                                                            <w:top w:val="none" w:sz="0" w:space="0" w:color="auto"/>
                                                            <w:left w:val="none" w:sz="0" w:space="0" w:color="auto"/>
                                                            <w:bottom w:val="none" w:sz="0" w:space="0" w:color="auto"/>
                                                            <w:right w:val="none" w:sz="0" w:space="0" w:color="auto"/>
                                                          </w:divBdr>
                                                          <w:divsChild>
                                                            <w:div w:id="833567132">
                                                              <w:marLeft w:val="0"/>
                                                              <w:marRight w:val="0"/>
                                                              <w:marTop w:val="0"/>
                                                              <w:marBottom w:val="0"/>
                                                              <w:divBdr>
                                                                <w:top w:val="none" w:sz="0" w:space="0" w:color="auto"/>
                                                                <w:left w:val="none" w:sz="0" w:space="0" w:color="auto"/>
                                                                <w:bottom w:val="none" w:sz="0" w:space="0" w:color="auto"/>
                                                                <w:right w:val="none" w:sz="0" w:space="0" w:color="auto"/>
                                                              </w:divBdr>
                                                              <w:divsChild>
                                                                <w:div w:id="1321886581">
                                                                  <w:marLeft w:val="0"/>
                                                                  <w:marRight w:val="0"/>
                                                                  <w:marTop w:val="0"/>
                                                                  <w:marBottom w:val="0"/>
                                                                  <w:divBdr>
                                                                    <w:top w:val="none" w:sz="0" w:space="0" w:color="auto"/>
                                                                    <w:left w:val="none" w:sz="0" w:space="0" w:color="auto"/>
                                                                    <w:bottom w:val="none" w:sz="0" w:space="0" w:color="auto"/>
                                                                    <w:right w:val="none" w:sz="0" w:space="0" w:color="auto"/>
                                                                  </w:divBdr>
                                                                  <w:divsChild>
                                                                    <w:div w:id="596912236">
                                                                      <w:marLeft w:val="0"/>
                                                                      <w:marRight w:val="0"/>
                                                                      <w:marTop w:val="0"/>
                                                                      <w:marBottom w:val="0"/>
                                                                      <w:divBdr>
                                                                        <w:top w:val="none" w:sz="0" w:space="0" w:color="auto"/>
                                                                        <w:left w:val="none" w:sz="0" w:space="0" w:color="auto"/>
                                                                        <w:bottom w:val="none" w:sz="0" w:space="0" w:color="auto"/>
                                                                        <w:right w:val="none" w:sz="0" w:space="0" w:color="auto"/>
                                                                      </w:divBdr>
                                                                      <w:divsChild>
                                                                        <w:div w:id="1126391665">
                                                                          <w:marLeft w:val="0"/>
                                                                          <w:marRight w:val="0"/>
                                                                          <w:marTop w:val="0"/>
                                                                          <w:marBottom w:val="0"/>
                                                                          <w:divBdr>
                                                                            <w:top w:val="none" w:sz="0" w:space="0" w:color="auto"/>
                                                                            <w:left w:val="none" w:sz="0" w:space="0" w:color="auto"/>
                                                                            <w:bottom w:val="none" w:sz="0" w:space="0" w:color="auto"/>
                                                                            <w:right w:val="none" w:sz="0" w:space="0" w:color="auto"/>
                                                                          </w:divBdr>
                                                                          <w:divsChild>
                                                                            <w:div w:id="750276576">
                                                                              <w:marLeft w:val="0"/>
                                                                              <w:marRight w:val="0"/>
                                                                              <w:marTop w:val="0"/>
                                                                              <w:marBottom w:val="0"/>
                                                                              <w:divBdr>
                                                                                <w:top w:val="none" w:sz="0" w:space="0" w:color="auto"/>
                                                                                <w:left w:val="none" w:sz="0" w:space="0" w:color="auto"/>
                                                                                <w:bottom w:val="none" w:sz="0" w:space="0" w:color="auto"/>
                                                                                <w:right w:val="none" w:sz="0" w:space="0" w:color="auto"/>
                                                                              </w:divBdr>
                                                                            </w:div>
                                                                            <w:div w:id="1594238691">
                                                                              <w:marLeft w:val="0"/>
                                                                              <w:marRight w:val="0"/>
                                                                              <w:marTop w:val="0"/>
                                                                              <w:marBottom w:val="0"/>
                                                                              <w:divBdr>
                                                                                <w:top w:val="none" w:sz="0" w:space="0" w:color="auto"/>
                                                                                <w:left w:val="none" w:sz="0" w:space="0" w:color="auto"/>
                                                                                <w:bottom w:val="none" w:sz="0" w:space="0" w:color="auto"/>
                                                                                <w:right w:val="none" w:sz="0" w:space="0" w:color="auto"/>
                                                                              </w:divBdr>
                                                                            </w:div>
                                                                            <w:div w:id="1889564598">
                                                                              <w:marLeft w:val="0"/>
                                                                              <w:marRight w:val="0"/>
                                                                              <w:marTop w:val="0"/>
                                                                              <w:marBottom w:val="0"/>
                                                                              <w:divBdr>
                                                                                <w:top w:val="none" w:sz="0" w:space="0" w:color="auto"/>
                                                                                <w:left w:val="none" w:sz="0" w:space="0" w:color="auto"/>
                                                                                <w:bottom w:val="none" w:sz="0" w:space="0" w:color="auto"/>
                                                                                <w:right w:val="none" w:sz="0" w:space="0" w:color="auto"/>
                                                                              </w:divBdr>
                                                                            </w:div>
                                                                            <w:div w:id="760183630">
                                                                              <w:marLeft w:val="0"/>
                                                                              <w:marRight w:val="0"/>
                                                                              <w:marTop w:val="0"/>
                                                                              <w:marBottom w:val="0"/>
                                                                              <w:divBdr>
                                                                                <w:top w:val="none" w:sz="0" w:space="0" w:color="auto"/>
                                                                                <w:left w:val="none" w:sz="0" w:space="0" w:color="auto"/>
                                                                                <w:bottom w:val="none" w:sz="0" w:space="0" w:color="auto"/>
                                                                                <w:right w:val="none" w:sz="0" w:space="0" w:color="auto"/>
                                                                              </w:divBdr>
                                                                            </w:div>
                                                                            <w:div w:id="73934433">
                                                                              <w:marLeft w:val="0"/>
                                                                              <w:marRight w:val="0"/>
                                                                              <w:marTop w:val="0"/>
                                                                              <w:marBottom w:val="0"/>
                                                                              <w:divBdr>
                                                                                <w:top w:val="none" w:sz="0" w:space="0" w:color="auto"/>
                                                                                <w:left w:val="none" w:sz="0" w:space="0" w:color="auto"/>
                                                                                <w:bottom w:val="none" w:sz="0" w:space="0" w:color="auto"/>
                                                                                <w:right w:val="none" w:sz="0" w:space="0" w:color="auto"/>
                                                                              </w:divBdr>
                                                                            </w:div>
                                                                            <w:div w:id="19115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33549110">
                  <w:marLeft w:val="0"/>
                  <w:marRight w:val="0"/>
                  <w:marTop w:val="60"/>
                  <w:marBottom w:val="0"/>
                  <w:divBdr>
                    <w:top w:val="none" w:sz="0" w:space="0" w:color="auto"/>
                    <w:left w:val="none" w:sz="0" w:space="0" w:color="auto"/>
                    <w:bottom w:val="none" w:sz="0" w:space="0" w:color="auto"/>
                    <w:right w:val="none" w:sz="0" w:space="0" w:color="auto"/>
                  </w:divBdr>
                  <w:divsChild>
                    <w:div w:id="1492521480">
                      <w:marLeft w:val="0"/>
                      <w:marRight w:val="0"/>
                      <w:marTop w:val="0"/>
                      <w:marBottom w:val="0"/>
                      <w:divBdr>
                        <w:top w:val="none" w:sz="0" w:space="0" w:color="auto"/>
                        <w:left w:val="none" w:sz="0" w:space="0" w:color="auto"/>
                        <w:bottom w:val="none" w:sz="0" w:space="0" w:color="auto"/>
                        <w:right w:val="none" w:sz="0" w:space="0" w:color="auto"/>
                      </w:divBdr>
                      <w:divsChild>
                        <w:div w:id="1510366243">
                          <w:marLeft w:val="0"/>
                          <w:marRight w:val="0"/>
                          <w:marTop w:val="0"/>
                          <w:marBottom w:val="0"/>
                          <w:divBdr>
                            <w:top w:val="none" w:sz="0" w:space="0" w:color="auto"/>
                            <w:left w:val="none" w:sz="0" w:space="0" w:color="auto"/>
                            <w:bottom w:val="none" w:sz="0" w:space="0" w:color="auto"/>
                            <w:right w:val="none" w:sz="0" w:space="0" w:color="auto"/>
                          </w:divBdr>
                          <w:divsChild>
                            <w:div w:id="1375735144">
                              <w:marLeft w:val="0"/>
                              <w:marRight w:val="0"/>
                              <w:marTop w:val="0"/>
                              <w:marBottom w:val="0"/>
                              <w:divBdr>
                                <w:top w:val="none" w:sz="0" w:space="0" w:color="auto"/>
                                <w:left w:val="none" w:sz="0" w:space="0" w:color="auto"/>
                                <w:bottom w:val="none" w:sz="0" w:space="0" w:color="auto"/>
                                <w:right w:val="none" w:sz="0" w:space="0" w:color="auto"/>
                              </w:divBdr>
                              <w:divsChild>
                                <w:div w:id="1478455753">
                                  <w:marLeft w:val="0"/>
                                  <w:marRight w:val="0"/>
                                  <w:marTop w:val="0"/>
                                  <w:marBottom w:val="0"/>
                                  <w:divBdr>
                                    <w:top w:val="none" w:sz="0" w:space="0" w:color="auto"/>
                                    <w:left w:val="none" w:sz="0" w:space="0" w:color="auto"/>
                                    <w:bottom w:val="none" w:sz="0" w:space="0" w:color="auto"/>
                                    <w:right w:val="none" w:sz="0" w:space="0" w:color="auto"/>
                                  </w:divBdr>
                                  <w:divsChild>
                                    <w:div w:id="209609660">
                                      <w:marLeft w:val="0"/>
                                      <w:marRight w:val="0"/>
                                      <w:marTop w:val="0"/>
                                      <w:marBottom w:val="0"/>
                                      <w:divBdr>
                                        <w:top w:val="none" w:sz="0" w:space="0" w:color="auto"/>
                                        <w:left w:val="none" w:sz="0" w:space="0" w:color="auto"/>
                                        <w:bottom w:val="none" w:sz="0" w:space="0" w:color="auto"/>
                                        <w:right w:val="none" w:sz="0" w:space="0" w:color="auto"/>
                                      </w:divBdr>
                                      <w:divsChild>
                                        <w:div w:id="995450353">
                                          <w:marLeft w:val="0"/>
                                          <w:marRight w:val="0"/>
                                          <w:marTop w:val="0"/>
                                          <w:marBottom w:val="0"/>
                                          <w:divBdr>
                                            <w:top w:val="none" w:sz="0" w:space="0" w:color="auto"/>
                                            <w:left w:val="none" w:sz="0" w:space="0" w:color="auto"/>
                                            <w:bottom w:val="none" w:sz="0" w:space="0" w:color="auto"/>
                                            <w:right w:val="none" w:sz="0" w:space="0" w:color="auto"/>
                                          </w:divBdr>
                                          <w:divsChild>
                                            <w:div w:id="2099936630">
                                              <w:marLeft w:val="0"/>
                                              <w:marRight w:val="0"/>
                                              <w:marTop w:val="0"/>
                                              <w:marBottom w:val="0"/>
                                              <w:divBdr>
                                                <w:top w:val="none" w:sz="0" w:space="0" w:color="auto"/>
                                                <w:left w:val="none" w:sz="0" w:space="0" w:color="auto"/>
                                                <w:bottom w:val="none" w:sz="0" w:space="0" w:color="auto"/>
                                                <w:right w:val="none" w:sz="0" w:space="0" w:color="auto"/>
                                              </w:divBdr>
                                              <w:divsChild>
                                                <w:div w:id="1233278832">
                                                  <w:marLeft w:val="0"/>
                                                  <w:marRight w:val="0"/>
                                                  <w:marTop w:val="0"/>
                                                  <w:marBottom w:val="0"/>
                                                  <w:divBdr>
                                                    <w:top w:val="none" w:sz="0" w:space="0" w:color="auto"/>
                                                    <w:left w:val="none" w:sz="0" w:space="0" w:color="auto"/>
                                                    <w:bottom w:val="none" w:sz="0" w:space="0" w:color="auto"/>
                                                    <w:right w:val="none" w:sz="0" w:space="0" w:color="auto"/>
                                                  </w:divBdr>
                                                </w:div>
                                                <w:div w:id="1913270510">
                                                  <w:marLeft w:val="0"/>
                                                  <w:marRight w:val="0"/>
                                                  <w:marTop w:val="0"/>
                                                  <w:marBottom w:val="0"/>
                                                  <w:divBdr>
                                                    <w:top w:val="none" w:sz="0" w:space="0" w:color="auto"/>
                                                    <w:left w:val="none" w:sz="0" w:space="0" w:color="auto"/>
                                                    <w:bottom w:val="none" w:sz="0" w:space="0" w:color="auto"/>
                                                    <w:right w:val="none" w:sz="0" w:space="0" w:color="auto"/>
                                                  </w:divBdr>
                                                  <w:divsChild>
                                                    <w:div w:id="150147767">
                                                      <w:marLeft w:val="0"/>
                                                      <w:marRight w:val="0"/>
                                                      <w:marTop w:val="0"/>
                                                      <w:marBottom w:val="0"/>
                                                      <w:divBdr>
                                                        <w:top w:val="none" w:sz="0" w:space="0" w:color="auto"/>
                                                        <w:left w:val="none" w:sz="0" w:space="0" w:color="auto"/>
                                                        <w:bottom w:val="none" w:sz="0" w:space="0" w:color="auto"/>
                                                        <w:right w:val="none" w:sz="0" w:space="0" w:color="auto"/>
                                                      </w:divBdr>
                                                    </w:div>
                                                  </w:divsChild>
                                                </w:div>
                                                <w:div w:id="1120685849">
                                                  <w:marLeft w:val="0"/>
                                                  <w:marRight w:val="0"/>
                                                  <w:marTop w:val="0"/>
                                                  <w:marBottom w:val="0"/>
                                                  <w:divBdr>
                                                    <w:top w:val="none" w:sz="0" w:space="0" w:color="auto"/>
                                                    <w:left w:val="none" w:sz="0" w:space="0" w:color="auto"/>
                                                    <w:bottom w:val="none" w:sz="0" w:space="0" w:color="auto"/>
                                                    <w:right w:val="none" w:sz="0" w:space="0" w:color="auto"/>
                                                  </w:divBdr>
                                                </w:div>
                                                <w:div w:id="1812402387">
                                                  <w:marLeft w:val="0"/>
                                                  <w:marRight w:val="0"/>
                                                  <w:marTop w:val="0"/>
                                                  <w:marBottom w:val="0"/>
                                                  <w:divBdr>
                                                    <w:top w:val="none" w:sz="0" w:space="0" w:color="auto"/>
                                                    <w:left w:val="none" w:sz="0" w:space="0" w:color="auto"/>
                                                    <w:bottom w:val="none" w:sz="0" w:space="0" w:color="auto"/>
                                                    <w:right w:val="none" w:sz="0" w:space="0" w:color="auto"/>
                                                  </w:divBdr>
                                                  <w:divsChild>
                                                    <w:div w:id="352849380">
                                                      <w:marLeft w:val="0"/>
                                                      <w:marRight w:val="0"/>
                                                      <w:marTop w:val="0"/>
                                                      <w:marBottom w:val="0"/>
                                                      <w:divBdr>
                                                        <w:top w:val="none" w:sz="0" w:space="0" w:color="auto"/>
                                                        <w:left w:val="none" w:sz="0" w:space="0" w:color="auto"/>
                                                        <w:bottom w:val="none" w:sz="0" w:space="0" w:color="auto"/>
                                                        <w:right w:val="none" w:sz="0" w:space="0" w:color="auto"/>
                                                      </w:divBdr>
                                                    </w:div>
                                                  </w:divsChild>
                                                </w:div>
                                                <w:div w:id="157773141">
                                                  <w:marLeft w:val="0"/>
                                                  <w:marRight w:val="0"/>
                                                  <w:marTop w:val="0"/>
                                                  <w:marBottom w:val="0"/>
                                                  <w:divBdr>
                                                    <w:top w:val="none" w:sz="0" w:space="0" w:color="auto"/>
                                                    <w:left w:val="none" w:sz="0" w:space="0" w:color="auto"/>
                                                    <w:bottom w:val="none" w:sz="0" w:space="0" w:color="auto"/>
                                                    <w:right w:val="none" w:sz="0" w:space="0" w:color="auto"/>
                                                  </w:divBdr>
                                                  <w:divsChild>
                                                    <w:div w:id="1815561617">
                                                      <w:marLeft w:val="0"/>
                                                      <w:marRight w:val="0"/>
                                                      <w:marTop w:val="0"/>
                                                      <w:marBottom w:val="0"/>
                                                      <w:divBdr>
                                                        <w:top w:val="none" w:sz="0" w:space="0" w:color="auto"/>
                                                        <w:left w:val="none" w:sz="0" w:space="0" w:color="auto"/>
                                                        <w:bottom w:val="none" w:sz="0" w:space="0" w:color="auto"/>
                                                        <w:right w:val="none" w:sz="0" w:space="0" w:color="auto"/>
                                                      </w:divBdr>
                                                    </w:div>
                                                    <w:div w:id="2051034865">
                                                      <w:marLeft w:val="0"/>
                                                      <w:marRight w:val="0"/>
                                                      <w:marTop w:val="0"/>
                                                      <w:marBottom w:val="0"/>
                                                      <w:divBdr>
                                                        <w:top w:val="none" w:sz="0" w:space="0" w:color="auto"/>
                                                        <w:left w:val="none" w:sz="0" w:space="0" w:color="auto"/>
                                                        <w:bottom w:val="none" w:sz="0" w:space="0" w:color="auto"/>
                                                        <w:right w:val="none" w:sz="0" w:space="0" w:color="auto"/>
                                                      </w:divBdr>
                                                      <w:divsChild>
                                                        <w:div w:id="1621759117">
                                                          <w:marLeft w:val="0"/>
                                                          <w:marRight w:val="0"/>
                                                          <w:marTop w:val="0"/>
                                                          <w:marBottom w:val="0"/>
                                                          <w:divBdr>
                                                            <w:top w:val="none" w:sz="0" w:space="0" w:color="auto"/>
                                                            <w:left w:val="none" w:sz="0" w:space="0" w:color="auto"/>
                                                            <w:bottom w:val="none" w:sz="0" w:space="0" w:color="auto"/>
                                                            <w:right w:val="none" w:sz="0" w:space="0" w:color="auto"/>
                                                          </w:divBdr>
                                                          <w:divsChild>
                                                            <w:div w:id="174195945">
                                                              <w:marLeft w:val="0"/>
                                                              <w:marRight w:val="0"/>
                                                              <w:marTop w:val="0"/>
                                                              <w:marBottom w:val="0"/>
                                                              <w:divBdr>
                                                                <w:top w:val="none" w:sz="0" w:space="0" w:color="auto"/>
                                                                <w:left w:val="none" w:sz="0" w:space="0" w:color="auto"/>
                                                                <w:bottom w:val="none" w:sz="0" w:space="0" w:color="auto"/>
                                                                <w:right w:val="none" w:sz="0" w:space="0" w:color="auto"/>
                                                              </w:divBdr>
                                                            </w:div>
                                                            <w:div w:id="1518039180">
                                                              <w:marLeft w:val="0"/>
                                                              <w:marRight w:val="0"/>
                                                              <w:marTop w:val="0"/>
                                                              <w:marBottom w:val="0"/>
                                                              <w:divBdr>
                                                                <w:top w:val="none" w:sz="0" w:space="0" w:color="auto"/>
                                                                <w:left w:val="none" w:sz="0" w:space="0" w:color="auto"/>
                                                                <w:bottom w:val="none" w:sz="0" w:space="0" w:color="auto"/>
                                                                <w:right w:val="none" w:sz="0" w:space="0" w:color="auto"/>
                                                              </w:divBdr>
                                                              <w:divsChild>
                                                                <w:div w:id="747071814">
                                                                  <w:marLeft w:val="0"/>
                                                                  <w:marRight w:val="0"/>
                                                                  <w:marTop w:val="0"/>
                                                                  <w:marBottom w:val="0"/>
                                                                  <w:divBdr>
                                                                    <w:top w:val="none" w:sz="0" w:space="0" w:color="auto"/>
                                                                    <w:left w:val="none" w:sz="0" w:space="0" w:color="auto"/>
                                                                    <w:bottom w:val="none" w:sz="0" w:space="0" w:color="auto"/>
                                                                    <w:right w:val="none" w:sz="0" w:space="0" w:color="auto"/>
                                                                  </w:divBdr>
                                                                  <w:divsChild>
                                                                    <w:div w:id="1478498827">
                                                                      <w:marLeft w:val="0"/>
                                                                      <w:marRight w:val="0"/>
                                                                      <w:marTop w:val="0"/>
                                                                      <w:marBottom w:val="0"/>
                                                                      <w:divBdr>
                                                                        <w:top w:val="none" w:sz="0" w:space="0" w:color="auto"/>
                                                                        <w:left w:val="none" w:sz="0" w:space="0" w:color="auto"/>
                                                                        <w:bottom w:val="none" w:sz="0" w:space="0" w:color="auto"/>
                                                                        <w:right w:val="none" w:sz="0" w:space="0" w:color="auto"/>
                                                                      </w:divBdr>
                                                                      <w:divsChild>
                                                                        <w:div w:id="199610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856262">
      <w:bodyDiv w:val="1"/>
      <w:marLeft w:val="0"/>
      <w:marRight w:val="0"/>
      <w:marTop w:val="0"/>
      <w:marBottom w:val="0"/>
      <w:divBdr>
        <w:top w:val="none" w:sz="0" w:space="0" w:color="auto"/>
        <w:left w:val="none" w:sz="0" w:space="0" w:color="auto"/>
        <w:bottom w:val="none" w:sz="0" w:space="0" w:color="auto"/>
        <w:right w:val="none" w:sz="0" w:space="0" w:color="auto"/>
      </w:divBdr>
    </w:div>
    <w:div w:id="56829386">
      <w:bodyDiv w:val="1"/>
      <w:marLeft w:val="0"/>
      <w:marRight w:val="0"/>
      <w:marTop w:val="0"/>
      <w:marBottom w:val="0"/>
      <w:divBdr>
        <w:top w:val="none" w:sz="0" w:space="0" w:color="auto"/>
        <w:left w:val="none" w:sz="0" w:space="0" w:color="auto"/>
        <w:bottom w:val="none" w:sz="0" w:space="0" w:color="auto"/>
        <w:right w:val="none" w:sz="0" w:space="0" w:color="auto"/>
      </w:divBdr>
      <w:divsChild>
        <w:div w:id="937298869">
          <w:marLeft w:val="-225"/>
          <w:marRight w:val="-225"/>
          <w:marTop w:val="0"/>
          <w:marBottom w:val="0"/>
          <w:divBdr>
            <w:top w:val="none" w:sz="0" w:space="0" w:color="auto"/>
            <w:left w:val="none" w:sz="0" w:space="0" w:color="auto"/>
            <w:bottom w:val="none" w:sz="0" w:space="0" w:color="auto"/>
            <w:right w:val="none" w:sz="0" w:space="0" w:color="auto"/>
          </w:divBdr>
        </w:div>
        <w:div w:id="1006055781">
          <w:marLeft w:val="-225"/>
          <w:marRight w:val="-225"/>
          <w:marTop w:val="0"/>
          <w:marBottom w:val="0"/>
          <w:divBdr>
            <w:top w:val="none" w:sz="0" w:space="0" w:color="auto"/>
            <w:left w:val="none" w:sz="0" w:space="0" w:color="auto"/>
            <w:bottom w:val="none" w:sz="0" w:space="0" w:color="auto"/>
            <w:right w:val="none" w:sz="0" w:space="0" w:color="auto"/>
          </w:divBdr>
        </w:div>
        <w:div w:id="122427341">
          <w:marLeft w:val="-225"/>
          <w:marRight w:val="-225"/>
          <w:marTop w:val="0"/>
          <w:marBottom w:val="0"/>
          <w:divBdr>
            <w:top w:val="none" w:sz="0" w:space="0" w:color="auto"/>
            <w:left w:val="none" w:sz="0" w:space="0" w:color="auto"/>
            <w:bottom w:val="none" w:sz="0" w:space="0" w:color="auto"/>
            <w:right w:val="none" w:sz="0" w:space="0" w:color="auto"/>
          </w:divBdr>
        </w:div>
        <w:div w:id="413401903">
          <w:marLeft w:val="-225"/>
          <w:marRight w:val="-225"/>
          <w:marTop w:val="0"/>
          <w:marBottom w:val="0"/>
          <w:divBdr>
            <w:top w:val="none" w:sz="0" w:space="0" w:color="auto"/>
            <w:left w:val="none" w:sz="0" w:space="0" w:color="auto"/>
            <w:bottom w:val="none" w:sz="0" w:space="0" w:color="auto"/>
            <w:right w:val="none" w:sz="0" w:space="0" w:color="auto"/>
          </w:divBdr>
        </w:div>
        <w:div w:id="529300509">
          <w:marLeft w:val="-225"/>
          <w:marRight w:val="-225"/>
          <w:marTop w:val="0"/>
          <w:marBottom w:val="0"/>
          <w:divBdr>
            <w:top w:val="none" w:sz="0" w:space="0" w:color="auto"/>
            <w:left w:val="none" w:sz="0" w:space="0" w:color="auto"/>
            <w:bottom w:val="none" w:sz="0" w:space="0" w:color="auto"/>
            <w:right w:val="none" w:sz="0" w:space="0" w:color="auto"/>
          </w:divBdr>
        </w:div>
        <w:div w:id="566116576">
          <w:marLeft w:val="-225"/>
          <w:marRight w:val="-225"/>
          <w:marTop w:val="0"/>
          <w:marBottom w:val="0"/>
          <w:divBdr>
            <w:top w:val="none" w:sz="0" w:space="0" w:color="auto"/>
            <w:left w:val="none" w:sz="0" w:space="0" w:color="auto"/>
            <w:bottom w:val="none" w:sz="0" w:space="0" w:color="auto"/>
            <w:right w:val="none" w:sz="0" w:space="0" w:color="auto"/>
          </w:divBdr>
        </w:div>
        <w:div w:id="2050375102">
          <w:marLeft w:val="-225"/>
          <w:marRight w:val="-225"/>
          <w:marTop w:val="0"/>
          <w:marBottom w:val="0"/>
          <w:divBdr>
            <w:top w:val="none" w:sz="0" w:space="0" w:color="auto"/>
            <w:left w:val="none" w:sz="0" w:space="0" w:color="auto"/>
            <w:bottom w:val="none" w:sz="0" w:space="0" w:color="auto"/>
            <w:right w:val="none" w:sz="0" w:space="0" w:color="auto"/>
          </w:divBdr>
        </w:div>
        <w:div w:id="1109933677">
          <w:marLeft w:val="-225"/>
          <w:marRight w:val="-225"/>
          <w:marTop w:val="0"/>
          <w:marBottom w:val="0"/>
          <w:divBdr>
            <w:top w:val="none" w:sz="0" w:space="0" w:color="auto"/>
            <w:left w:val="none" w:sz="0" w:space="0" w:color="auto"/>
            <w:bottom w:val="none" w:sz="0" w:space="0" w:color="auto"/>
            <w:right w:val="none" w:sz="0" w:space="0" w:color="auto"/>
          </w:divBdr>
        </w:div>
        <w:div w:id="1936089465">
          <w:marLeft w:val="-225"/>
          <w:marRight w:val="-225"/>
          <w:marTop w:val="0"/>
          <w:marBottom w:val="0"/>
          <w:divBdr>
            <w:top w:val="none" w:sz="0" w:space="0" w:color="auto"/>
            <w:left w:val="none" w:sz="0" w:space="0" w:color="auto"/>
            <w:bottom w:val="none" w:sz="0" w:space="0" w:color="auto"/>
            <w:right w:val="none" w:sz="0" w:space="0" w:color="auto"/>
          </w:divBdr>
        </w:div>
        <w:div w:id="346643978">
          <w:marLeft w:val="-225"/>
          <w:marRight w:val="-225"/>
          <w:marTop w:val="0"/>
          <w:marBottom w:val="0"/>
          <w:divBdr>
            <w:top w:val="none" w:sz="0" w:space="0" w:color="auto"/>
            <w:left w:val="none" w:sz="0" w:space="0" w:color="auto"/>
            <w:bottom w:val="none" w:sz="0" w:space="0" w:color="auto"/>
            <w:right w:val="none" w:sz="0" w:space="0" w:color="auto"/>
          </w:divBdr>
        </w:div>
        <w:div w:id="1204557628">
          <w:marLeft w:val="-225"/>
          <w:marRight w:val="-225"/>
          <w:marTop w:val="0"/>
          <w:marBottom w:val="0"/>
          <w:divBdr>
            <w:top w:val="none" w:sz="0" w:space="0" w:color="auto"/>
            <w:left w:val="none" w:sz="0" w:space="0" w:color="auto"/>
            <w:bottom w:val="none" w:sz="0" w:space="0" w:color="auto"/>
            <w:right w:val="none" w:sz="0" w:space="0" w:color="auto"/>
          </w:divBdr>
        </w:div>
        <w:div w:id="1896744699">
          <w:marLeft w:val="-225"/>
          <w:marRight w:val="-225"/>
          <w:marTop w:val="0"/>
          <w:marBottom w:val="0"/>
          <w:divBdr>
            <w:top w:val="none" w:sz="0" w:space="0" w:color="auto"/>
            <w:left w:val="none" w:sz="0" w:space="0" w:color="auto"/>
            <w:bottom w:val="none" w:sz="0" w:space="0" w:color="auto"/>
            <w:right w:val="none" w:sz="0" w:space="0" w:color="auto"/>
          </w:divBdr>
        </w:div>
        <w:div w:id="1108499821">
          <w:marLeft w:val="-225"/>
          <w:marRight w:val="-225"/>
          <w:marTop w:val="0"/>
          <w:marBottom w:val="0"/>
          <w:divBdr>
            <w:top w:val="none" w:sz="0" w:space="0" w:color="auto"/>
            <w:left w:val="none" w:sz="0" w:space="0" w:color="auto"/>
            <w:bottom w:val="none" w:sz="0" w:space="0" w:color="auto"/>
            <w:right w:val="none" w:sz="0" w:space="0" w:color="auto"/>
          </w:divBdr>
        </w:div>
        <w:div w:id="899635765">
          <w:marLeft w:val="-225"/>
          <w:marRight w:val="-225"/>
          <w:marTop w:val="0"/>
          <w:marBottom w:val="0"/>
          <w:divBdr>
            <w:top w:val="none" w:sz="0" w:space="0" w:color="auto"/>
            <w:left w:val="none" w:sz="0" w:space="0" w:color="auto"/>
            <w:bottom w:val="none" w:sz="0" w:space="0" w:color="auto"/>
            <w:right w:val="none" w:sz="0" w:space="0" w:color="auto"/>
          </w:divBdr>
        </w:div>
        <w:div w:id="1017387694">
          <w:marLeft w:val="-225"/>
          <w:marRight w:val="-225"/>
          <w:marTop w:val="0"/>
          <w:marBottom w:val="0"/>
          <w:divBdr>
            <w:top w:val="none" w:sz="0" w:space="0" w:color="auto"/>
            <w:left w:val="none" w:sz="0" w:space="0" w:color="auto"/>
            <w:bottom w:val="none" w:sz="0" w:space="0" w:color="auto"/>
            <w:right w:val="none" w:sz="0" w:space="0" w:color="auto"/>
          </w:divBdr>
        </w:div>
        <w:div w:id="505754738">
          <w:marLeft w:val="-225"/>
          <w:marRight w:val="-225"/>
          <w:marTop w:val="0"/>
          <w:marBottom w:val="0"/>
          <w:divBdr>
            <w:top w:val="none" w:sz="0" w:space="0" w:color="auto"/>
            <w:left w:val="none" w:sz="0" w:space="0" w:color="auto"/>
            <w:bottom w:val="none" w:sz="0" w:space="0" w:color="auto"/>
            <w:right w:val="none" w:sz="0" w:space="0" w:color="auto"/>
          </w:divBdr>
        </w:div>
      </w:divsChild>
    </w:div>
    <w:div w:id="63647118">
      <w:bodyDiv w:val="1"/>
      <w:marLeft w:val="0"/>
      <w:marRight w:val="0"/>
      <w:marTop w:val="0"/>
      <w:marBottom w:val="0"/>
      <w:divBdr>
        <w:top w:val="none" w:sz="0" w:space="0" w:color="auto"/>
        <w:left w:val="none" w:sz="0" w:space="0" w:color="auto"/>
        <w:bottom w:val="none" w:sz="0" w:space="0" w:color="auto"/>
        <w:right w:val="none" w:sz="0" w:space="0" w:color="auto"/>
      </w:divBdr>
    </w:div>
    <w:div w:id="81604502">
      <w:bodyDiv w:val="1"/>
      <w:marLeft w:val="0"/>
      <w:marRight w:val="0"/>
      <w:marTop w:val="0"/>
      <w:marBottom w:val="0"/>
      <w:divBdr>
        <w:top w:val="none" w:sz="0" w:space="0" w:color="auto"/>
        <w:left w:val="none" w:sz="0" w:space="0" w:color="auto"/>
        <w:bottom w:val="none" w:sz="0" w:space="0" w:color="auto"/>
        <w:right w:val="none" w:sz="0" w:space="0" w:color="auto"/>
      </w:divBdr>
      <w:divsChild>
        <w:div w:id="150567626">
          <w:marLeft w:val="1166"/>
          <w:marRight w:val="0"/>
          <w:marTop w:val="77"/>
          <w:marBottom w:val="0"/>
          <w:divBdr>
            <w:top w:val="none" w:sz="0" w:space="0" w:color="auto"/>
            <w:left w:val="none" w:sz="0" w:space="0" w:color="auto"/>
            <w:bottom w:val="none" w:sz="0" w:space="0" w:color="auto"/>
            <w:right w:val="none" w:sz="0" w:space="0" w:color="auto"/>
          </w:divBdr>
        </w:div>
        <w:div w:id="187989587">
          <w:marLeft w:val="547"/>
          <w:marRight w:val="0"/>
          <w:marTop w:val="77"/>
          <w:marBottom w:val="0"/>
          <w:divBdr>
            <w:top w:val="none" w:sz="0" w:space="0" w:color="auto"/>
            <w:left w:val="none" w:sz="0" w:space="0" w:color="auto"/>
            <w:bottom w:val="none" w:sz="0" w:space="0" w:color="auto"/>
            <w:right w:val="none" w:sz="0" w:space="0" w:color="auto"/>
          </w:divBdr>
        </w:div>
        <w:div w:id="568082473">
          <w:marLeft w:val="547"/>
          <w:marRight w:val="0"/>
          <w:marTop w:val="77"/>
          <w:marBottom w:val="0"/>
          <w:divBdr>
            <w:top w:val="none" w:sz="0" w:space="0" w:color="auto"/>
            <w:left w:val="none" w:sz="0" w:space="0" w:color="auto"/>
            <w:bottom w:val="none" w:sz="0" w:space="0" w:color="auto"/>
            <w:right w:val="none" w:sz="0" w:space="0" w:color="auto"/>
          </w:divBdr>
        </w:div>
        <w:div w:id="1384597959">
          <w:marLeft w:val="1166"/>
          <w:marRight w:val="0"/>
          <w:marTop w:val="77"/>
          <w:marBottom w:val="0"/>
          <w:divBdr>
            <w:top w:val="none" w:sz="0" w:space="0" w:color="auto"/>
            <w:left w:val="none" w:sz="0" w:space="0" w:color="auto"/>
            <w:bottom w:val="none" w:sz="0" w:space="0" w:color="auto"/>
            <w:right w:val="none" w:sz="0" w:space="0" w:color="auto"/>
          </w:divBdr>
        </w:div>
      </w:divsChild>
    </w:div>
    <w:div w:id="85466269">
      <w:bodyDiv w:val="1"/>
      <w:marLeft w:val="0"/>
      <w:marRight w:val="0"/>
      <w:marTop w:val="0"/>
      <w:marBottom w:val="0"/>
      <w:divBdr>
        <w:top w:val="none" w:sz="0" w:space="0" w:color="auto"/>
        <w:left w:val="none" w:sz="0" w:space="0" w:color="auto"/>
        <w:bottom w:val="none" w:sz="0" w:space="0" w:color="auto"/>
        <w:right w:val="none" w:sz="0" w:space="0" w:color="auto"/>
      </w:divBdr>
      <w:divsChild>
        <w:div w:id="68115638">
          <w:marLeft w:val="-225"/>
          <w:marRight w:val="-225"/>
          <w:marTop w:val="0"/>
          <w:marBottom w:val="0"/>
          <w:divBdr>
            <w:top w:val="none" w:sz="0" w:space="0" w:color="auto"/>
            <w:left w:val="none" w:sz="0" w:space="0" w:color="auto"/>
            <w:bottom w:val="none" w:sz="0" w:space="0" w:color="auto"/>
            <w:right w:val="none" w:sz="0" w:space="0" w:color="auto"/>
          </w:divBdr>
        </w:div>
        <w:div w:id="76172950">
          <w:marLeft w:val="-225"/>
          <w:marRight w:val="-225"/>
          <w:marTop w:val="0"/>
          <w:marBottom w:val="0"/>
          <w:divBdr>
            <w:top w:val="none" w:sz="0" w:space="0" w:color="auto"/>
            <w:left w:val="none" w:sz="0" w:space="0" w:color="auto"/>
            <w:bottom w:val="none" w:sz="0" w:space="0" w:color="auto"/>
            <w:right w:val="none" w:sz="0" w:space="0" w:color="auto"/>
          </w:divBdr>
        </w:div>
        <w:div w:id="111094894">
          <w:marLeft w:val="-225"/>
          <w:marRight w:val="-225"/>
          <w:marTop w:val="0"/>
          <w:marBottom w:val="0"/>
          <w:divBdr>
            <w:top w:val="none" w:sz="0" w:space="0" w:color="auto"/>
            <w:left w:val="none" w:sz="0" w:space="0" w:color="auto"/>
            <w:bottom w:val="none" w:sz="0" w:space="0" w:color="auto"/>
            <w:right w:val="none" w:sz="0" w:space="0" w:color="auto"/>
          </w:divBdr>
        </w:div>
        <w:div w:id="160586869">
          <w:marLeft w:val="-225"/>
          <w:marRight w:val="-225"/>
          <w:marTop w:val="0"/>
          <w:marBottom w:val="0"/>
          <w:divBdr>
            <w:top w:val="none" w:sz="0" w:space="0" w:color="auto"/>
            <w:left w:val="none" w:sz="0" w:space="0" w:color="auto"/>
            <w:bottom w:val="none" w:sz="0" w:space="0" w:color="auto"/>
            <w:right w:val="none" w:sz="0" w:space="0" w:color="auto"/>
          </w:divBdr>
        </w:div>
        <w:div w:id="234094836">
          <w:marLeft w:val="-225"/>
          <w:marRight w:val="-225"/>
          <w:marTop w:val="0"/>
          <w:marBottom w:val="0"/>
          <w:divBdr>
            <w:top w:val="none" w:sz="0" w:space="0" w:color="auto"/>
            <w:left w:val="none" w:sz="0" w:space="0" w:color="auto"/>
            <w:bottom w:val="none" w:sz="0" w:space="0" w:color="auto"/>
            <w:right w:val="none" w:sz="0" w:space="0" w:color="auto"/>
          </w:divBdr>
        </w:div>
        <w:div w:id="344985684">
          <w:marLeft w:val="-225"/>
          <w:marRight w:val="-225"/>
          <w:marTop w:val="0"/>
          <w:marBottom w:val="0"/>
          <w:divBdr>
            <w:top w:val="none" w:sz="0" w:space="0" w:color="auto"/>
            <w:left w:val="none" w:sz="0" w:space="0" w:color="auto"/>
            <w:bottom w:val="none" w:sz="0" w:space="0" w:color="auto"/>
            <w:right w:val="none" w:sz="0" w:space="0" w:color="auto"/>
          </w:divBdr>
        </w:div>
        <w:div w:id="376661891">
          <w:marLeft w:val="-225"/>
          <w:marRight w:val="-225"/>
          <w:marTop w:val="0"/>
          <w:marBottom w:val="0"/>
          <w:divBdr>
            <w:top w:val="none" w:sz="0" w:space="0" w:color="auto"/>
            <w:left w:val="none" w:sz="0" w:space="0" w:color="auto"/>
            <w:bottom w:val="none" w:sz="0" w:space="0" w:color="auto"/>
            <w:right w:val="none" w:sz="0" w:space="0" w:color="auto"/>
          </w:divBdr>
        </w:div>
        <w:div w:id="410858958">
          <w:marLeft w:val="-225"/>
          <w:marRight w:val="-225"/>
          <w:marTop w:val="0"/>
          <w:marBottom w:val="0"/>
          <w:divBdr>
            <w:top w:val="none" w:sz="0" w:space="0" w:color="auto"/>
            <w:left w:val="none" w:sz="0" w:space="0" w:color="auto"/>
            <w:bottom w:val="none" w:sz="0" w:space="0" w:color="auto"/>
            <w:right w:val="none" w:sz="0" w:space="0" w:color="auto"/>
          </w:divBdr>
        </w:div>
        <w:div w:id="434054345">
          <w:marLeft w:val="-225"/>
          <w:marRight w:val="-225"/>
          <w:marTop w:val="0"/>
          <w:marBottom w:val="0"/>
          <w:divBdr>
            <w:top w:val="none" w:sz="0" w:space="0" w:color="auto"/>
            <w:left w:val="none" w:sz="0" w:space="0" w:color="auto"/>
            <w:bottom w:val="none" w:sz="0" w:space="0" w:color="auto"/>
            <w:right w:val="none" w:sz="0" w:space="0" w:color="auto"/>
          </w:divBdr>
        </w:div>
        <w:div w:id="544564558">
          <w:marLeft w:val="-225"/>
          <w:marRight w:val="-225"/>
          <w:marTop w:val="0"/>
          <w:marBottom w:val="0"/>
          <w:divBdr>
            <w:top w:val="none" w:sz="0" w:space="0" w:color="auto"/>
            <w:left w:val="none" w:sz="0" w:space="0" w:color="auto"/>
            <w:bottom w:val="none" w:sz="0" w:space="0" w:color="auto"/>
            <w:right w:val="none" w:sz="0" w:space="0" w:color="auto"/>
          </w:divBdr>
        </w:div>
        <w:div w:id="625744319">
          <w:marLeft w:val="-225"/>
          <w:marRight w:val="-225"/>
          <w:marTop w:val="0"/>
          <w:marBottom w:val="0"/>
          <w:divBdr>
            <w:top w:val="none" w:sz="0" w:space="0" w:color="auto"/>
            <w:left w:val="none" w:sz="0" w:space="0" w:color="auto"/>
            <w:bottom w:val="none" w:sz="0" w:space="0" w:color="auto"/>
            <w:right w:val="none" w:sz="0" w:space="0" w:color="auto"/>
          </w:divBdr>
        </w:div>
        <w:div w:id="628777994">
          <w:marLeft w:val="-225"/>
          <w:marRight w:val="-225"/>
          <w:marTop w:val="0"/>
          <w:marBottom w:val="0"/>
          <w:divBdr>
            <w:top w:val="none" w:sz="0" w:space="0" w:color="auto"/>
            <w:left w:val="none" w:sz="0" w:space="0" w:color="auto"/>
            <w:bottom w:val="none" w:sz="0" w:space="0" w:color="auto"/>
            <w:right w:val="none" w:sz="0" w:space="0" w:color="auto"/>
          </w:divBdr>
        </w:div>
        <w:div w:id="655108745">
          <w:marLeft w:val="-225"/>
          <w:marRight w:val="-225"/>
          <w:marTop w:val="0"/>
          <w:marBottom w:val="0"/>
          <w:divBdr>
            <w:top w:val="none" w:sz="0" w:space="0" w:color="auto"/>
            <w:left w:val="none" w:sz="0" w:space="0" w:color="auto"/>
            <w:bottom w:val="none" w:sz="0" w:space="0" w:color="auto"/>
            <w:right w:val="none" w:sz="0" w:space="0" w:color="auto"/>
          </w:divBdr>
        </w:div>
        <w:div w:id="695883416">
          <w:marLeft w:val="-225"/>
          <w:marRight w:val="-225"/>
          <w:marTop w:val="0"/>
          <w:marBottom w:val="0"/>
          <w:divBdr>
            <w:top w:val="none" w:sz="0" w:space="0" w:color="auto"/>
            <w:left w:val="none" w:sz="0" w:space="0" w:color="auto"/>
            <w:bottom w:val="none" w:sz="0" w:space="0" w:color="auto"/>
            <w:right w:val="none" w:sz="0" w:space="0" w:color="auto"/>
          </w:divBdr>
        </w:div>
        <w:div w:id="729579380">
          <w:marLeft w:val="-225"/>
          <w:marRight w:val="-225"/>
          <w:marTop w:val="0"/>
          <w:marBottom w:val="0"/>
          <w:divBdr>
            <w:top w:val="none" w:sz="0" w:space="0" w:color="auto"/>
            <w:left w:val="none" w:sz="0" w:space="0" w:color="auto"/>
            <w:bottom w:val="none" w:sz="0" w:space="0" w:color="auto"/>
            <w:right w:val="none" w:sz="0" w:space="0" w:color="auto"/>
          </w:divBdr>
        </w:div>
        <w:div w:id="804002515">
          <w:marLeft w:val="-225"/>
          <w:marRight w:val="-225"/>
          <w:marTop w:val="0"/>
          <w:marBottom w:val="0"/>
          <w:divBdr>
            <w:top w:val="none" w:sz="0" w:space="0" w:color="auto"/>
            <w:left w:val="none" w:sz="0" w:space="0" w:color="auto"/>
            <w:bottom w:val="none" w:sz="0" w:space="0" w:color="auto"/>
            <w:right w:val="none" w:sz="0" w:space="0" w:color="auto"/>
          </w:divBdr>
        </w:div>
        <w:div w:id="813523386">
          <w:marLeft w:val="-225"/>
          <w:marRight w:val="-225"/>
          <w:marTop w:val="0"/>
          <w:marBottom w:val="0"/>
          <w:divBdr>
            <w:top w:val="none" w:sz="0" w:space="0" w:color="auto"/>
            <w:left w:val="none" w:sz="0" w:space="0" w:color="auto"/>
            <w:bottom w:val="none" w:sz="0" w:space="0" w:color="auto"/>
            <w:right w:val="none" w:sz="0" w:space="0" w:color="auto"/>
          </w:divBdr>
        </w:div>
        <w:div w:id="825701643">
          <w:marLeft w:val="-225"/>
          <w:marRight w:val="-225"/>
          <w:marTop w:val="0"/>
          <w:marBottom w:val="0"/>
          <w:divBdr>
            <w:top w:val="none" w:sz="0" w:space="0" w:color="auto"/>
            <w:left w:val="none" w:sz="0" w:space="0" w:color="auto"/>
            <w:bottom w:val="none" w:sz="0" w:space="0" w:color="auto"/>
            <w:right w:val="none" w:sz="0" w:space="0" w:color="auto"/>
          </w:divBdr>
          <w:divsChild>
            <w:div w:id="1386098349">
              <w:marLeft w:val="75"/>
              <w:marRight w:val="0"/>
              <w:marTop w:val="0"/>
              <w:marBottom w:val="0"/>
              <w:divBdr>
                <w:top w:val="none" w:sz="0" w:space="0" w:color="auto"/>
                <w:left w:val="none" w:sz="0" w:space="0" w:color="auto"/>
                <w:bottom w:val="none" w:sz="0" w:space="0" w:color="auto"/>
                <w:right w:val="none" w:sz="0" w:space="0" w:color="auto"/>
              </w:divBdr>
              <w:divsChild>
                <w:div w:id="165829500">
                  <w:marLeft w:val="0"/>
                  <w:marRight w:val="0"/>
                  <w:marTop w:val="0"/>
                  <w:marBottom w:val="0"/>
                  <w:divBdr>
                    <w:top w:val="none" w:sz="0" w:space="0" w:color="auto"/>
                    <w:left w:val="none" w:sz="0" w:space="0" w:color="auto"/>
                    <w:bottom w:val="none" w:sz="0" w:space="0" w:color="auto"/>
                    <w:right w:val="none" w:sz="0" w:space="0" w:color="auto"/>
                  </w:divBdr>
                </w:div>
                <w:div w:id="203368036">
                  <w:marLeft w:val="0"/>
                  <w:marRight w:val="0"/>
                  <w:marTop w:val="0"/>
                  <w:marBottom w:val="0"/>
                  <w:divBdr>
                    <w:top w:val="none" w:sz="0" w:space="0" w:color="auto"/>
                    <w:left w:val="none" w:sz="0" w:space="0" w:color="auto"/>
                    <w:bottom w:val="none" w:sz="0" w:space="0" w:color="auto"/>
                    <w:right w:val="none" w:sz="0" w:space="0" w:color="auto"/>
                  </w:divBdr>
                </w:div>
                <w:div w:id="867064899">
                  <w:marLeft w:val="0"/>
                  <w:marRight w:val="0"/>
                  <w:marTop w:val="0"/>
                  <w:marBottom w:val="0"/>
                  <w:divBdr>
                    <w:top w:val="single" w:sz="18" w:space="0" w:color="484848"/>
                    <w:left w:val="single" w:sz="18" w:space="0" w:color="484848"/>
                    <w:bottom w:val="single" w:sz="18" w:space="0" w:color="484848"/>
                    <w:right w:val="single" w:sz="18" w:space="0" w:color="484848"/>
                  </w:divBdr>
                </w:div>
                <w:div w:id="1480031878">
                  <w:marLeft w:val="0"/>
                  <w:marRight w:val="0"/>
                  <w:marTop w:val="0"/>
                  <w:marBottom w:val="0"/>
                  <w:divBdr>
                    <w:top w:val="single" w:sz="18" w:space="0" w:color="484848"/>
                    <w:left w:val="single" w:sz="18" w:space="0" w:color="484848"/>
                    <w:bottom w:val="single" w:sz="18" w:space="0" w:color="484848"/>
                    <w:right w:val="single" w:sz="18" w:space="0" w:color="484848"/>
                  </w:divBdr>
                </w:div>
              </w:divsChild>
            </w:div>
          </w:divsChild>
        </w:div>
        <w:div w:id="844707840">
          <w:marLeft w:val="-225"/>
          <w:marRight w:val="-225"/>
          <w:marTop w:val="0"/>
          <w:marBottom w:val="0"/>
          <w:divBdr>
            <w:top w:val="none" w:sz="0" w:space="0" w:color="auto"/>
            <w:left w:val="none" w:sz="0" w:space="0" w:color="auto"/>
            <w:bottom w:val="none" w:sz="0" w:space="0" w:color="auto"/>
            <w:right w:val="none" w:sz="0" w:space="0" w:color="auto"/>
          </w:divBdr>
        </w:div>
        <w:div w:id="934284584">
          <w:marLeft w:val="-225"/>
          <w:marRight w:val="-225"/>
          <w:marTop w:val="0"/>
          <w:marBottom w:val="0"/>
          <w:divBdr>
            <w:top w:val="none" w:sz="0" w:space="0" w:color="auto"/>
            <w:left w:val="none" w:sz="0" w:space="0" w:color="auto"/>
            <w:bottom w:val="none" w:sz="0" w:space="0" w:color="auto"/>
            <w:right w:val="none" w:sz="0" w:space="0" w:color="auto"/>
          </w:divBdr>
        </w:div>
        <w:div w:id="1011105302">
          <w:marLeft w:val="-225"/>
          <w:marRight w:val="-225"/>
          <w:marTop w:val="0"/>
          <w:marBottom w:val="0"/>
          <w:divBdr>
            <w:top w:val="none" w:sz="0" w:space="0" w:color="auto"/>
            <w:left w:val="none" w:sz="0" w:space="0" w:color="auto"/>
            <w:bottom w:val="none" w:sz="0" w:space="0" w:color="auto"/>
            <w:right w:val="none" w:sz="0" w:space="0" w:color="auto"/>
          </w:divBdr>
        </w:div>
        <w:div w:id="1022631934">
          <w:marLeft w:val="-225"/>
          <w:marRight w:val="-225"/>
          <w:marTop w:val="0"/>
          <w:marBottom w:val="0"/>
          <w:divBdr>
            <w:top w:val="none" w:sz="0" w:space="0" w:color="auto"/>
            <w:left w:val="none" w:sz="0" w:space="0" w:color="auto"/>
            <w:bottom w:val="none" w:sz="0" w:space="0" w:color="auto"/>
            <w:right w:val="none" w:sz="0" w:space="0" w:color="auto"/>
          </w:divBdr>
        </w:div>
        <w:div w:id="1043096969">
          <w:marLeft w:val="-225"/>
          <w:marRight w:val="-225"/>
          <w:marTop w:val="0"/>
          <w:marBottom w:val="0"/>
          <w:divBdr>
            <w:top w:val="none" w:sz="0" w:space="0" w:color="auto"/>
            <w:left w:val="none" w:sz="0" w:space="0" w:color="auto"/>
            <w:bottom w:val="none" w:sz="0" w:space="0" w:color="auto"/>
            <w:right w:val="none" w:sz="0" w:space="0" w:color="auto"/>
          </w:divBdr>
        </w:div>
        <w:div w:id="1057555428">
          <w:marLeft w:val="-225"/>
          <w:marRight w:val="-225"/>
          <w:marTop w:val="0"/>
          <w:marBottom w:val="0"/>
          <w:divBdr>
            <w:top w:val="none" w:sz="0" w:space="0" w:color="auto"/>
            <w:left w:val="none" w:sz="0" w:space="0" w:color="auto"/>
            <w:bottom w:val="none" w:sz="0" w:space="0" w:color="auto"/>
            <w:right w:val="none" w:sz="0" w:space="0" w:color="auto"/>
          </w:divBdr>
        </w:div>
        <w:div w:id="1123697974">
          <w:marLeft w:val="-225"/>
          <w:marRight w:val="-225"/>
          <w:marTop w:val="0"/>
          <w:marBottom w:val="0"/>
          <w:divBdr>
            <w:top w:val="none" w:sz="0" w:space="0" w:color="auto"/>
            <w:left w:val="none" w:sz="0" w:space="0" w:color="auto"/>
            <w:bottom w:val="none" w:sz="0" w:space="0" w:color="auto"/>
            <w:right w:val="none" w:sz="0" w:space="0" w:color="auto"/>
          </w:divBdr>
        </w:div>
        <w:div w:id="1127547404">
          <w:marLeft w:val="-225"/>
          <w:marRight w:val="-225"/>
          <w:marTop w:val="0"/>
          <w:marBottom w:val="0"/>
          <w:divBdr>
            <w:top w:val="none" w:sz="0" w:space="0" w:color="auto"/>
            <w:left w:val="none" w:sz="0" w:space="0" w:color="auto"/>
            <w:bottom w:val="none" w:sz="0" w:space="0" w:color="auto"/>
            <w:right w:val="none" w:sz="0" w:space="0" w:color="auto"/>
          </w:divBdr>
        </w:div>
        <w:div w:id="1196121132">
          <w:marLeft w:val="-225"/>
          <w:marRight w:val="-225"/>
          <w:marTop w:val="0"/>
          <w:marBottom w:val="0"/>
          <w:divBdr>
            <w:top w:val="none" w:sz="0" w:space="0" w:color="auto"/>
            <w:left w:val="none" w:sz="0" w:space="0" w:color="auto"/>
            <w:bottom w:val="none" w:sz="0" w:space="0" w:color="auto"/>
            <w:right w:val="none" w:sz="0" w:space="0" w:color="auto"/>
          </w:divBdr>
        </w:div>
        <w:div w:id="1319384218">
          <w:marLeft w:val="-225"/>
          <w:marRight w:val="-225"/>
          <w:marTop w:val="0"/>
          <w:marBottom w:val="0"/>
          <w:divBdr>
            <w:top w:val="none" w:sz="0" w:space="0" w:color="auto"/>
            <w:left w:val="none" w:sz="0" w:space="0" w:color="auto"/>
            <w:bottom w:val="none" w:sz="0" w:space="0" w:color="auto"/>
            <w:right w:val="none" w:sz="0" w:space="0" w:color="auto"/>
          </w:divBdr>
        </w:div>
        <w:div w:id="1378116873">
          <w:marLeft w:val="-225"/>
          <w:marRight w:val="-225"/>
          <w:marTop w:val="0"/>
          <w:marBottom w:val="0"/>
          <w:divBdr>
            <w:top w:val="none" w:sz="0" w:space="0" w:color="auto"/>
            <w:left w:val="none" w:sz="0" w:space="0" w:color="auto"/>
            <w:bottom w:val="none" w:sz="0" w:space="0" w:color="auto"/>
            <w:right w:val="none" w:sz="0" w:space="0" w:color="auto"/>
          </w:divBdr>
        </w:div>
        <w:div w:id="1430127634">
          <w:marLeft w:val="-225"/>
          <w:marRight w:val="-225"/>
          <w:marTop w:val="0"/>
          <w:marBottom w:val="0"/>
          <w:divBdr>
            <w:top w:val="none" w:sz="0" w:space="0" w:color="auto"/>
            <w:left w:val="none" w:sz="0" w:space="0" w:color="auto"/>
            <w:bottom w:val="none" w:sz="0" w:space="0" w:color="auto"/>
            <w:right w:val="none" w:sz="0" w:space="0" w:color="auto"/>
          </w:divBdr>
        </w:div>
        <w:div w:id="1522861611">
          <w:marLeft w:val="-225"/>
          <w:marRight w:val="-225"/>
          <w:marTop w:val="0"/>
          <w:marBottom w:val="0"/>
          <w:divBdr>
            <w:top w:val="none" w:sz="0" w:space="0" w:color="auto"/>
            <w:left w:val="none" w:sz="0" w:space="0" w:color="auto"/>
            <w:bottom w:val="none" w:sz="0" w:space="0" w:color="auto"/>
            <w:right w:val="none" w:sz="0" w:space="0" w:color="auto"/>
          </w:divBdr>
        </w:div>
        <w:div w:id="1534735197">
          <w:marLeft w:val="-225"/>
          <w:marRight w:val="-225"/>
          <w:marTop w:val="0"/>
          <w:marBottom w:val="0"/>
          <w:divBdr>
            <w:top w:val="none" w:sz="0" w:space="0" w:color="auto"/>
            <w:left w:val="none" w:sz="0" w:space="0" w:color="auto"/>
            <w:bottom w:val="none" w:sz="0" w:space="0" w:color="auto"/>
            <w:right w:val="none" w:sz="0" w:space="0" w:color="auto"/>
          </w:divBdr>
        </w:div>
        <w:div w:id="1638728025">
          <w:marLeft w:val="-225"/>
          <w:marRight w:val="-225"/>
          <w:marTop w:val="0"/>
          <w:marBottom w:val="0"/>
          <w:divBdr>
            <w:top w:val="none" w:sz="0" w:space="0" w:color="auto"/>
            <w:left w:val="none" w:sz="0" w:space="0" w:color="auto"/>
            <w:bottom w:val="none" w:sz="0" w:space="0" w:color="auto"/>
            <w:right w:val="none" w:sz="0" w:space="0" w:color="auto"/>
          </w:divBdr>
        </w:div>
        <w:div w:id="1683825254">
          <w:marLeft w:val="-225"/>
          <w:marRight w:val="-225"/>
          <w:marTop w:val="0"/>
          <w:marBottom w:val="0"/>
          <w:divBdr>
            <w:top w:val="none" w:sz="0" w:space="0" w:color="auto"/>
            <w:left w:val="none" w:sz="0" w:space="0" w:color="auto"/>
            <w:bottom w:val="none" w:sz="0" w:space="0" w:color="auto"/>
            <w:right w:val="none" w:sz="0" w:space="0" w:color="auto"/>
          </w:divBdr>
        </w:div>
        <w:div w:id="1692687452">
          <w:marLeft w:val="-225"/>
          <w:marRight w:val="-225"/>
          <w:marTop w:val="0"/>
          <w:marBottom w:val="0"/>
          <w:divBdr>
            <w:top w:val="none" w:sz="0" w:space="0" w:color="auto"/>
            <w:left w:val="none" w:sz="0" w:space="0" w:color="auto"/>
            <w:bottom w:val="none" w:sz="0" w:space="0" w:color="auto"/>
            <w:right w:val="none" w:sz="0" w:space="0" w:color="auto"/>
          </w:divBdr>
        </w:div>
        <w:div w:id="1739286663">
          <w:marLeft w:val="-225"/>
          <w:marRight w:val="-225"/>
          <w:marTop w:val="0"/>
          <w:marBottom w:val="0"/>
          <w:divBdr>
            <w:top w:val="none" w:sz="0" w:space="0" w:color="auto"/>
            <w:left w:val="none" w:sz="0" w:space="0" w:color="auto"/>
            <w:bottom w:val="none" w:sz="0" w:space="0" w:color="auto"/>
            <w:right w:val="none" w:sz="0" w:space="0" w:color="auto"/>
          </w:divBdr>
        </w:div>
        <w:div w:id="1747146829">
          <w:marLeft w:val="-225"/>
          <w:marRight w:val="-225"/>
          <w:marTop w:val="0"/>
          <w:marBottom w:val="0"/>
          <w:divBdr>
            <w:top w:val="none" w:sz="0" w:space="0" w:color="auto"/>
            <w:left w:val="none" w:sz="0" w:space="0" w:color="auto"/>
            <w:bottom w:val="none" w:sz="0" w:space="0" w:color="auto"/>
            <w:right w:val="none" w:sz="0" w:space="0" w:color="auto"/>
          </w:divBdr>
        </w:div>
        <w:div w:id="1790126002">
          <w:marLeft w:val="-225"/>
          <w:marRight w:val="-225"/>
          <w:marTop w:val="0"/>
          <w:marBottom w:val="0"/>
          <w:divBdr>
            <w:top w:val="none" w:sz="0" w:space="0" w:color="auto"/>
            <w:left w:val="none" w:sz="0" w:space="0" w:color="auto"/>
            <w:bottom w:val="none" w:sz="0" w:space="0" w:color="auto"/>
            <w:right w:val="none" w:sz="0" w:space="0" w:color="auto"/>
          </w:divBdr>
        </w:div>
        <w:div w:id="1834560814">
          <w:marLeft w:val="-225"/>
          <w:marRight w:val="-225"/>
          <w:marTop w:val="0"/>
          <w:marBottom w:val="0"/>
          <w:divBdr>
            <w:top w:val="none" w:sz="0" w:space="0" w:color="auto"/>
            <w:left w:val="none" w:sz="0" w:space="0" w:color="auto"/>
            <w:bottom w:val="none" w:sz="0" w:space="0" w:color="auto"/>
            <w:right w:val="none" w:sz="0" w:space="0" w:color="auto"/>
          </w:divBdr>
        </w:div>
        <w:div w:id="1893420472">
          <w:marLeft w:val="-225"/>
          <w:marRight w:val="-225"/>
          <w:marTop w:val="0"/>
          <w:marBottom w:val="0"/>
          <w:divBdr>
            <w:top w:val="none" w:sz="0" w:space="0" w:color="auto"/>
            <w:left w:val="none" w:sz="0" w:space="0" w:color="auto"/>
            <w:bottom w:val="none" w:sz="0" w:space="0" w:color="auto"/>
            <w:right w:val="none" w:sz="0" w:space="0" w:color="auto"/>
          </w:divBdr>
        </w:div>
        <w:div w:id="2076858236">
          <w:marLeft w:val="-225"/>
          <w:marRight w:val="-225"/>
          <w:marTop w:val="0"/>
          <w:marBottom w:val="0"/>
          <w:divBdr>
            <w:top w:val="none" w:sz="0" w:space="0" w:color="auto"/>
            <w:left w:val="none" w:sz="0" w:space="0" w:color="auto"/>
            <w:bottom w:val="none" w:sz="0" w:space="0" w:color="auto"/>
            <w:right w:val="none" w:sz="0" w:space="0" w:color="auto"/>
          </w:divBdr>
        </w:div>
      </w:divsChild>
    </w:div>
    <w:div w:id="106630616">
      <w:bodyDiv w:val="1"/>
      <w:marLeft w:val="0"/>
      <w:marRight w:val="0"/>
      <w:marTop w:val="0"/>
      <w:marBottom w:val="0"/>
      <w:divBdr>
        <w:top w:val="none" w:sz="0" w:space="0" w:color="auto"/>
        <w:left w:val="none" w:sz="0" w:space="0" w:color="auto"/>
        <w:bottom w:val="none" w:sz="0" w:space="0" w:color="auto"/>
        <w:right w:val="none" w:sz="0" w:space="0" w:color="auto"/>
      </w:divBdr>
      <w:divsChild>
        <w:div w:id="594174788">
          <w:marLeft w:val="-225"/>
          <w:marRight w:val="-225"/>
          <w:marTop w:val="0"/>
          <w:marBottom w:val="0"/>
          <w:divBdr>
            <w:top w:val="none" w:sz="0" w:space="0" w:color="auto"/>
            <w:left w:val="none" w:sz="0" w:space="0" w:color="auto"/>
            <w:bottom w:val="none" w:sz="0" w:space="0" w:color="auto"/>
            <w:right w:val="none" w:sz="0" w:space="0" w:color="auto"/>
          </w:divBdr>
        </w:div>
        <w:div w:id="1251046046">
          <w:marLeft w:val="-225"/>
          <w:marRight w:val="-225"/>
          <w:marTop w:val="0"/>
          <w:marBottom w:val="0"/>
          <w:divBdr>
            <w:top w:val="none" w:sz="0" w:space="0" w:color="auto"/>
            <w:left w:val="none" w:sz="0" w:space="0" w:color="auto"/>
            <w:bottom w:val="none" w:sz="0" w:space="0" w:color="auto"/>
            <w:right w:val="none" w:sz="0" w:space="0" w:color="auto"/>
          </w:divBdr>
        </w:div>
        <w:div w:id="1230965657">
          <w:marLeft w:val="-225"/>
          <w:marRight w:val="-225"/>
          <w:marTop w:val="0"/>
          <w:marBottom w:val="0"/>
          <w:divBdr>
            <w:top w:val="none" w:sz="0" w:space="0" w:color="auto"/>
            <w:left w:val="none" w:sz="0" w:space="0" w:color="auto"/>
            <w:bottom w:val="none" w:sz="0" w:space="0" w:color="auto"/>
            <w:right w:val="none" w:sz="0" w:space="0" w:color="auto"/>
          </w:divBdr>
        </w:div>
        <w:div w:id="2102488859">
          <w:marLeft w:val="-225"/>
          <w:marRight w:val="-225"/>
          <w:marTop w:val="0"/>
          <w:marBottom w:val="0"/>
          <w:divBdr>
            <w:top w:val="none" w:sz="0" w:space="0" w:color="auto"/>
            <w:left w:val="none" w:sz="0" w:space="0" w:color="auto"/>
            <w:bottom w:val="none" w:sz="0" w:space="0" w:color="auto"/>
            <w:right w:val="none" w:sz="0" w:space="0" w:color="auto"/>
          </w:divBdr>
        </w:div>
        <w:div w:id="1959991235">
          <w:marLeft w:val="-225"/>
          <w:marRight w:val="-225"/>
          <w:marTop w:val="0"/>
          <w:marBottom w:val="0"/>
          <w:divBdr>
            <w:top w:val="none" w:sz="0" w:space="0" w:color="auto"/>
            <w:left w:val="none" w:sz="0" w:space="0" w:color="auto"/>
            <w:bottom w:val="none" w:sz="0" w:space="0" w:color="auto"/>
            <w:right w:val="none" w:sz="0" w:space="0" w:color="auto"/>
          </w:divBdr>
        </w:div>
        <w:div w:id="502866137">
          <w:marLeft w:val="-225"/>
          <w:marRight w:val="-225"/>
          <w:marTop w:val="0"/>
          <w:marBottom w:val="0"/>
          <w:divBdr>
            <w:top w:val="none" w:sz="0" w:space="0" w:color="auto"/>
            <w:left w:val="none" w:sz="0" w:space="0" w:color="auto"/>
            <w:bottom w:val="none" w:sz="0" w:space="0" w:color="auto"/>
            <w:right w:val="none" w:sz="0" w:space="0" w:color="auto"/>
          </w:divBdr>
        </w:div>
        <w:div w:id="848908751">
          <w:marLeft w:val="-225"/>
          <w:marRight w:val="-225"/>
          <w:marTop w:val="0"/>
          <w:marBottom w:val="0"/>
          <w:divBdr>
            <w:top w:val="none" w:sz="0" w:space="0" w:color="auto"/>
            <w:left w:val="none" w:sz="0" w:space="0" w:color="auto"/>
            <w:bottom w:val="none" w:sz="0" w:space="0" w:color="auto"/>
            <w:right w:val="none" w:sz="0" w:space="0" w:color="auto"/>
          </w:divBdr>
        </w:div>
      </w:divsChild>
    </w:div>
    <w:div w:id="151877435">
      <w:bodyDiv w:val="1"/>
      <w:marLeft w:val="0"/>
      <w:marRight w:val="0"/>
      <w:marTop w:val="0"/>
      <w:marBottom w:val="0"/>
      <w:divBdr>
        <w:top w:val="none" w:sz="0" w:space="0" w:color="auto"/>
        <w:left w:val="none" w:sz="0" w:space="0" w:color="auto"/>
        <w:bottom w:val="none" w:sz="0" w:space="0" w:color="auto"/>
        <w:right w:val="none" w:sz="0" w:space="0" w:color="auto"/>
      </w:divBdr>
      <w:divsChild>
        <w:div w:id="56053184">
          <w:marLeft w:val="0"/>
          <w:marRight w:val="0"/>
          <w:marTop w:val="0"/>
          <w:marBottom w:val="0"/>
          <w:divBdr>
            <w:top w:val="none" w:sz="0" w:space="0" w:color="auto"/>
            <w:left w:val="none" w:sz="0" w:space="0" w:color="auto"/>
            <w:bottom w:val="none" w:sz="0" w:space="0" w:color="auto"/>
            <w:right w:val="none" w:sz="0" w:space="0" w:color="auto"/>
          </w:divBdr>
        </w:div>
        <w:div w:id="163396348">
          <w:marLeft w:val="0"/>
          <w:marRight w:val="0"/>
          <w:marTop w:val="0"/>
          <w:marBottom w:val="0"/>
          <w:divBdr>
            <w:top w:val="none" w:sz="0" w:space="0" w:color="auto"/>
            <w:left w:val="none" w:sz="0" w:space="0" w:color="auto"/>
            <w:bottom w:val="none" w:sz="0" w:space="0" w:color="auto"/>
            <w:right w:val="none" w:sz="0" w:space="0" w:color="auto"/>
          </w:divBdr>
        </w:div>
        <w:div w:id="480540560">
          <w:marLeft w:val="0"/>
          <w:marRight w:val="0"/>
          <w:marTop w:val="0"/>
          <w:marBottom w:val="0"/>
          <w:divBdr>
            <w:top w:val="none" w:sz="0" w:space="0" w:color="auto"/>
            <w:left w:val="none" w:sz="0" w:space="0" w:color="auto"/>
            <w:bottom w:val="none" w:sz="0" w:space="0" w:color="auto"/>
            <w:right w:val="none" w:sz="0" w:space="0" w:color="auto"/>
          </w:divBdr>
        </w:div>
        <w:div w:id="885995474">
          <w:marLeft w:val="0"/>
          <w:marRight w:val="0"/>
          <w:marTop w:val="0"/>
          <w:marBottom w:val="0"/>
          <w:divBdr>
            <w:top w:val="none" w:sz="0" w:space="0" w:color="auto"/>
            <w:left w:val="none" w:sz="0" w:space="0" w:color="auto"/>
            <w:bottom w:val="none" w:sz="0" w:space="0" w:color="auto"/>
            <w:right w:val="none" w:sz="0" w:space="0" w:color="auto"/>
          </w:divBdr>
        </w:div>
        <w:div w:id="1003896626">
          <w:marLeft w:val="0"/>
          <w:marRight w:val="0"/>
          <w:marTop w:val="0"/>
          <w:marBottom w:val="0"/>
          <w:divBdr>
            <w:top w:val="none" w:sz="0" w:space="0" w:color="auto"/>
            <w:left w:val="none" w:sz="0" w:space="0" w:color="auto"/>
            <w:bottom w:val="none" w:sz="0" w:space="0" w:color="auto"/>
            <w:right w:val="none" w:sz="0" w:space="0" w:color="auto"/>
          </w:divBdr>
        </w:div>
        <w:div w:id="1408576843">
          <w:marLeft w:val="0"/>
          <w:marRight w:val="0"/>
          <w:marTop w:val="0"/>
          <w:marBottom w:val="0"/>
          <w:divBdr>
            <w:top w:val="none" w:sz="0" w:space="0" w:color="auto"/>
            <w:left w:val="none" w:sz="0" w:space="0" w:color="auto"/>
            <w:bottom w:val="none" w:sz="0" w:space="0" w:color="auto"/>
            <w:right w:val="none" w:sz="0" w:space="0" w:color="auto"/>
          </w:divBdr>
        </w:div>
        <w:div w:id="1747264467">
          <w:marLeft w:val="0"/>
          <w:marRight w:val="0"/>
          <w:marTop w:val="0"/>
          <w:marBottom w:val="0"/>
          <w:divBdr>
            <w:top w:val="none" w:sz="0" w:space="0" w:color="auto"/>
            <w:left w:val="none" w:sz="0" w:space="0" w:color="auto"/>
            <w:bottom w:val="none" w:sz="0" w:space="0" w:color="auto"/>
            <w:right w:val="none" w:sz="0" w:space="0" w:color="auto"/>
          </w:divBdr>
        </w:div>
        <w:div w:id="1780760881">
          <w:marLeft w:val="0"/>
          <w:marRight w:val="0"/>
          <w:marTop w:val="0"/>
          <w:marBottom w:val="0"/>
          <w:divBdr>
            <w:top w:val="none" w:sz="0" w:space="0" w:color="auto"/>
            <w:left w:val="none" w:sz="0" w:space="0" w:color="auto"/>
            <w:bottom w:val="none" w:sz="0" w:space="0" w:color="auto"/>
            <w:right w:val="none" w:sz="0" w:space="0" w:color="auto"/>
          </w:divBdr>
        </w:div>
        <w:div w:id="1820073117">
          <w:marLeft w:val="0"/>
          <w:marRight w:val="0"/>
          <w:marTop w:val="0"/>
          <w:marBottom w:val="0"/>
          <w:divBdr>
            <w:top w:val="none" w:sz="0" w:space="0" w:color="auto"/>
            <w:left w:val="none" w:sz="0" w:space="0" w:color="auto"/>
            <w:bottom w:val="none" w:sz="0" w:space="0" w:color="auto"/>
            <w:right w:val="none" w:sz="0" w:space="0" w:color="auto"/>
          </w:divBdr>
        </w:div>
        <w:div w:id="1881938315">
          <w:marLeft w:val="0"/>
          <w:marRight w:val="0"/>
          <w:marTop w:val="0"/>
          <w:marBottom w:val="0"/>
          <w:divBdr>
            <w:top w:val="none" w:sz="0" w:space="0" w:color="auto"/>
            <w:left w:val="none" w:sz="0" w:space="0" w:color="auto"/>
            <w:bottom w:val="none" w:sz="0" w:space="0" w:color="auto"/>
            <w:right w:val="none" w:sz="0" w:space="0" w:color="auto"/>
          </w:divBdr>
        </w:div>
      </w:divsChild>
    </w:div>
    <w:div w:id="193271635">
      <w:bodyDiv w:val="1"/>
      <w:marLeft w:val="0"/>
      <w:marRight w:val="0"/>
      <w:marTop w:val="0"/>
      <w:marBottom w:val="0"/>
      <w:divBdr>
        <w:top w:val="none" w:sz="0" w:space="0" w:color="auto"/>
        <w:left w:val="none" w:sz="0" w:space="0" w:color="auto"/>
        <w:bottom w:val="none" w:sz="0" w:space="0" w:color="auto"/>
        <w:right w:val="none" w:sz="0" w:space="0" w:color="auto"/>
      </w:divBdr>
    </w:div>
    <w:div w:id="197158380">
      <w:bodyDiv w:val="1"/>
      <w:marLeft w:val="0"/>
      <w:marRight w:val="0"/>
      <w:marTop w:val="0"/>
      <w:marBottom w:val="0"/>
      <w:divBdr>
        <w:top w:val="none" w:sz="0" w:space="0" w:color="auto"/>
        <w:left w:val="none" w:sz="0" w:space="0" w:color="auto"/>
        <w:bottom w:val="none" w:sz="0" w:space="0" w:color="auto"/>
        <w:right w:val="none" w:sz="0" w:space="0" w:color="auto"/>
      </w:divBdr>
    </w:div>
    <w:div w:id="206182611">
      <w:bodyDiv w:val="1"/>
      <w:marLeft w:val="0"/>
      <w:marRight w:val="0"/>
      <w:marTop w:val="0"/>
      <w:marBottom w:val="0"/>
      <w:divBdr>
        <w:top w:val="none" w:sz="0" w:space="0" w:color="auto"/>
        <w:left w:val="none" w:sz="0" w:space="0" w:color="auto"/>
        <w:bottom w:val="none" w:sz="0" w:space="0" w:color="auto"/>
        <w:right w:val="none" w:sz="0" w:space="0" w:color="auto"/>
      </w:divBdr>
    </w:div>
    <w:div w:id="208349666">
      <w:bodyDiv w:val="1"/>
      <w:marLeft w:val="0"/>
      <w:marRight w:val="0"/>
      <w:marTop w:val="0"/>
      <w:marBottom w:val="0"/>
      <w:divBdr>
        <w:top w:val="none" w:sz="0" w:space="0" w:color="auto"/>
        <w:left w:val="none" w:sz="0" w:space="0" w:color="auto"/>
        <w:bottom w:val="none" w:sz="0" w:space="0" w:color="auto"/>
        <w:right w:val="none" w:sz="0" w:space="0" w:color="auto"/>
      </w:divBdr>
    </w:div>
    <w:div w:id="219633808">
      <w:bodyDiv w:val="1"/>
      <w:marLeft w:val="0"/>
      <w:marRight w:val="0"/>
      <w:marTop w:val="0"/>
      <w:marBottom w:val="0"/>
      <w:divBdr>
        <w:top w:val="none" w:sz="0" w:space="0" w:color="auto"/>
        <w:left w:val="none" w:sz="0" w:space="0" w:color="auto"/>
        <w:bottom w:val="none" w:sz="0" w:space="0" w:color="auto"/>
        <w:right w:val="none" w:sz="0" w:space="0" w:color="auto"/>
      </w:divBdr>
      <w:divsChild>
        <w:div w:id="1465809655">
          <w:marLeft w:val="0"/>
          <w:marRight w:val="0"/>
          <w:marTop w:val="0"/>
          <w:marBottom w:val="0"/>
          <w:divBdr>
            <w:top w:val="none" w:sz="0" w:space="0" w:color="auto"/>
            <w:left w:val="none" w:sz="0" w:space="0" w:color="auto"/>
            <w:bottom w:val="none" w:sz="0" w:space="0" w:color="auto"/>
            <w:right w:val="none" w:sz="0" w:space="0" w:color="auto"/>
          </w:divBdr>
        </w:div>
        <w:div w:id="1823933238">
          <w:marLeft w:val="0"/>
          <w:marRight w:val="0"/>
          <w:marTop w:val="0"/>
          <w:marBottom w:val="0"/>
          <w:divBdr>
            <w:top w:val="none" w:sz="0" w:space="0" w:color="auto"/>
            <w:left w:val="none" w:sz="0" w:space="0" w:color="auto"/>
            <w:bottom w:val="none" w:sz="0" w:space="0" w:color="auto"/>
            <w:right w:val="none" w:sz="0" w:space="0" w:color="auto"/>
          </w:divBdr>
        </w:div>
      </w:divsChild>
    </w:div>
    <w:div w:id="223378131">
      <w:bodyDiv w:val="1"/>
      <w:marLeft w:val="0"/>
      <w:marRight w:val="0"/>
      <w:marTop w:val="0"/>
      <w:marBottom w:val="0"/>
      <w:divBdr>
        <w:top w:val="none" w:sz="0" w:space="0" w:color="auto"/>
        <w:left w:val="none" w:sz="0" w:space="0" w:color="auto"/>
        <w:bottom w:val="none" w:sz="0" w:space="0" w:color="auto"/>
        <w:right w:val="none" w:sz="0" w:space="0" w:color="auto"/>
      </w:divBdr>
      <w:divsChild>
        <w:div w:id="790562501">
          <w:marLeft w:val="0"/>
          <w:marRight w:val="0"/>
          <w:marTop w:val="0"/>
          <w:marBottom w:val="0"/>
          <w:divBdr>
            <w:top w:val="none" w:sz="0" w:space="0" w:color="auto"/>
            <w:left w:val="none" w:sz="0" w:space="0" w:color="auto"/>
            <w:bottom w:val="none" w:sz="0" w:space="0" w:color="auto"/>
            <w:right w:val="none" w:sz="0" w:space="0" w:color="auto"/>
          </w:divBdr>
        </w:div>
        <w:div w:id="916787435">
          <w:marLeft w:val="0"/>
          <w:marRight w:val="0"/>
          <w:marTop w:val="0"/>
          <w:marBottom w:val="0"/>
          <w:divBdr>
            <w:top w:val="none" w:sz="0" w:space="0" w:color="auto"/>
            <w:left w:val="none" w:sz="0" w:space="0" w:color="auto"/>
            <w:bottom w:val="none" w:sz="0" w:space="0" w:color="auto"/>
            <w:right w:val="none" w:sz="0" w:space="0" w:color="auto"/>
          </w:divBdr>
        </w:div>
        <w:div w:id="2104059559">
          <w:marLeft w:val="0"/>
          <w:marRight w:val="0"/>
          <w:marTop w:val="0"/>
          <w:marBottom w:val="0"/>
          <w:divBdr>
            <w:top w:val="none" w:sz="0" w:space="0" w:color="auto"/>
            <w:left w:val="none" w:sz="0" w:space="0" w:color="auto"/>
            <w:bottom w:val="none" w:sz="0" w:space="0" w:color="auto"/>
            <w:right w:val="none" w:sz="0" w:space="0" w:color="auto"/>
          </w:divBdr>
        </w:div>
      </w:divsChild>
    </w:div>
    <w:div w:id="266429569">
      <w:bodyDiv w:val="1"/>
      <w:marLeft w:val="0"/>
      <w:marRight w:val="0"/>
      <w:marTop w:val="0"/>
      <w:marBottom w:val="0"/>
      <w:divBdr>
        <w:top w:val="none" w:sz="0" w:space="0" w:color="auto"/>
        <w:left w:val="none" w:sz="0" w:space="0" w:color="auto"/>
        <w:bottom w:val="none" w:sz="0" w:space="0" w:color="auto"/>
        <w:right w:val="none" w:sz="0" w:space="0" w:color="auto"/>
      </w:divBdr>
    </w:div>
    <w:div w:id="276451717">
      <w:bodyDiv w:val="1"/>
      <w:marLeft w:val="0"/>
      <w:marRight w:val="0"/>
      <w:marTop w:val="0"/>
      <w:marBottom w:val="0"/>
      <w:divBdr>
        <w:top w:val="none" w:sz="0" w:space="0" w:color="auto"/>
        <w:left w:val="none" w:sz="0" w:space="0" w:color="auto"/>
        <w:bottom w:val="none" w:sz="0" w:space="0" w:color="auto"/>
        <w:right w:val="none" w:sz="0" w:space="0" w:color="auto"/>
      </w:divBdr>
      <w:divsChild>
        <w:div w:id="206912299">
          <w:marLeft w:val="-225"/>
          <w:marRight w:val="-225"/>
          <w:marTop w:val="0"/>
          <w:marBottom w:val="0"/>
          <w:divBdr>
            <w:top w:val="none" w:sz="0" w:space="0" w:color="auto"/>
            <w:left w:val="none" w:sz="0" w:space="0" w:color="auto"/>
            <w:bottom w:val="none" w:sz="0" w:space="0" w:color="auto"/>
            <w:right w:val="none" w:sz="0" w:space="0" w:color="auto"/>
          </w:divBdr>
          <w:divsChild>
            <w:div w:id="309985494">
              <w:marLeft w:val="75"/>
              <w:marRight w:val="0"/>
              <w:marTop w:val="0"/>
              <w:marBottom w:val="0"/>
              <w:divBdr>
                <w:top w:val="none" w:sz="0" w:space="0" w:color="auto"/>
                <w:left w:val="none" w:sz="0" w:space="0" w:color="auto"/>
                <w:bottom w:val="none" w:sz="0" w:space="0" w:color="auto"/>
                <w:right w:val="none" w:sz="0" w:space="0" w:color="auto"/>
              </w:divBdr>
              <w:divsChild>
                <w:div w:id="12540915">
                  <w:marLeft w:val="0"/>
                  <w:marRight w:val="0"/>
                  <w:marTop w:val="0"/>
                  <w:marBottom w:val="0"/>
                  <w:divBdr>
                    <w:top w:val="none" w:sz="0" w:space="0" w:color="auto"/>
                    <w:left w:val="none" w:sz="0" w:space="0" w:color="auto"/>
                    <w:bottom w:val="none" w:sz="0" w:space="0" w:color="auto"/>
                    <w:right w:val="none" w:sz="0" w:space="0" w:color="auto"/>
                  </w:divBdr>
                </w:div>
                <w:div w:id="57424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2235">
          <w:marLeft w:val="-225"/>
          <w:marRight w:val="-225"/>
          <w:marTop w:val="0"/>
          <w:marBottom w:val="0"/>
          <w:divBdr>
            <w:top w:val="none" w:sz="0" w:space="0" w:color="auto"/>
            <w:left w:val="none" w:sz="0" w:space="0" w:color="auto"/>
            <w:bottom w:val="none" w:sz="0" w:space="0" w:color="auto"/>
            <w:right w:val="none" w:sz="0" w:space="0" w:color="auto"/>
          </w:divBdr>
        </w:div>
      </w:divsChild>
    </w:div>
    <w:div w:id="357851237">
      <w:bodyDiv w:val="1"/>
      <w:marLeft w:val="0"/>
      <w:marRight w:val="0"/>
      <w:marTop w:val="0"/>
      <w:marBottom w:val="0"/>
      <w:divBdr>
        <w:top w:val="none" w:sz="0" w:space="0" w:color="auto"/>
        <w:left w:val="none" w:sz="0" w:space="0" w:color="auto"/>
        <w:bottom w:val="none" w:sz="0" w:space="0" w:color="auto"/>
        <w:right w:val="none" w:sz="0" w:space="0" w:color="auto"/>
      </w:divBdr>
      <w:divsChild>
        <w:div w:id="309601637">
          <w:marLeft w:val="0"/>
          <w:marRight w:val="0"/>
          <w:marTop w:val="0"/>
          <w:marBottom w:val="0"/>
          <w:divBdr>
            <w:top w:val="none" w:sz="0" w:space="0" w:color="auto"/>
            <w:left w:val="none" w:sz="0" w:space="0" w:color="auto"/>
            <w:bottom w:val="none" w:sz="0" w:space="0" w:color="auto"/>
            <w:right w:val="none" w:sz="0" w:space="0" w:color="auto"/>
          </w:divBdr>
        </w:div>
        <w:div w:id="404303695">
          <w:marLeft w:val="0"/>
          <w:marRight w:val="0"/>
          <w:marTop w:val="0"/>
          <w:marBottom w:val="0"/>
          <w:divBdr>
            <w:top w:val="none" w:sz="0" w:space="0" w:color="auto"/>
            <w:left w:val="none" w:sz="0" w:space="0" w:color="auto"/>
            <w:bottom w:val="none" w:sz="0" w:space="0" w:color="auto"/>
            <w:right w:val="none" w:sz="0" w:space="0" w:color="auto"/>
          </w:divBdr>
        </w:div>
      </w:divsChild>
    </w:div>
    <w:div w:id="383412544">
      <w:bodyDiv w:val="1"/>
      <w:marLeft w:val="0"/>
      <w:marRight w:val="0"/>
      <w:marTop w:val="0"/>
      <w:marBottom w:val="0"/>
      <w:divBdr>
        <w:top w:val="none" w:sz="0" w:space="0" w:color="auto"/>
        <w:left w:val="none" w:sz="0" w:space="0" w:color="auto"/>
        <w:bottom w:val="none" w:sz="0" w:space="0" w:color="auto"/>
        <w:right w:val="none" w:sz="0" w:space="0" w:color="auto"/>
      </w:divBdr>
    </w:div>
    <w:div w:id="456610977">
      <w:bodyDiv w:val="1"/>
      <w:marLeft w:val="0"/>
      <w:marRight w:val="0"/>
      <w:marTop w:val="0"/>
      <w:marBottom w:val="0"/>
      <w:divBdr>
        <w:top w:val="none" w:sz="0" w:space="0" w:color="auto"/>
        <w:left w:val="none" w:sz="0" w:space="0" w:color="auto"/>
        <w:bottom w:val="none" w:sz="0" w:space="0" w:color="auto"/>
        <w:right w:val="none" w:sz="0" w:space="0" w:color="auto"/>
      </w:divBdr>
      <w:divsChild>
        <w:div w:id="1603679840">
          <w:marLeft w:val="-225"/>
          <w:marRight w:val="-225"/>
          <w:marTop w:val="0"/>
          <w:marBottom w:val="0"/>
          <w:divBdr>
            <w:top w:val="none" w:sz="0" w:space="0" w:color="auto"/>
            <w:left w:val="none" w:sz="0" w:space="0" w:color="auto"/>
            <w:bottom w:val="none" w:sz="0" w:space="0" w:color="auto"/>
            <w:right w:val="none" w:sz="0" w:space="0" w:color="auto"/>
          </w:divBdr>
        </w:div>
        <w:div w:id="432668744">
          <w:marLeft w:val="-225"/>
          <w:marRight w:val="-225"/>
          <w:marTop w:val="0"/>
          <w:marBottom w:val="0"/>
          <w:divBdr>
            <w:top w:val="none" w:sz="0" w:space="0" w:color="auto"/>
            <w:left w:val="none" w:sz="0" w:space="0" w:color="auto"/>
            <w:bottom w:val="none" w:sz="0" w:space="0" w:color="auto"/>
            <w:right w:val="none" w:sz="0" w:space="0" w:color="auto"/>
          </w:divBdr>
        </w:div>
        <w:div w:id="1613784579">
          <w:marLeft w:val="-225"/>
          <w:marRight w:val="-225"/>
          <w:marTop w:val="0"/>
          <w:marBottom w:val="0"/>
          <w:divBdr>
            <w:top w:val="none" w:sz="0" w:space="0" w:color="auto"/>
            <w:left w:val="none" w:sz="0" w:space="0" w:color="auto"/>
            <w:bottom w:val="none" w:sz="0" w:space="0" w:color="auto"/>
            <w:right w:val="none" w:sz="0" w:space="0" w:color="auto"/>
          </w:divBdr>
        </w:div>
        <w:div w:id="667634243">
          <w:marLeft w:val="-225"/>
          <w:marRight w:val="-225"/>
          <w:marTop w:val="0"/>
          <w:marBottom w:val="0"/>
          <w:divBdr>
            <w:top w:val="none" w:sz="0" w:space="0" w:color="auto"/>
            <w:left w:val="none" w:sz="0" w:space="0" w:color="auto"/>
            <w:bottom w:val="none" w:sz="0" w:space="0" w:color="auto"/>
            <w:right w:val="none" w:sz="0" w:space="0" w:color="auto"/>
          </w:divBdr>
        </w:div>
        <w:div w:id="119543485">
          <w:marLeft w:val="-225"/>
          <w:marRight w:val="-225"/>
          <w:marTop w:val="0"/>
          <w:marBottom w:val="0"/>
          <w:divBdr>
            <w:top w:val="none" w:sz="0" w:space="0" w:color="auto"/>
            <w:left w:val="none" w:sz="0" w:space="0" w:color="auto"/>
            <w:bottom w:val="none" w:sz="0" w:space="0" w:color="auto"/>
            <w:right w:val="none" w:sz="0" w:space="0" w:color="auto"/>
          </w:divBdr>
        </w:div>
        <w:div w:id="1284575049">
          <w:marLeft w:val="-225"/>
          <w:marRight w:val="-225"/>
          <w:marTop w:val="0"/>
          <w:marBottom w:val="0"/>
          <w:divBdr>
            <w:top w:val="none" w:sz="0" w:space="0" w:color="auto"/>
            <w:left w:val="none" w:sz="0" w:space="0" w:color="auto"/>
            <w:bottom w:val="none" w:sz="0" w:space="0" w:color="auto"/>
            <w:right w:val="none" w:sz="0" w:space="0" w:color="auto"/>
          </w:divBdr>
        </w:div>
        <w:div w:id="1652827155">
          <w:marLeft w:val="-225"/>
          <w:marRight w:val="-225"/>
          <w:marTop w:val="0"/>
          <w:marBottom w:val="0"/>
          <w:divBdr>
            <w:top w:val="none" w:sz="0" w:space="0" w:color="auto"/>
            <w:left w:val="none" w:sz="0" w:space="0" w:color="auto"/>
            <w:bottom w:val="none" w:sz="0" w:space="0" w:color="auto"/>
            <w:right w:val="none" w:sz="0" w:space="0" w:color="auto"/>
          </w:divBdr>
        </w:div>
        <w:div w:id="1848707610">
          <w:marLeft w:val="-225"/>
          <w:marRight w:val="-225"/>
          <w:marTop w:val="0"/>
          <w:marBottom w:val="0"/>
          <w:divBdr>
            <w:top w:val="none" w:sz="0" w:space="0" w:color="auto"/>
            <w:left w:val="none" w:sz="0" w:space="0" w:color="auto"/>
            <w:bottom w:val="none" w:sz="0" w:space="0" w:color="auto"/>
            <w:right w:val="none" w:sz="0" w:space="0" w:color="auto"/>
          </w:divBdr>
        </w:div>
        <w:div w:id="51736284">
          <w:marLeft w:val="-225"/>
          <w:marRight w:val="-225"/>
          <w:marTop w:val="0"/>
          <w:marBottom w:val="0"/>
          <w:divBdr>
            <w:top w:val="none" w:sz="0" w:space="0" w:color="auto"/>
            <w:left w:val="none" w:sz="0" w:space="0" w:color="auto"/>
            <w:bottom w:val="none" w:sz="0" w:space="0" w:color="auto"/>
            <w:right w:val="none" w:sz="0" w:space="0" w:color="auto"/>
          </w:divBdr>
        </w:div>
        <w:div w:id="648824416">
          <w:marLeft w:val="-225"/>
          <w:marRight w:val="-225"/>
          <w:marTop w:val="0"/>
          <w:marBottom w:val="0"/>
          <w:divBdr>
            <w:top w:val="none" w:sz="0" w:space="0" w:color="auto"/>
            <w:left w:val="none" w:sz="0" w:space="0" w:color="auto"/>
            <w:bottom w:val="none" w:sz="0" w:space="0" w:color="auto"/>
            <w:right w:val="none" w:sz="0" w:space="0" w:color="auto"/>
          </w:divBdr>
        </w:div>
        <w:div w:id="2089113448">
          <w:marLeft w:val="-225"/>
          <w:marRight w:val="-225"/>
          <w:marTop w:val="0"/>
          <w:marBottom w:val="0"/>
          <w:divBdr>
            <w:top w:val="none" w:sz="0" w:space="0" w:color="auto"/>
            <w:left w:val="none" w:sz="0" w:space="0" w:color="auto"/>
            <w:bottom w:val="none" w:sz="0" w:space="0" w:color="auto"/>
            <w:right w:val="none" w:sz="0" w:space="0" w:color="auto"/>
          </w:divBdr>
        </w:div>
        <w:div w:id="1264848445">
          <w:marLeft w:val="-225"/>
          <w:marRight w:val="-225"/>
          <w:marTop w:val="0"/>
          <w:marBottom w:val="0"/>
          <w:divBdr>
            <w:top w:val="none" w:sz="0" w:space="0" w:color="auto"/>
            <w:left w:val="none" w:sz="0" w:space="0" w:color="auto"/>
            <w:bottom w:val="none" w:sz="0" w:space="0" w:color="auto"/>
            <w:right w:val="none" w:sz="0" w:space="0" w:color="auto"/>
          </w:divBdr>
        </w:div>
        <w:div w:id="874347958">
          <w:marLeft w:val="-225"/>
          <w:marRight w:val="-225"/>
          <w:marTop w:val="0"/>
          <w:marBottom w:val="0"/>
          <w:divBdr>
            <w:top w:val="none" w:sz="0" w:space="0" w:color="auto"/>
            <w:left w:val="none" w:sz="0" w:space="0" w:color="auto"/>
            <w:bottom w:val="none" w:sz="0" w:space="0" w:color="auto"/>
            <w:right w:val="none" w:sz="0" w:space="0" w:color="auto"/>
          </w:divBdr>
        </w:div>
        <w:div w:id="1248078297">
          <w:marLeft w:val="-225"/>
          <w:marRight w:val="-225"/>
          <w:marTop w:val="0"/>
          <w:marBottom w:val="0"/>
          <w:divBdr>
            <w:top w:val="none" w:sz="0" w:space="0" w:color="auto"/>
            <w:left w:val="none" w:sz="0" w:space="0" w:color="auto"/>
            <w:bottom w:val="none" w:sz="0" w:space="0" w:color="auto"/>
            <w:right w:val="none" w:sz="0" w:space="0" w:color="auto"/>
          </w:divBdr>
        </w:div>
        <w:div w:id="1940287963">
          <w:marLeft w:val="-225"/>
          <w:marRight w:val="-225"/>
          <w:marTop w:val="0"/>
          <w:marBottom w:val="0"/>
          <w:divBdr>
            <w:top w:val="none" w:sz="0" w:space="0" w:color="auto"/>
            <w:left w:val="none" w:sz="0" w:space="0" w:color="auto"/>
            <w:bottom w:val="none" w:sz="0" w:space="0" w:color="auto"/>
            <w:right w:val="none" w:sz="0" w:space="0" w:color="auto"/>
          </w:divBdr>
        </w:div>
        <w:div w:id="16397694">
          <w:marLeft w:val="-225"/>
          <w:marRight w:val="-225"/>
          <w:marTop w:val="0"/>
          <w:marBottom w:val="0"/>
          <w:divBdr>
            <w:top w:val="none" w:sz="0" w:space="0" w:color="auto"/>
            <w:left w:val="none" w:sz="0" w:space="0" w:color="auto"/>
            <w:bottom w:val="none" w:sz="0" w:space="0" w:color="auto"/>
            <w:right w:val="none" w:sz="0" w:space="0" w:color="auto"/>
          </w:divBdr>
        </w:div>
        <w:div w:id="1058670616">
          <w:marLeft w:val="-225"/>
          <w:marRight w:val="-225"/>
          <w:marTop w:val="0"/>
          <w:marBottom w:val="0"/>
          <w:divBdr>
            <w:top w:val="none" w:sz="0" w:space="0" w:color="auto"/>
            <w:left w:val="none" w:sz="0" w:space="0" w:color="auto"/>
            <w:bottom w:val="none" w:sz="0" w:space="0" w:color="auto"/>
            <w:right w:val="none" w:sz="0" w:space="0" w:color="auto"/>
          </w:divBdr>
        </w:div>
      </w:divsChild>
    </w:div>
    <w:div w:id="471483279">
      <w:bodyDiv w:val="1"/>
      <w:marLeft w:val="0"/>
      <w:marRight w:val="0"/>
      <w:marTop w:val="0"/>
      <w:marBottom w:val="0"/>
      <w:divBdr>
        <w:top w:val="none" w:sz="0" w:space="0" w:color="auto"/>
        <w:left w:val="none" w:sz="0" w:space="0" w:color="auto"/>
        <w:bottom w:val="none" w:sz="0" w:space="0" w:color="auto"/>
        <w:right w:val="none" w:sz="0" w:space="0" w:color="auto"/>
      </w:divBdr>
      <w:divsChild>
        <w:div w:id="1335690202">
          <w:marLeft w:val="-225"/>
          <w:marRight w:val="-225"/>
          <w:marTop w:val="0"/>
          <w:marBottom w:val="0"/>
          <w:divBdr>
            <w:top w:val="none" w:sz="0" w:space="0" w:color="auto"/>
            <w:left w:val="none" w:sz="0" w:space="0" w:color="auto"/>
            <w:bottom w:val="none" w:sz="0" w:space="0" w:color="auto"/>
            <w:right w:val="none" w:sz="0" w:space="0" w:color="auto"/>
          </w:divBdr>
        </w:div>
        <w:div w:id="1774934624">
          <w:marLeft w:val="-225"/>
          <w:marRight w:val="-225"/>
          <w:marTop w:val="0"/>
          <w:marBottom w:val="0"/>
          <w:divBdr>
            <w:top w:val="none" w:sz="0" w:space="0" w:color="auto"/>
            <w:left w:val="none" w:sz="0" w:space="0" w:color="auto"/>
            <w:bottom w:val="none" w:sz="0" w:space="0" w:color="auto"/>
            <w:right w:val="none" w:sz="0" w:space="0" w:color="auto"/>
          </w:divBdr>
          <w:divsChild>
            <w:div w:id="272441522">
              <w:marLeft w:val="75"/>
              <w:marRight w:val="0"/>
              <w:marTop w:val="0"/>
              <w:marBottom w:val="0"/>
              <w:divBdr>
                <w:top w:val="none" w:sz="0" w:space="0" w:color="auto"/>
                <w:left w:val="none" w:sz="0" w:space="0" w:color="auto"/>
                <w:bottom w:val="none" w:sz="0" w:space="0" w:color="auto"/>
                <w:right w:val="none" w:sz="0" w:space="0" w:color="auto"/>
              </w:divBdr>
              <w:divsChild>
                <w:div w:id="1557816001">
                  <w:marLeft w:val="0"/>
                  <w:marRight w:val="0"/>
                  <w:marTop w:val="0"/>
                  <w:marBottom w:val="0"/>
                  <w:divBdr>
                    <w:top w:val="single" w:sz="18" w:space="0" w:color="484848"/>
                    <w:left w:val="single" w:sz="18" w:space="0" w:color="484848"/>
                    <w:bottom w:val="single" w:sz="18" w:space="0" w:color="484848"/>
                    <w:right w:val="single" w:sz="18" w:space="0" w:color="484848"/>
                  </w:divBdr>
                </w:div>
                <w:div w:id="962423443">
                  <w:marLeft w:val="0"/>
                  <w:marRight w:val="0"/>
                  <w:marTop w:val="0"/>
                  <w:marBottom w:val="0"/>
                  <w:divBdr>
                    <w:top w:val="none" w:sz="0" w:space="0" w:color="auto"/>
                    <w:left w:val="none" w:sz="0" w:space="0" w:color="auto"/>
                    <w:bottom w:val="none" w:sz="0" w:space="0" w:color="auto"/>
                    <w:right w:val="none" w:sz="0" w:space="0" w:color="auto"/>
                  </w:divBdr>
                </w:div>
                <w:div w:id="110966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4173">
          <w:marLeft w:val="-225"/>
          <w:marRight w:val="-225"/>
          <w:marTop w:val="0"/>
          <w:marBottom w:val="0"/>
          <w:divBdr>
            <w:top w:val="none" w:sz="0" w:space="0" w:color="auto"/>
            <w:left w:val="none" w:sz="0" w:space="0" w:color="auto"/>
            <w:bottom w:val="none" w:sz="0" w:space="0" w:color="auto"/>
            <w:right w:val="none" w:sz="0" w:space="0" w:color="auto"/>
          </w:divBdr>
        </w:div>
        <w:div w:id="1774784875">
          <w:marLeft w:val="-225"/>
          <w:marRight w:val="-225"/>
          <w:marTop w:val="0"/>
          <w:marBottom w:val="0"/>
          <w:divBdr>
            <w:top w:val="none" w:sz="0" w:space="0" w:color="auto"/>
            <w:left w:val="none" w:sz="0" w:space="0" w:color="auto"/>
            <w:bottom w:val="none" w:sz="0" w:space="0" w:color="auto"/>
            <w:right w:val="none" w:sz="0" w:space="0" w:color="auto"/>
          </w:divBdr>
        </w:div>
        <w:div w:id="1186676146">
          <w:marLeft w:val="-225"/>
          <w:marRight w:val="-225"/>
          <w:marTop w:val="0"/>
          <w:marBottom w:val="0"/>
          <w:divBdr>
            <w:top w:val="none" w:sz="0" w:space="0" w:color="auto"/>
            <w:left w:val="none" w:sz="0" w:space="0" w:color="auto"/>
            <w:bottom w:val="none" w:sz="0" w:space="0" w:color="auto"/>
            <w:right w:val="none" w:sz="0" w:space="0" w:color="auto"/>
          </w:divBdr>
        </w:div>
        <w:div w:id="1735346215">
          <w:marLeft w:val="-225"/>
          <w:marRight w:val="-225"/>
          <w:marTop w:val="0"/>
          <w:marBottom w:val="0"/>
          <w:divBdr>
            <w:top w:val="none" w:sz="0" w:space="0" w:color="auto"/>
            <w:left w:val="none" w:sz="0" w:space="0" w:color="auto"/>
            <w:bottom w:val="none" w:sz="0" w:space="0" w:color="auto"/>
            <w:right w:val="none" w:sz="0" w:space="0" w:color="auto"/>
          </w:divBdr>
        </w:div>
      </w:divsChild>
    </w:div>
    <w:div w:id="482549900">
      <w:bodyDiv w:val="1"/>
      <w:marLeft w:val="0"/>
      <w:marRight w:val="0"/>
      <w:marTop w:val="0"/>
      <w:marBottom w:val="0"/>
      <w:divBdr>
        <w:top w:val="none" w:sz="0" w:space="0" w:color="auto"/>
        <w:left w:val="none" w:sz="0" w:space="0" w:color="auto"/>
        <w:bottom w:val="none" w:sz="0" w:space="0" w:color="auto"/>
        <w:right w:val="none" w:sz="0" w:space="0" w:color="auto"/>
      </w:divBdr>
    </w:div>
    <w:div w:id="507721073">
      <w:bodyDiv w:val="1"/>
      <w:marLeft w:val="0"/>
      <w:marRight w:val="0"/>
      <w:marTop w:val="0"/>
      <w:marBottom w:val="0"/>
      <w:divBdr>
        <w:top w:val="none" w:sz="0" w:space="0" w:color="auto"/>
        <w:left w:val="none" w:sz="0" w:space="0" w:color="auto"/>
        <w:bottom w:val="none" w:sz="0" w:space="0" w:color="auto"/>
        <w:right w:val="none" w:sz="0" w:space="0" w:color="auto"/>
      </w:divBdr>
    </w:div>
    <w:div w:id="533540986">
      <w:bodyDiv w:val="1"/>
      <w:marLeft w:val="0"/>
      <w:marRight w:val="0"/>
      <w:marTop w:val="0"/>
      <w:marBottom w:val="0"/>
      <w:divBdr>
        <w:top w:val="none" w:sz="0" w:space="0" w:color="auto"/>
        <w:left w:val="none" w:sz="0" w:space="0" w:color="auto"/>
        <w:bottom w:val="none" w:sz="0" w:space="0" w:color="auto"/>
        <w:right w:val="none" w:sz="0" w:space="0" w:color="auto"/>
      </w:divBdr>
      <w:divsChild>
        <w:div w:id="1317880295">
          <w:marLeft w:val="0"/>
          <w:marRight w:val="0"/>
          <w:marTop w:val="0"/>
          <w:marBottom w:val="0"/>
          <w:divBdr>
            <w:top w:val="none" w:sz="0" w:space="0" w:color="auto"/>
            <w:left w:val="none" w:sz="0" w:space="0" w:color="auto"/>
            <w:bottom w:val="none" w:sz="0" w:space="0" w:color="auto"/>
            <w:right w:val="none" w:sz="0" w:space="0" w:color="auto"/>
          </w:divBdr>
        </w:div>
        <w:div w:id="1362703594">
          <w:marLeft w:val="0"/>
          <w:marRight w:val="0"/>
          <w:marTop w:val="0"/>
          <w:marBottom w:val="0"/>
          <w:divBdr>
            <w:top w:val="none" w:sz="0" w:space="0" w:color="auto"/>
            <w:left w:val="none" w:sz="0" w:space="0" w:color="auto"/>
            <w:bottom w:val="none" w:sz="0" w:space="0" w:color="auto"/>
            <w:right w:val="none" w:sz="0" w:space="0" w:color="auto"/>
          </w:divBdr>
        </w:div>
      </w:divsChild>
    </w:div>
    <w:div w:id="579951924">
      <w:bodyDiv w:val="1"/>
      <w:marLeft w:val="0"/>
      <w:marRight w:val="0"/>
      <w:marTop w:val="0"/>
      <w:marBottom w:val="0"/>
      <w:divBdr>
        <w:top w:val="none" w:sz="0" w:space="0" w:color="auto"/>
        <w:left w:val="none" w:sz="0" w:space="0" w:color="auto"/>
        <w:bottom w:val="none" w:sz="0" w:space="0" w:color="auto"/>
        <w:right w:val="none" w:sz="0" w:space="0" w:color="auto"/>
      </w:divBdr>
    </w:div>
    <w:div w:id="581336709">
      <w:bodyDiv w:val="1"/>
      <w:marLeft w:val="0"/>
      <w:marRight w:val="0"/>
      <w:marTop w:val="0"/>
      <w:marBottom w:val="0"/>
      <w:divBdr>
        <w:top w:val="none" w:sz="0" w:space="0" w:color="auto"/>
        <w:left w:val="none" w:sz="0" w:space="0" w:color="auto"/>
        <w:bottom w:val="none" w:sz="0" w:space="0" w:color="auto"/>
        <w:right w:val="none" w:sz="0" w:space="0" w:color="auto"/>
      </w:divBdr>
    </w:div>
    <w:div w:id="586694502">
      <w:bodyDiv w:val="1"/>
      <w:marLeft w:val="0"/>
      <w:marRight w:val="0"/>
      <w:marTop w:val="0"/>
      <w:marBottom w:val="0"/>
      <w:divBdr>
        <w:top w:val="none" w:sz="0" w:space="0" w:color="auto"/>
        <w:left w:val="none" w:sz="0" w:space="0" w:color="auto"/>
        <w:bottom w:val="none" w:sz="0" w:space="0" w:color="auto"/>
        <w:right w:val="none" w:sz="0" w:space="0" w:color="auto"/>
      </w:divBdr>
      <w:divsChild>
        <w:div w:id="1070346463">
          <w:marLeft w:val="-225"/>
          <w:marRight w:val="-225"/>
          <w:marTop w:val="0"/>
          <w:marBottom w:val="0"/>
          <w:divBdr>
            <w:top w:val="none" w:sz="0" w:space="0" w:color="auto"/>
            <w:left w:val="none" w:sz="0" w:space="0" w:color="auto"/>
            <w:bottom w:val="none" w:sz="0" w:space="0" w:color="auto"/>
            <w:right w:val="none" w:sz="0" w:space="0" w:color="auto"/>
          </w:divBdr>
        </w:div>
        <w:div w:id="1574974103">
          <w:marLeft w:val="-225"/>
          <w:marRight w:val="-225"/>
          <w:marTop w:val="0"/>
          <w:marBottom w:val="0"/>
          <w:divBdr>
            <w:top w:val="none" w:sz="0" w:space="0" w:color="auto"/>
            <w:left w:val="none" w:sz="0" w:space="0" w:color="auto"/>
            <w:bottom w:val="none" w:sz="0" w:space="0" w:color="auto"/>
            <w:right w:val="none" w:sz="0" w:space="0" w:color="auto"/>
          </w:divBdr>
          <w:divsChild>
            <w:div w:id="825822735">
              <w:marLeft w:val="75"/>
              <w:marRight w:val="0"/>
              <w:marTop w:val="0"/>
              <w:marBottom w:val="0"/>
              <w:divBdr>
                <w:top w:val="none" w:sz="0" w:space="0" w:color="auto"/>
                <w:left w:val="none" w:sz="0" w:space="0" w:color="auto"/>
                <w:bottom w:val="none" w:sz="0" w:space="0" w:color="auto"/>
                <w:right w:val="none" w:sz="0" w:space="0" w:color="auto"/>
              </w:divBdr>
              <w:divsChild>
                <w:div w:id="1991447301">
                  <w:marLeft w:val="0"/>
                  <w:marRight w:val="0"/>
                  <w:marTop w:val="0"/>
                  <w:marBottom w:val="0"/>
                  <w:divBdr>
                    <w:top w:val="single" w:sz="18" w:space="0" w:color="484848"/>
                    <w:left w:val="single" w:sz="18" w:space="0" w:color="484848"/>
                    <w:bottom w:val="single" w:sz="18" w:space="0" w:color="484848"/>
                    <w:right w:val="single" w:sz="18" w:space="0" w:color="484848"/>
                  </w:divBdr>
                </w:div>
                <w:div w:id="756831749">
                  <w:marLeft w:val="0"/>
                  <w:marRight w:val="0"/>
                  <w:marTop w:val="0"/>
                  <w:marBottom w:val="0"/>
                  <w:divBdr>
                    <w:top w:val="none" w:sz="0" w:space="0" w:color="auto"/>
                    <w:left w:val="none" w:sz="0" w:space="0" w:color="auto"/>
                    <w:bottom w:val="none" w:sz="0" w:space="0" w:color="auto"/>
                    <w:right w:val="none" w:sz="0" w:space="0" w:color="auto"/>
                  </w:divBdr>
                </w:div>
                <w:div w:id="6755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6190">
          <w:marLeft w:val="-225"/>
          <w:marRight w:val="-225"/>
          <w:marTop w:val="0"/>
          <w:marBottom w:val="0"/>
          <w:divBdr>
            <w:top w:val="none" w:sz="0" w:space="0" w:color="auto"/>
            <w:left w:val="none" w:sz="0" w:space="0" w:color="auto"/>
            <w:bottom w:val="none" w:sz="0" w:space="0" w:color="auto"/>
            <w:right w:val="none" w:sz="0" w:space="0" w:color="auto"/>
          </w:divBdr>
        </w:div>
        <w:div w:id="1586451629">
          <w:marLeft w:val="-225"/>
          <w:marRight w:val="-225"/>
          <w:marTop w:val="0"/>
          <w:marBottom w:val="0"/>
          <w:divBdr>
            <w:top w:val="none" w:sz="0" w:space="0" w:color="auto"/>
            <w:left w:val="none" w:sz="0" w:space="0" w:color="auto"/>
            <w:bottom w:val="none" w:sz="0" w:space="0" w:color="auto"/>
            <w:right w:val="none" w:sz="0" w:space="0" w:color="auto"/>
          </w:divBdr>
        </w:div>
        <w:div w:id="2133473218">
          <w:marLeft w:val="-225"/>
          <w:marRight w:val="-225"/>
          <w:marTop w:val="0"/>
          <w:marBottom w:val="0"/>
          <w:divBdr>
            <w:top w:val="none" w:sz="0" w:space="0" w:color="auto"/>
            <w:left w:val="none" w:sz="0" w:space="0" w:color="auto"/>
            <w:bottom w:val="none" w:sz="0" w:space="0" w:color="auto"/>
            <w:right w:val="none" w:sz="0" w:space="0" w:color="auto"/>
          </w:divBdr>
        </w:div>
        <w:div w:id="771820739">
          <w:marLeft w:val="-225"/>
          <w:marRight w:val="-225"/>
          <w:marTop w:val="0"/>
          <w:marBottom w:val="0"/>
          <w:divBdr>
            <w:top w:val="none" w:sz="0" w:space="0" w:color="auto"/>
            <w:left w:val="none" w:sz="0" w:space="0" w:color="auto"/>
            <w:bottom w:val="none" w:sz="0" w:space="0" w:color="auto"/>
            <w:right w:val="none" w:sz="0" w:space="0" w:color="auto"/>
          </w:divBdr>
        </w:div>
        <w:div w:id="357507308">
          <w:marLeft w:val="-225"/>
          <w:marRight w:val="-225"/>
          <w:marTop w:val="0"/>
          <w:marBottom w:val="0"/>
          <w:divBdr>
            <w:top w:val="none" w:sz="0" w:space="0" w:color="auto"/>
            <w:left w:val="none" w:sz="0" w:space="0" w:color="auto"/>
            <w:bottom w:val="none" w:sz="0" w:space="0" w:color="auto"/>
            <w:right w:val="none" w:sz="0" w:space="0" w:color="auto"/>
          </w:divBdr>
        </w:div>
        <w:div w:id="173494107">
          <w:marLeft w:val="-225"/>
          <w:marRight w:val="-225"/>
          <w:marTop w:val="0"/>
          <w:marBottom w:val="0"/>
          <w:divBdr>
            <w:top w:val="none" w:sz="0" w:space="0" w:color="auto"/>
            <w:left w:val="none" w:sz="0" w:space="0" w:color="auto"/>
            <w:bottom w:val="none" w:sz="0" w:space="0" w:color="auto"/>
            <w:right w:val="none" w:sz="0" w:space="0" w:color="auto"/>
          </w:divBdr>
        </w:div>
        <w:div w:id="1866825668">
          <w:marLeft w:val="-225"/>
          <w:marRight w:val="-225"/>
          <w:marTop w:val="0"/>
          <w:marBottom w:val="0"/>
          <w:divBdr>
            <w:top w:val="none" w:sz="0" w:space="0" w:color="auto"/>
            <w:left w:val="none" w:sz="0" w:space="0" w:color="auto"/>
            <w:bottom w:val="none" w:sz="0" w:space="0" w:color="auto"/>
            <w:right w:val="none" w:sz="0" w:space="0" w:color="auto"/>
          </w:divBdr>
        </w:div>
        <w:div w:id="920676062">
          <w:marLeft w:val="-225"/>
          <w:marRight w:val="-225"/>
          <w:marTop w:val="0"/>
          <w:marBottom w:val="0"/>
          <w:divBdr>
            <w:top w:val="none" w:sz="0" w:space="0" w:color="auto"/>
            <w:left w:val="none" w:sz="0" w:space="0" w:color="auto"/>
            <w:bottom w:val="none" w:sz="0" w:space="0" w:color="auto"/>
            <w:right w:val="none" w:sz="0" w:space="0" w:color="auto"/>
          </w:divBdr>
        </w:div>
        <w:div w:id="1859854223">
          <w:marLeft w:val="-225"/>
          <w:marRight w:val="-225"/>
          <w:marTop w:val="0"/>
          <w:marBottom w:val="0"/>
          <w:divBdr>
            <w:top w:val="none" w:sz="0" w:space="0" w:color="auto"/>
            <w:left w:val="none" w:sz="0" w:space="0" w:color="auto"/>
            <w:bottom w:val="none" w:sz="0" w:space="0" w:color="auto"/>
            <w:right w:val="none" w:sz="0" w:space="0" w:color="auto"/>
          </w:divBdr>
        </w:div>
        <w:div w:id="1018316640">
          <w:marLeft w:val="-225"/>
          <w:marRight w:val="-225"/>
          <w:marTop w:val="0"/>
          <w:marBottom w:val="0"/>
          <w:divBdr>
            <w:top w:val="none" w:sz="0" w:space="0" w:color="auto"/>
            <w:left w:val="none" w:sz="0" w:space="0" w:color="auto"/>
            <w:bottom w:val="none" w:sz="0" w:space="0" w:color="auto"/>
            <w:right w:val="none" w:sz="0" w:space="0" w:color="auto"/>
          </w:divBdr>
        </w:div>
        <w:div w:id="1215894480">
          <w:marLeft w:val="-225"/>
          <w:marRight w:val="-225"/>
          <w:marTop w:val="0"/>
          <w:marBottom w:val="0"/>
          <w:divBdr>
            <w:top w:val="none" w:sz="0" w:space="0" w:color="auto"/>
            <w:left w:val="none" w:sz="0" w:space="0" w:color="auto"/>
            <w:bottom w:val="none" w:sz="0" w:space="0" w:color="auto"/>
            <w:right w:val="none" w:sz="0" w:space="0" w:color="auto"/>
          </w:divBdr>
        </w:div>
      </w:divsChild>
    </w:div>
    <w:div w:id="608968922">
      <w:bodyDiv w:val="1"/>
      <w:marLeft w:val="0"/>
      <w:marRight w:val="0"/>
      <w:marTop w:val="0"/>
      <w:marBottom w:val="0"/>
      <w:divBdr>
        <w:top w:val="none" w:sz="0" w:space="0" w:color="auto"/>
        <w:left w:val="none" w:sz="0" w:space="0" w:color="auto"/>
        <w:bottom w:val="none" w:sz="0" w:space="0" w:color="auto"/>
        <w:right w:val="none" w:sz="0" w:space="0" w:color="auto"/>
      </w:divBdr>
    </w:div>
    <w:div w:id="617762054">
      <w:bodyDiv w:val="1"/>
      <w:marLeft w:val="0"/>
      <w:marRight w:val="0"/>
      <w:marTop w:val="0"/>
      <w:marBottom w:val="0"/>
      <w:divBdr>
        <w:top w:val="none" w:sz="0" w:space="0" w:color="auto"/>
        <w:left w:val="none" w:sz="0" w:space="0" w:color="auto"/>
        <w:bottom w:val="none" w:sz="0" w:space="0" w:color="auto"/>
        <w:right w:val="none" w:sz="0" w:space="0" w:color="auto"/>
      </w:divBdr>
      <w:divsChild>
        <w:div w:id="952521966">
          <w:marLeft w:val="0"/>
          <w:marRight w:val="0"/>
          <w:marTop w:val="0"/>
          <w:marBottom w:val="0"/>
          <w:divBdr>
            <w:top w:val="none" w:sz="0" w:space="0" w:color="auto"/>
            <w:left w:val="none" w:sz="0" w:space="0" w:color="auto"/>
            <w:bottom w:val="none" w:sz="0" w:space="0" w:color="auto"/>
            <w:right w:val="none" w:sz="0" w:space="0" w:color="auto"/>
          </w:divBdr>
        </w:div>
        <w:div w:id="1545287304">
          <w:marLeft w:val="0"/>
          <w:marRight w:val="0"/>
          <w:marTop w:val="0"/>
          <w:marBottom w:val="0"/>
          <w:divBdr>
            <w:top w:val="none" w:sz="0" w:space="0" w:color="auto"/>
            <w:left w:val="none" w:sz="0" w:space="0" w:color="auto"/>
            <w:bottom w:val="none" w:sz="0" w:space="0" w:color="auto"/>
            <w:right w:val="none" w:sz="0" w:space="0" w:color="auto"/>
          </w:divBdr>
        </w:div>
      </w:divsChild>
    </w:div>
    <w:div w:id="624507568">
      <w:bodyDiv w:val="1"/>
      <w:marLeft w:val="0"/>
      <w:marRight w:val="0"/>
      <w:marTop w:val="0"/>
      <w:marBottom w:val="0"/>
      <w:divBdr>
        <w:top w:val="none" w:sz="0" w:space="0" w:color="auto"/>
        <w:left w:val="none" w:sz="0" w:space="0" w:color="auto"/>
        <w:bottom w:val="none" w:sz="0" w:space="0" w:color="auto"/>
        <w:right w:val="none" w:sz="0" w:space="0" w:color="auto"/>
      </w:divBdr>
    </w:div>
    <w:div w:id="650987964">
      <w:bodyDiv w:val="1"/>
      <w:marLeft w:val="0"/>
      <w:marRight w:val="0"/>
      <w:marTop w:val="0"/>
      <w:marBottom w:val="0"/>
      <w:divBdr>
        <w:top w:val="none" w:sz="0" w:space="0" w:color="auto"/>
        <w:left w:val="none" w:sz="0" w:space="0" w:color="auto"/>
        <w:bottom w:val="none" w:sz="0" w:space="0" w:color="auto"/>
        <w:right w:val="none" w:sz="0" w:space="0" w:color="auto"/>
      </w:divBdr>
      <w:divsChild>
        <w:div w:id="1448089062">
          <w:marLeft w:val="-225"/>
          <w:marRight w:val="-225"/>
          <w:marTop w:val="0"/>
          <w:marBottom w:val="0"/>
          <w:divBdr>
            <w:top w:val="none" w:sz="0" w:space="0" w:color="auto"/>
            <w:left w:val="none" w:sz="0" w:space="0" w:color="auto"/>
            <w:bottom w:val="none" w:sz="0" w:space="0" w:color="auto"/>
            <w:right w:val="none" w:sz="0" w:space="0" w:color="auto"/>
          </w:divBdr>
        </w:div>
        <w:div w:id="1610894258">
          <w:marLeft w:val="-225"/>
          <w:marRight w:val="-225"/>
          <w:marTop w:val="0"/>
          <w:marBottom w:val="0"/>
          <w:divBdr>
            <w:top w:val="none" w:sz="0" w:space="0" w:color="auto"/>
            <w:left w:val="none" w:sz="0" w:space="0" w:color="auto"/>
            <w:bottom w:val="none" w:sz="0" w:space="0" w:color="auto"/>
            <w:right w:val="none" w:sz="0" w:space="0" w:color="auto"/>
          </w:divBdr>
          <w:divsChild>
            <w:div w:id="713967403">
              <w:marLeft w:val="75"/>
              <w:marRight w:val="0"/>
              <w:marTop w:val="0"/>
              <w:marBottom w:val="0"/>
              <w:divBdr>
                <w:top w:val="none" w:sz="0" w:space="0" w:color="auto"/>
                <w:left w:val="none" w:sz="0" w:space="0" w:color="auto"/>
                <w:bottom w:val="none" w:sz="0" w:space="0" w:color="auto"/>
                <w:right w:val="none" w:sz="0" w:space="0" w:color="auto"/>
              </w:divBdr>
              <w:divsChild>
                <w:div w:id="924456322">
                  <w:marLeft w:val="0"/>
                  <w:marRight w:val="0"/>
                  <w:marTop w:val="0"/>
                  <w:marBottom w:val="0"/>
                  <w:divBdr>
                    <w:top w:val="single" w:sz="18" w:space="0" w:color="484848"/>
                    <w:left w:val="single" w:sz="18" w:space="0" w:color="484848"/>
                    <w:bottom w:val="single" w:sz="18" w:space="0" w:color="484848"/>
                    <w:right w:val="single" w:sz="18" w:space="0" w:color="484848"/>
                  </w:divBdr>
                </w:div>
                <w:div w:id="478041476">
                  <w:marLeft w:val="0"/>
                  <w:marRight w:val="0"/>
                  <w:marTop w:val="0"/>
                  <w:marBottom w:val="0"/>
                  <w:divBdr>
                    <w:top w:val="none" w:sz="0" w:space="0" w:color="auto"/>
                    <w:left w:val="none" w:sz="0" w:space="0" w:color="auto"/>
                    <w:bottom w:val="none" w:sz="0" w:space="0" w:color="auto"/>
                    <w:right w:val="none" w:sz="0" w:space="0" w:color="auto"/>
                  </w:divBdr>
                </w:div>
                <w:div w:id="122266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2606">
          <w:marLeft w:val="-225"/>
          <w:marRight w:val="-225"/>
          <w:marTop w:val="0"/>
          <w:marBottom w:val="0"/>
          <w:divBdr>
            <w:top w:val="none" w:sz="0" w:space="0" w:color="auto"/>
            <w:left w:val="none" w:sz="0" w:space="0" w:color="auto"/>
            <w:bottom w:val="none" w:sz="0" w:space="0" w:color="auto"/>
            <w:right w:val="none" w:sz="0" w:space="0" w:color="auto"/>
          </w:divBdr>
        </w:div>
        <w:div w:id="1628776548">
          <w:marLeft w:val="-225"/>
          <w:marRight w:val="-225"/>
          <w:marTop w:val="0"/>
          <w:marBottom w:val="0"/>
          <w:divBdr>
            <w:top w:val="none" w:sz="0" w:space="0" w:color="auto"/>
            <w:left w:val="none" w:sz="0" w:space="0" w:color="auto"/>
            <w:bottom w:val="none" w:sz="0" w:space="0" w:color="auto"/>
            <w:right w:val="none" w:sz="0" w:space="0" w:color="auto"/>
          </w:divBdr>
        </w:div>
        <w:div w:id="215317483">
          <w:marLeft w:val="-225"/>
          <w:marRight w:val="-225"/>
          <w:marTop w:val="0"/>
          <w:marBottom w:val="0"/>
          <w:divBdr>
            <w:top w:val="none" w:sz="0" w:space="0" w:color="auto"/>
            <w:left w:val="none" w:sz="0" w:space="0" w:color="auto"/>
            <w:bottom w:val="none" w:sz="0" w:space="0" w:color="auto"/>
            <w:right w:val="none" w:sz="0" w:space="0" w:color="auto"/>
          </w:divBdr>
        </w:div>
        <w:div w:id="259920084">
          <w:marLeft w:val="-225"/>
          <w:marRight w:val="-225"/>
          <w:marTop w:val="0"/>
          <w:marBottom w:val="0"/>
          <w:divBdr>
            <w:top w:val="none" w:sz="0" w:space="0" w:color="auto"/>
            <w:left w:val="none" w:sz="0" w:space="0" w:color="auto"/>
            <w:bottom w:val="none" w:sz="0" w:space="0" w:color="auto"/>
            <w:right w:val="none" w:sz="0" w:space="0" w:color="auto"/>
          </w:divBdr>
        </w:div>
        <w:div w:id="625235517">
          <w:marLeft w:val="-225"/>
          <w:marRight w:val="-225"/>
          <w:marTop w:val="0"/>
          <w:marBottom w:val="0"/>
          <w:divBdr>
            <w:top w:val="none" w:sz="0" w:space="0" w:color="auto"/>
            <w:left w:val="none" w:sz="0" w:space="0" w:color="auto"/>
            <w:bottom w:val="none" w:sz="0" w:space="0" w:color="auto"/>
            <w:right w:val="none" w:sz="0" w:space="0" w:color="auto"/>
          </w:divBdr>
        </w:div>
        <w:div w:id="2080249035">
          <w:marLeft w:val="-225"/>
          <w:marRight w:val="-225"/>
          <w:marTop w:val="0"/>
          <w:marBottom w:val="0"/>
          <w:divBdr>
            <w:top w:val="none" w:sz="0" w:space="0" w:color="auto"/>
            <w:left w:val="none" w:sz="0" w:space="0" w:color="auto"/>
            <w:bottom w:val="none" w:sz="0" w:space="0" w:color="auto"/>
            <w:right w:val="none" w:sz="0" w:space="0" w:color="auto"/>
          </w:divBdr>
        </w:div>
        <w:div w:id="848062082">
          <w:marLeft w:val="-225"/>
          <w:marRight w:val="-225"/>
          <w:marTop w:val="0"/>
          <w:marBottom w:val="0"/>
          <w:divBdr>
            <w:top w:val="none" w:sz="0" w:space="0" w:color="auto"/>
            <w:left w:val="none" w:sz="0" w:space="0" w:color="auto"/>
            <w:bottom w:val="none" w:sz="0" w:space="0" w:color="auto"/>
            <w:right w:val="none" w:sz="0" w:space="0" w:color="auto"/>
          </w:divBdr>
        </w:div>
        <w:div w:id="837229478">
          <w:marLeft w:val="-225"/>
          <w:marRight w:val="-225"/>
          <w:marTop w:val="0"/>
          <w:marBottom w:val="0"/>
          <w:divBdr>
            <w:top w:val="none" w:sz="0" w:space="0" w:color="auto"/>
            <w:left w:val="none" w:sz="0" w:space="0" w:color="auto"/>
            <w:bottom w:val="none" w:sz="0" w:space="0" w:color="auto"/>
            <w:right w:val="none" w:sz="0" w:space="0" w:color="auto"/>
          </w:divBdr>
        </w:div>
        <w:div w:id="1000233238">
          <w:marLeft w:val="-225"/>
          <w:marRight w:val="-225"/>
          <w:marTop w:val="0"/>
          <w:marBottom w:val="0"/>
          <w:divBdr>
            <w:top w:val="none" w:sz="0" w:space="0" w:color="auto"/>
            <w:left w:val="none" w:sz="0" w:space="0" w:color="auto"/>
            <w:bottom w:val="none" w:sz="0" w:space="0" w:color="auto"/>
            <w:right w:val="none" w:sz="0" w:space="0" w:color="auto"/>
          </w:divBdr>
        </w:div>
        <w:div w:id="1187406687">
          <w:marLeft w:val="-225"/>
          <w:marRight w:val="-225"/>
          <w:marTop w:val="0"/>
          <w:marBottom w:val="0"/>
          <w:divBdr>
            <w:top w:val="none" w:sz="0" w:space="0" w:color="auto"/>
            <w:left w:val="none" w:sz="0" w:space="0" w:color="auto"/>
            <w:bottom w:val="none" w:sz="0" w:space="0" w:color="auto"/>
            <w:right w:val="none" w:sz="0" w:space="0" w:color="auto"/>
          </w:divBdr>
        </w:div>
        <w:div w:id="1296524034">
          <w:marLeft w:val="-225"/>
          <w:marRight w:val="-225"/>
          <w:marTop w:val="0"/>
          <w:marBottom w:val="0"/>
          <w:divBdr>
            <w:top w:val="none" w:sz="0" w:space="0" w:color="auto"/>
            <w:left w:val="none" w:sz="0" w:space="0" w:color="auto"/>
            <w:bottom w:val="none" w:sz="0" w:space="0" w:color="auto"/>
            <w:right w:val="none" w:sz="0" w:space="0" w:color="auto"/>
          </w:divBdr>
        </w:div>
        <w:div w:id="1605072325">
          <w:marLeft w:val="-225"/>
          <w:marRight w:val="-225"/>
          <w:marTop w:val="0"/>
          <w:marBottom w:val="0"/>
          <w:divBdr>
            <w:top w:val="none" w:sz="0" w:space="0" w:color="auto"/>
            <w:left w:val="none" w:sz="0" w:space="0" w:color="auto"/>
            <w:bottom w:val="none" w:sz="0" w:space="0" w:color="auto"/>
            <w:right w:val="none" w:sz="0" w:space="0" w:color="auto"/>
          </w:divBdr>
        </w:div>
        <w:div w:id="1101027037">
          <w:marLeft w:val="-225"/>
          <w:marRight w:val="-225"/>
          <w:marTop w:val="0"/>
          <w:marBottom w:val="0"/>
          <w:divBdr>
            <w:top w:val="none" w:sz="0" w:space="0" w:color="auto"/>
            <w:left w:val="none" w:sz="0" w:space="0" w:color="auto"/>
            <w:bottom w:val="none" w:sz="0" w:space="0" w:color="auto"/>
            <w:right w:val="none" w:sz="0" w:space="0" w:color="auto"/>
          </w:divBdr>
        </w:div>
        <w:div w:id="2103063140">
          <w:marLeft w:val="-225"/>
          <w:marRight w:val="-225"/>
          <w:marTop w:val="0"/>
          <w:marBottom w:val="0"/>
          <w:divBdr>
            <w:top w:val="none" w:sz="0" w:space="0" w:color="auto"/>
            <w:left w:val="none" w:sz="0" w:space="0" w:color="auto"/>
            <w:bottom w:val="none" w:sz="0" w:space="0" w:color="auto"/>
            <w:right w:val="none" w:sz="0" w:space="0" w:color="auto"/>
          </w:divBdr>
        </w:div>
        <w:div w:id="756754966">
          <w:marLeft w:val="-225"/>
          <w:marRight w:val="-225"/>
          <w:marTop w:val="0"/>
          <w:marBottom w:val="0"/>
          <w:divBdr>
            <w:top w:val="none" w:sz="0" w:space="0" w:color="auto"/>
            <w:left w:val="none" w:sz="0" w:space="0" w:color="auto"/>
            <w:bottom w:val="none" w:sz="0" w:space="0" w:color="auto"/>
            <w:right w:val="none" w:sz="0" w:space="0" w:color="auto"/>
          </w:divBdr>
        </w:div>
        <w:div w:id="288753657">
          <w:marLeft w:val="-225"/>
          <w:marRight w:val="-225"/>
          <w:marTop w:val="0"/>
          <w:marBottom w:val="0"/>
          <w:divBdr>
            <w:top w:val="none" w:sz="0" w:space="0" w:color="auto"/>
            <w:left w:val="none" w:sz="0" w:space="0" w:color="auto"/>
            <w:bottom w:val="none" w:sz="0" w:space="0" w:color="auto"/>
            <w:right w:val="none" w:sz="0" w:space="0" w:color="auto"/>
          </w:divBdr>
        </w:div>
        <w:div w:id="1728801268">
          <w:marLeft w:val="-225"/>
          <w:marRight w:val="-225"/>
          <w:marTop w:val="0"/>
          <w:marBottom w:val="0"/>
          <w:divBdr>
            <w:top w:val="none" w:sz="0" w:space="0" w:color="auto"/>
            <w:left w:val="none" w:sz="0" w:space="0" w:color="auto"/>
            <w:bottom w:val="none" w:sz="0" w:space="0" w:color="auto"/>
            <w:right w:val="none" w:sz="0" w:space="0" w:color="auto"/>
          </w:divBdr>
        </w:div>
        <w:div w:id="1542326922">
          <w:marLeft w:val="-225"/>
          <w:marRight w:val="-225"/>
          <w:marTop w:val="0"/>
          <w:marBottom w:val="0"/>
          <w:divBdr>
            <w:top w:val="none" w:sz="0" w:space="0" w:color="auto"/>
            <w:left w:val="none" w:sz="0" w:space="0" w:color="auto"/>
            <w:bottom w:val="none" w:sz="0" w:space="0" w:color="auto"/>
            <w:right w:val="none" w:sz="0" w:space="0" w:color="auto"/>
          </w:divBdr>
        </w:div>
        <w:div w:id="1472358892">
          <w:marLeft w:val="-225"/>
          <w:marRight w:val="-225"/>
          <w:marTop w:val="0"/>
          <w:marBottom w:val="0"/>
          <w:divBdr>
            <w:top w:val="none" w:sz="0" w:space="0" w:color="auto"/>
            <w:left w:val="none" w:sz="0" w:space="0" w:color="auto"/>
            <w:bottom w:val="none" w:sz="0" w:space="0" w:color="auto"/>
            <w:right w:val="none" w:sz="0" w:space="0" w:color="auto"/>
          </w:divBdr>
        </w:div>
      </w:divsChild>
    </w:div>
    <w:div w:id="657617746">
      <w:bodyDiv w:val="1"/>
      <w:marLeft w:val="0"/>
      <w:marRight w:val="0"/>
      <w:marTop w:val="0"/>
      <w:marBottom w:val="0"/>
      <w:divBdr>
        <w:top w:val="none" w:sz="0" w:space="0" w:color="auto"/>
        <w:left w:val="none" w:sz="0" w:space="0" w:color="auto"/>
        <w:bottom w:val="none" w:sz="0" w:space="0" w:color="auto"/>
        <w:right w:val="none" w:sz="0" w:space="0" w:color="auto"/>
      </w:divBdr>
    </w:div>
    <w:div w:id="659582708">
      <w:bodyDiv w:val="1"/>
      <w:marLeft w:val="0"/>
      <w:marRight w:val="0"/>
      <w:marTop w:val="0"/>
      <w:marBottom w:val="0"/>
      <w:divBdr>
        <w:top w:val="none" w:sz="0" w:space="0" w:color="auto"/>
        <w:left w:val="none" w:sz="0" w:space="0" w:color="auto"/>
        <w:bottom w:val="none" w:sz="0" w:space="0" w:color="auto"/>
        <w:right w:val="none" w:sz="0" w:space="0" w:color="auto"/>
      </w:divBdr>
    </w:div>
    <w:div w:id="660546135">
      <w:bodyDiv w:val="1"/>
      <w:marLeft w:val="0"/>
      <w:marRight w:val="0"/>
      <w:marTop w:val="0"/>
      <w:marBottom w:val="0"/>
      <w:divBdr>
        <w:top w:val="none" w:sz="0" w:space="0" w:color="auto"/>
        <w:left w:val="none" w:sz="0" w:space="0" w:color="auto"/>
        <w:bottom w:val="none" w:sz="0" w:space="0" w:color="auto"/>
        <w:right w:val="none" w:sz="0" w:space="0" w:color="auto"/>
      </w:divBdr>
    </w:div>
    <w:div w:id="716512892">
      <w:bodyDiv w:val="1"/>
      <w:marLeft w:val="0"/>
      <w:marRight w:val="0"/>
      <w:marTop w:val="0"/>
      <w:marBottom w:val="0"/>
      <w:divBdr>
        <w:top w:val="none" w:sz="0" w:space="0" w:color="auto"/>
        <w:left w:val="none" w:sz="0" w:space="0" w:color="auto"/>
        <w:bottom w:val="none" w:sz="0" w:space="0" w:color="auto"/>
        <w:right w:val="none" w:sz="0" w:space="0" w:color="auto"/>
      </w:divBdr>
      <w:divsChild>
        <w:div w:id="825626363">
          <w:marLeft w:val="0"/>
          <w:marRight w:val="0"/>
          <w:marTop w:val="0"/>
          <w:marBottom w:val="0"/>
          <w:divBdr>
            <w:top w:val="none" w:sz="0" w:space="0" w:color="auto"/>
            <w:left w:val="none" w:sz="0" w:space="0" w:color="auto"/>
            <w:bottom w:val="none" w:sz="0" w:space="0" w:color="auto"/>
            <w:right w:val="none" w:sz="0" w:space="0" w:color="auto"/>
          </w:divBdr>
        </w:div>
        <w:div w:id="1181625795">
          <w:marLeft w:val="0"/>
          <w:marRight w:val="0"/>
          <w:marTop w:val="0"/>
          <w:marBottom w:val="0"/>
          <w:divBdr>
            <w:top w:val="none" w:sz="0" w:space="0" w:color="auto"/>
            <w:left w:val="none" w:sz="0" w:space="0" w:color="auto"/>
            <w:bottom w:val="none" w:sz="0" w:space="0" w:color="auto"/>
            <w:right w:val="none" w:sz="0" w:space="0" w:color="auto"/>
          </w:divBdr>
        </w:div>
      </w:divsChild>
    </w:div>
    <w:div w:id="717978268">
      <w:bodyDiv w:val="1"/>
      <w:marLeft w:val="0"/>
      <w:marRight w:val="0"/>
      <w:marTop w:val="0"/>
      <w:marBottom w:val="0"/>
      <w:divBdr>
        <w:top w:val="none" w:sz="0" w:space="0" w:color="auto"/>
        <w:left w:val="none" w:sz="0" w:space="0" w:color="auto"/>
        <w:bottom w:val="none" w:sz="0" w:space="0" w:color="auto"/>
        <w:right w:val="none" w:sz="0" w:space="0" w:color="auto"/>
      </w:divBdr>
      <w:divsChild>
        <w:div w:id="878708240">
          <w:marLeft w:val="-225"/>
          <w:marRight w:val="-225"/>
          <w:marTop w:val="0"/>
          <w:marBottom w:val="0"/>
          <w:divBdr>
            <w:top w:val="none" w:sz="0" w:space="0" w:color="auto"/>
            <w:left w:val="none" w:sz="0" w:space="0" w:color="auto"/>
            <w:bottom w:val="none" w:sz="0" w:space="0" w:color="auto"/>
            <w:right w:val="none" w:sz="0" w:space="0" w:color="auto"/>
          </w:divBdr>
        </w:div>
        <w:div w:id="391122383">
          <w:marLeft w:val="-225"/>
          <w:marRight w:val="-225"/>
          <w:marTop w:val="0"/>
          <w:marBottom w:val="0"/>
          <w:divBdr>
            <w:top w:val="none" w:sz="0" w:space="0" w:color="auto"/>
            <w:left w:val="none" w:sz="0" w:space="0" w:color="auto"/>
            <w:bottom w:val="none" w:sz="0" w:space="0" w:color="auto"/>
            <w:right w:val="none" w:sz="0" w:space="0" w:color="auto"/>
          </w:divBdr>
          <w:divsChild>
            <w:div w:id="2129350489">
              <w:marLeft w:val="75"/>
              <w:marRight w:val="0"/>
              <w:marTop w:val="0"/>
              <w:marBottom w:val="0"/>
              <w:divBdr>
                <w:top w:val="none" w:sz="0" w:space="0" w:color="auto"/>
                <w:left w:val="none" w:sz="0" w:space="0" w:color="auto"/>
                <w:bottom w:val="none" w:sz="0" w:space="0" w:color="auto"/>
                <w:right w:val="none" w:sz="0" w:space="0" w:color="auto"/>
              </w:divBdr>
              <w:divsChild>
                <w:div w:id="569924228">
                  <w:marLeft w:val="0"/>
                  <w:marRight w:val="0"/>
                  <w:marTop w:val="0"/>
                  <w:marBottom w:val="0"/>
                  <w:divBdr>
                    <w:top w:val="single" w:sz="18" w:space="0" w:color="484848"/>
                    <w:left w:val="single" w:sz="18" w:space="0" w:color="484848"/>
                    <w:bottom w:val="single" w:sz="18" w:space="0" w:color="484848"/>
                    <w:right w:val="single" w:sz="18" w:space="0" w:color="484848"/>
                  </w:divBdr>
                </w:div>
                <w:div w:id="208809608">
                  <w:marLeft w:val="0"/>
                  <w:marRight w:val="0"/>
                  <w:marTop w:val="0"/>
                  <w:marBottom w:val="0"/>
                  <w:divBdr>
                    <w:top w:val="none" w:sz="0" w:space="0" w:color="auto"/>
                    <w:left w:val="none" w:sz="0" w:space="0" w:color="auto"/>
                    <w:bottom w:val="none" w:sz="0" w:space="0" w:color="auto"/>
                    <w:right w:val="none" w:sz="0" w:space="0" w:color="auto"/>
                  </w:divBdr>
                </w:div>
                <w:div w:id="99831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9658">
          <w:marLeft w:val="-225"/>
          <w:marRight w:val="-225"/>
          <w:marTop w:val="0"/>
          <w:marBottom w:val="0"/>
          <w:divBdr>
            <w:top w:val="none" w:sz="0" w:space="0" w:color="auto"/>
            <w:left w:val="none" w:sz="0" w:space="0" w:color="auto"/>
            <w:bottom w:val="none" w:sz="0" w:space="0" w:color="auto"/>
            <w:right w:val="none" w:sz="0" w:space="0" w:color="auto"/>
          </w:divBdr>
        </w:div>
        <w:div w:id="1157842357">
          <w:marLeft w:val="-225"/>
          <w:marRight w:val="-225"/>
          <w:marTop w:val="0"/>
          <w:marBottom w:val="0"/>
          <w:divBdr>
            <w:top w:val="none" w:sz="0" w:space="0" w:color="auto"/>
            <w:left w:val="none" w:sz="0" w:space="0" w:color="auto"/>
            <w:bottom w:val="none" w:sz="0" w:space="0" w:color="auto"/>
            <w:right w:val="none" w:sz="0" w:space="0" w:color="auto"/>
          </w:divBdr>
        </w:div>
        <w:div w:id="1063868580">
          <w:marLeft w:val="-225"/>
          <w:marRight w:val="-225"/>
          <w:marTop w:val="0"/>
          <w:marBottom w:val="0"/>
          <w:divBdr>
            <w:top w:val="none" w:sz="0" w:space="0" w:color="auto"/>
            <w:left w:val="none" w:sz="0" w:space="0" w:color="auto"/>
            <w:bottom w:val="none" w:sz="0" w:space="0" w:color="auto"/>
            <w:right w:val="none" w:sz="0" w:space="0" w:color="auto"/>
          </w:divBdr>
        </w:div>
        <w:div w:id="858006673">
          <w:marLeft w:val="-225"/>
          <w:marRight w:val="-225"/>
          <w:marTop w:val="0"/>
          <w:marBottom w:val="0"/>
          <w:divBdr>
            <w:top w:val="none" w:sz="0" w:space="0" w:color="auto"/>
            <w:left w:val="none" w:sz="0" w:space="0" w:color="auto"/>
            <w:bottom w:val="none" w:sz="0" w:space="0" w:color="auto"/>
            <w:right w:val="none" w:sz="0" w:space="0" w:color="auto"/>
          </w:divBdr>
        </w:div>
        <w:div w:id="1886672586">
          <w:marLeft w:val="-225"/>
          <w:marRight w:val="-225"/>
          <w:marTop w:val="0"/>
          <w:marBottom w:val="0"/>
          <w:divBdr>
            <w:top w:val="none" w:sz="0" w:space="0" w:color="auto"/>
            <w:left w:val="none" w:sz="0" w:space="0" w:color="auto"/>
            <w:bottom w:val="none" w:sz="0" w:space="0" w:color="auto"/>
            <w:right w:val="none" w:sz="0" w:space="0" w:color="auto"/>
          </w:divBdr>
        </w:div>
        <w:div w:id="882137011">
          <w:marLeft w:val="-225"/>
          <w:marRight w:val="-225"/>
          <w:marTop w:val="0"/>
          <w:marBottom w:val="0"/>
          <w:divBdr>
            <w:top w:val="none" w:sz="0" w:space="0" w:color="auto"/>
            <w:left w:val="none" w:sz="0" w:space="0" w:color="auto"/>
            <w:bottom w:val="none" w:sz="0" w:space="0" w:color="auto"/>
            <w:right w:val="none" w:sz="0" w:space="0" w:color="auto"/>
          </w:divBdr>
        </w:div>
        <w:div w:id="484397943">
          <w:marLeft w:val="-225"/>
          <w:marRight w:val="-225"/>
          <w:marTop w:val="0"/>
          <w:marBottom w:val="0"/>
          <w:divBdr>
            <w:top w:val="none" w:sz="0" w:space="0" w:color="auto"/>
            <w:left w:val="none" w:sz="0" w:space="0" w:color="auto"/>
            <w:bottom w:val="none" w:sz="0" w:space="0" w:color="auto"/>
            <w:right w:val="none" w:sz="0" w:space="0" w:color="auto"/>
          </w:divBdr>
        </w:div>
        <w:div w:id="224418630">
          <w:marLeft w:val="-225"/>
          <w:marRight w:val="-225"/>
          <w:marTop w:val="0"/>
          <w:marBottom w:val="0"/>
          <w:divBdr>
            <w:top w:val="none" w:sz="0" w:space="0" w:color="auto"/>
            <w:left w:val="none" w:sz="0" w:space="0" w:color="auto"/>
            <w:bottom w:val="none" w:sz="0" w:space="0" w:color="auto"/>
            <w:right w:val="none" w:sz="0" w:space="0" w:color="auto"/>
          </w:divBdr>
        </w:div>
        <w:div w:id="727801144">
          <w:marLeft w:val="-225"/>
          <w:marRight w:val="-225"/>
          <w:marTop w:val="0"/>
          <w:marBottom w:val="0"/>
          <w:divBdr>
            <w:top w:val="none" w:sz="0" w:space="0" w:color="auto"/>
            <w:left w:val="none" w:sz="0" w:space="0" w:color="auto"/>
            <w:bottom w:val="none" w:sz="0" w:space="0" w:color="auto"/>
            <w:right w:val="none" w:sz="0" w:space="0" w:color="auto"/>
          </w:divBdr>
        </w:div>
        <w:div w:id="1634679745">
          <w:marLeft w:val="-225"/>
          <w:marRight w:val="-225"/>
          <w:marTop w:val="0"/>
          <w:marBottom w:val="0"/>
          <w:divBdr>
            <w:top w:val="none" w:sz="0" w:space="0" w:color="auto"/>
            <w:left w:val="none" w:sz="0" w:space="0" w:color="auto"/>
            <w:bottom w:val="none" w:sz="0" w:space="0" w:color="auto"/>
            <w:right w:val="none" w:sz="0" w:space="0" w:color="auto"/>
          </w:divBdr>
        </w:div>
        <w:div w:id="1687292770">
          <w:marLeft w:val="-225"/>
          <w:marRight w:val="-225"/>
          <w:marTop w:val="0"/>
          <w:marBottom w:val="0"/>
          <w:divBdr>
            <w:top w:val="none" w:sz="0" w:space="0" w:color="auto"/>
            <w:left w:val="none" w:sz="0" w:space="0" w:color="auto"/>
            <w:bottom w:val="none" w:sz="0" w:space="0" w:color="auto"/>
            <w:right w:val="none" w:sz="0" w:space="0" w:color="auto"/>
          </w:divBdr>
        </w:div>
        <w:div w:id="1285892452">
          <w:marLeft w:val="-225"/>
          <w:marRight w:val="-225"/>
          <w:marTop w:val="0"/>
          <w:marBottom w:val="0"/>
          <w:divBdr>
            <w:top w:val="none" w:sz="0" w:space="0" w:color="auto"/>
            <w:left w:val="none" w:sz="0" w:space="0" w:color="auto"/>
            <w:bottom w:val="none" w:sz="0" w:space="0" w:color="auto"/>
            <w:right w:val="none" w:sz="0" w:space="0" w:color="auto"/>
          </w:divBdr>
        </w:div>
        <w:div w:id="2062899467">
          <w:marLeft w:val="-225"/>
          <w:marRight w:val="-225"/>
          <w:marTop w:val="0"/>
          <w:marBottom w:val="0"/>
          <w:divBdr>
            <w:top w:val="none" w:sz="0" w:space="0" w:color="auto"/>
            <w:left w:val="none" w:sz="0" w:space="0" w:color="auto"/>
            <w:bottom w:val="none" w:sz="0" w:space="0" w:color="auto"/>
            <w:right w:val="none" w:sz="0" w:space="0" w:color="auto"/>
          </w:divBdr>
        </w:div>
        <w:div w:id="525095613">
          <w:marLeft w:val="-225"/>
          <w:marRight w:val="-225"/>
          <w:marTop w:val="0"/>
          <w:marBottom w:val="0"/>
          <w:divBdr>
            <w:top w:val="none" w:sz="0" w:space="0" w:color="auto"/>
            <w:left w:val="none" w:sz="0" w:space="0" w:color="auto"/>
            <w:bottom w:val="none" w:sz="0" w:space="0" w:color="auto"/>
            <w:right w:val="none" w:sz="0" w:space="0" w:color="auto"/>
          </w:divBdr>
        </w:div>
        <w:div w:id="1055355710">
          <w:marLeft w:val="-225"/>
          <w:marRight w:val="-225"/>
          <w:marTop w:val="0"/>
          <w:marBottom w:val="0"/>
          <w:divBdr>
            <w:top w:val="none" w:sz="0" w:space="0" w:color="auto"/>
            <w:left w:val="none" w:sz="0" w:space="0" w:color="auto"/>
            <w:bottom w:val="none" w:sz="0" w:space="0" w:color="auto"/>
            <w:right w:val="none" w:sz="0" w:space="0" w:color="auto"/>
          </w:divBdr>
        </w:div>
      </w:divsChild>
    </w:div>
    <w:div w:id="761099058">
      <w:bodyDiv w:val="1"/>
      <w:marLeft w:val="0"/>
      <w:marRight w:val="0"/>
      <w:marTop w:val="0"/>
      <w:marBottom w:val="0"/>
      <w:divBdr>
        <w:top w:val="none" w:sz="0" w:space="0" w:color="auto"/>
        <w:left w:val="none" w:sz="0" w:space="0" w:color="auto"/>
        <w:bottom w:val="none" w:sz="0" w:space="0" w:color="auto"/>
        <w:right w:val="none" w:sz="0" w:space="0" w:color="auto"/>
      </w:divBdr>
      <w:divsChild>
        <w:div w:id="1727021225">
          <w:marLeft w:val="0"/>
          <w:marRight w:val="0"/>
          <w:marTop w:val="0"/>
          <w:marBottom w:val="0"/>
          <w:divBdr>
            <w:top w:val="none" w:sz="0" w:space="0" w:color="auto"/>
            <w:left w:val="none" w:sz="0" w:space="0" w:color="auto"/>
            <w:bottom w:val="none" w:sz="0" w:space="0" w:color="auto"/>
            <w:right w:val="none" w:sz="0" w:space="0" w:color="auto"/>
          </w:divBdr>
        </w:div>
        <w:div w:id="1748306780">
          <w:marLeft w:val="0"/>
          <w:marRight w:val="0"/>
          <w:marTop w:val="0"/>
          <w:marBottom w:val="0"/>
          <w:divBdr>
            <w:top w:val="none" w:sz="0" w:space="0" w:color="auto"/>
            <w:left w:val="none" w:sz="0" w:space="0" w:color="auto"/>
            <w:bottom w:val="none" w:sz="0" w:space="0" w:color="auto"/>
            <w:right w:val="none" w:sz="0" w:space="0" w:color="auto"/>
          </w:divBdr>
        </w:div>
      </w:divsChild>
    </w:div>
    <w:div w:id="768889564">
      <w:bodyDiv w:val="1"/>
      <w:marLeft w:val="0"/>
      <w:marRight w:val="0"/>
      <w:marTop w:val="0"/>
      <w:marBottom w:val="0"/>
      <w:divBdr>
        <w:top w:val="none" w:sz="0" w:space="0" w:color="auto"/>
        <w:left w:val="none" w:sz="0" w:space="0" w:color="auto"/>
        <w:bottom w:val="none" w:sz="0" w:space="0" w:color="auto"/>
        <w:right w:val="none" w:sz="0" w:space="0" w:color="auto"/>
      </w:divBdr>
    </w:div>
    <w:div w:id="780807704">
      <w:bodyDiv w:val="1"/>
      <w:marLeft w:val="0"/>
      <w:marRight w:val="0"/>
      <w:marTop w:val="0"/>
      <w:marBottom w:val="0"/>
      <w:divBdr>
        <w:top w:val="none" w:sz="0" w:space="0" w:color="auto"/>
        <w:left w:val="none" w:sz="0" w:space="0" w:color="auto"/>
        <w:bottom w:val="none" w:sz="0" w:space="0" w:color="auto"/>
        <w:right w:val="none" w:sz="0" w:space="0" w:color="auto"/>
      </w:divBdr>
    </w:div>
    <w:div w:id="795223351">
      <w:bodyDiv w:val="1"/>
      <w:marLeft w:val="0"/>
      <w:marRight w:val="0"/>
      <w:marTop w:val="0"/>
      <w:marBottom w:val="0"/>
      <w:divBdr>
        <w:top w:val="none" w:sz="0" w:space="0" w:color="auto"/>
        <w:left w:val="none" w:sz="0" w:space="0" w:color="auto"/>
        <w:bottom w:val="none" w:sz="0" w:space="0" w:color="auto"/>
        <w:right w:val="none" w:sz="0" w:space="0" w:color="auto"/>
      </w:divBdr>
      <w:divsChild>
        <w:div w:id="113912339">
          <w:marLeft w:val="0"/>
          <w:marRight w:val="0"/>
          <w:marTop w:val="0"/>
          <w:marBottom w:val="0"/>
          <w:divBdr>
            <w:top w:val="none" w:sz="0" w:space="0" w:color="auto"/>
            <w:left w:val="none" w:sz="0" w:space="0" w:color="auto"/>
            <w:bottom w:val="none" w:sz="0" w:space="0" w:color="auto"/>
            <w:right w:val="none" w:sz="0" w:space="0" w:color="auto"/>
          </w:divBdr>
          <w:divsChild>
            <w:div w:id="1207068012">
              <w:marLeft w:val="0"/>
              <w:marRight w:val="0"/>
              <w:marTop w:val="0"/>
              <w:marBottom w:val="0"/>
              <w:divBdr>
                <w:top w:val="none" w:sz="0" w:space="0" w:color="auto"/>
                <w:left w:val="none" w:sz="0" w:space="0" w:color="auto"/>
                <w:bottom w:val="none" w:sz="0" w:space="0" w:color="auto"/>
                <w:right w:val="none" w:sz="0" w:space="0" w:color="auto"/>
              </w:divBdr>
            </w:div>
          </w:divsChild>
        </w:div>
        <w:div w:id="596331391">
          <w:marLeft w:val="0"/>
          <w:marRight w:val="0"/>
          <w:marTop w:val="0"/>
          <w:marBottom w:val="0"/>
          <w:divBdr>
            <w:top w:val="none" w:sz="0" w:space="0" w:color="auto"/>
            <w:left w:val="none" w:sz="0" w:space="0" w:color="auto"/>
            <w:bottom w:val="none" w:sz="0" w:space="0" w:color="auto"/>
            <w:right w:val="none" w:sz="0" w:space="0" w:color="auto"/>
          </w:divBdr>
          <w:divsChild>
            <w:div w:id="865295451">
              <w:marLeft w:val="0"/>
              <w:marRight w:val="0"/>
              <w:marTop w:val="0"/>
              <w:marBottom w:val="0"/>
              <w:divBdr>
                <w:top w:val="none" w:sz="0" w:space="0" w:color="auto"/>
                <w:left w:val="none" w:sz="0" w:space="0" w:color="auto"/>
                <w:bottom w:val="none" w:sz="0" w:space="0" w:color="auto"/>
                <w:right w:val="none" w:sz="0" w:space="0" w:color="auto"/>
              </w:divBdr>
            </w:div>
          </w:divsChild>
        </w:div>
        <w:div w:id="971331255">
          <w:marLeft w:val="0"/>
          <w:marRight w:val="0"/>
          <w:marTop w:val="0"/>
          <w:marBottom w:val="0"/>
          <w:divBdr>
            <w:top w:val="none" w:sz="0" w:space="0" w:color="auto"/>
            <w:left w:val="none" w:sz="0" w:space="0" w:color="auto"/>
            <w:bottom w:val="none" w:sz="0" w:space="0" w:color="auto"/>
            <w:right w:val="none" w:sz="0" w:space="0" w:color="auto"/>
          </w:divBdr>
          <w:divsChild>
            <w:div w:id="1952013460">
              <w:marLeft w:val="0"/>
              <w:marRight w:val="0"/>
              <w:marTop w:val="0"/>
              <w:marBottom w:val="0"/>
              <w:divBdr>
                <w:top w:val="none" w:sz="0" w:space="0" w:color="auto"/>
                <w:left w:val="none" w:sz="0" w:space="0" w:color="auto"/>
                <w:bottom w:val="none" w:sz="0" w:space="0" w:color="auto"/>
                <w:right w:val="none" w:sz="0" w:space="0" w:color="auto"/>
              </w:divBdr>
            </w:div>
          </w:divsChild>
        </w:div>
        <w:div w:id="1453591093">
          <w:marLeft w:val="0"/>
          <w:marRight w:val="0"/>
          <w:marTop w:val="0"/>
          <w:marBottom w:val="0"/>
          <w:divBdr>
            <w:top w:val="none" w:sz="0" w:space="0" w:color="auto"/>
            <w:left w:val="none" w:sz="0" w:space="0" w:color="auto"/>
            <w:bottom w:val="none" w:sz="0" w:space="0" w:color="auto"/>
            <w:right w:val="none" w:sz="0" w:space="0" w:color="auto"/>
          </w:divBdr>
          <w:divsChild>
            <w:div w:id="450049787">
              <w:marLeft w:val="0"/>
              <w:marRight w:val="0"/>
              <w:marTop w:val="0"/>
              <w:marBottom w:val="0"/>
              <w:divBdr>
                <w:top w:val="none" w:sz="0" w:space="0" w:color="auto"/>
                <w:left w:val="none" w:sz="0" w:space="0" w:color="auto"/>
                <w:bottom w:val="none" w:sz="0" w:space="0" w:color="auto"/>
                <w:right w:val="none" w:sz="0" w:space="0" w:color="auto"/>
              </w:divBdr>
              <w:divsChild>
                <w:div w:id="1121799084">
                  <w:marLeft w:val="0"/>
                  <w:marRight w:val="0"/>
                  <w:marTop w:val="0"/>
                  <w:marBottom w:val="0"/>
                  <w:divBdr>
                    <w:top w:val="none" w:sz="0" w:space="0" w:color="auto"/>
                    <w:left w:val="none" w:sz="0" w:space="0" w:color="auto"/>
                    <w:bottom w:val="none" w:sz="0" w:space="0" w:color="auto"/>
                    <w:right w:val="none" w:sz="0" w:space="0" w:color="auto"/>
                  </w:divBdr>
                  <w:divsChild>
                    <w:div w:id="157961723">
                      <w:marLeft w:val="0"/>
                      <w:marRight w:val="0"/>
                      <w:marTop w:val="0"/>
                      <w:marBottom w:val="0"/>
                      <w:divBdr>
                        <w:top w:val="none" w:sz="0" w:space="0" w:color="auto"/>
                        <w:left w:val="none" w:sz="0" w:space="0" w:color="auto"/>
                        <w:bottom w:val="none" w:sz="0" w:space="0" w:color="auto"/>
                        <w:right w:val="none" w:sz="0" w:space="0" w:color="auto"/>
                      </w:divBdr>
                    </w:div>
                    <w:div w:id="1912226621">
                      <w:marLeft w:val="0"/>
                      <w:marRight w:val="0"/>
                      <w:marTop w:val="120"/>
                      <w:marBottom w:val="0"/>
                      <w:divBdr>
                        <w:top w:val="none" w:sz="0" w:space="0" w:color="auto"/>
                        <w:left w:val="none" w:sz="0" w:space="0" w:color="auto"/>
                        <w:bottom w:val="none" w:sz="0" w:space="0" w:color="auto"/>
                        <w:right w:val="none" w:sz="0" w:space="0" w:color="auto"/>
                      </w:divBdr>
                    </w:div>
                  </w:divsChild>
                </w:div>
                <w:div w:id="1922518011">
                  <w:marLeft w:val="0"/>
                  <w:marRight w:val="0"/>
                  <w:marTop w:val="0"/>
                  <w:marBottom w:val="0"/>
                  <w:divBdr>
                    <w:top w:val="none" w:sz="0" w:space="0" w:color="auto"/>
                    <w:left w:val="none" w:sz="0" w:space="0" w:color="auto"/>
                    <w:bottom w:val="none" w:sz="0" w:space="0" w:color="auto"/>
                    <w:right w:val="none" w:sz="0" w:space="0" w:color="auto"/>
                  </w:divBdr>
                  <w:divsChild>
                    <w:div w:id="1110660578">
                      <w:marLeft w:val="0"/>
                      <w:marRight w:val="0"/>
                      <w:marTop w:val="120"/>
                      <w:marBottom w:val="0"/>
                      <w:divBdr>
                        <w:top w:val="none" w:sz="0" w:space="0" w:color="auto"/>
                        <w:left w:val="none" w:sz="0" w:space="0" w:color="auto"/>
                        <w:bottom w:val="none" w:sz="0" w:space="0" w:color="auto"/>
                        <w:right w:val="none" w:sz="0" w:space="0" w:color="auto"/>
                      </w:divBdr>
                    </w:div>
                    <w:div w:id="142456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4184">
      <w:bodyDiv w:val="1"/>
      <w:marLeft w:val="0"/>
      <w:marRight w:val="0"/>
      <w:marTop w:val="0"/>
      <w:marBottom w:val="0"/>
      <w:divBdr>
        <w:top w:val="none" w:sz="0" w:space="0" w:color="auto"/>
        <w:left w:val="none" w:sz="0" w:space="0" w:color="auto"/>
        <w:bottom w:val="none" w:sz="0" w:space="0" w:color="auto"/>
        <w:right w:val="none" w:sz="0" w:space="0" w:color="auto"/>
      </w:divBdr>
    </w:div>
    <w:div w:id="815802985">
      <w:bodyDiv w:val="1"/>
      <w:marLeft w:val="0"/>
      <w:marRight w:val="0"/>
      <w:marTop w:val="0"/>
      <w:marBottom w:val="0"/>
      <w:divBdr>
        <w:top w:val="none" w:sz="0" w:space="0" w:color="auto"/>
        <w:left w:val="none" w:sz="0" w:space="0" w:color="auto"/>
        <w:bottom w:val="none" w:sz="0" w:space="0" w:color="auto"/>
        <w:right w:val="none" w:sz="0" w:space="0" w:color="auto"/>
      </w:divBdr>
      <w:divsChild>
        <w:div w:id="1450317140">
          <w:marLeft w:val="-225"/>
          <w:marRight w:val="-225"/>
          <w:marTop w:val="0"/>
          <w:marBottom w:val="0"/>
          <w:divBdr>
            <w:top w:val="none" w:sz="0" w:space="0" w:color="auto"/>
            <w:left w:val="none" w:sz="0" w:space="0" w:color="auto"/>
            <w:bottom w:val="none" w:sz="0" w:space="0" w:color="auto"/>
            <w:right w:val="none" w:sz="0" w:space="0" w:color="auto"/>
          </w:divBdr>
        </w:div>
        <w:div w:id="382020889">
          <w:marLeft w:val="-225"/>
          <w:marRight w:val="-225"/>
          <w:marTop w:val="0"/>
          <w:marBottom w:val="0"/>
          <w:divBdr>
            <w:top w:val="none" w:sz="0" w:space="0" w:color="auto"/>
            <w:left w:val="none" w:sz="0" w:space="0" w:color="auto"/>
            <w:bottom w:val="none" w:sz="0" w:space="0" w:color="auto"/>
            <w:right w:val="none" w:sz="0" w:space="0" w:color="auto"/>
          </w:divBdr>
          <w:divsChild>
            <w:div w:id="1419865927">
              <w:marLeft w:val="75"/>
              <w:marRight w:val="0"/>
              <w:marTop w:val="0"/>
              <w:marBottom w:val="0"/>
              <w:divBdr>
                <w:top w:val="none" w:sz="0" w:space="0" w:color="auto"/>
                <w:left w:val="none" w:sz="0" w:space="0" w:color="auto"/>
                <w:bottom w:val="none" w:sz="0" w:space="0" w:color="auto"/>
                <w:right w:val="none" w:sz="0" w:space="0" w:color="auto"/>
              </w:divBdr>
              <w:divsChild>
                <w:div w:id="1258557757">
                  <w:marLeft w:val="0"/>
                  <w:marRight w:val="0"/>
                  <w:marTop w:val="0"/>
                  <w:marBottom w:val="0"/>
                  <w:divBdr>
                    <w:top w:val="none" w:sz="0" w:space="0" w:color="auto"/>
                    <w:left w:val="none" w:sz="0" w:space="0" w:color="auto"/>
                    <w:bottom w:val="none" w:sz="0" w:space="0" w:color="auto"/>
                    <w:right w:val="none" w:sz="0" w:space="0" w:color="auto"/>
                  </w:divBdr>
                </w:div>
                <w:div w:id="181476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49242">
          <w:marLeft w:val="-225"/>
          <w:marRight w:val="-225"/>
          <w:marTop w:val="0"/>
          <w:marBottom w:val="0"/>
          <w:divBdr>
            <w:top w:val="none" w:sz="0" w:space="0" w:color="auto"/>
            <w:left w:val="none" w:sz="0" w:space="0" w:color="auto"/>
            <w:bottom w:val="none" w:sz="0" w:space="0" w:color="auto"/>
            <w:right w:val="none" w:sz="0" w:space="0" w:color="auto"/>
          </w:divBdr>
        </w:div>
      </w:divsChild>
    </w:div>
    <w:div w:id="823007535">
      <w:bodyDiv w:val="1"/>
      <w:marLeft w:val="0"/>
      <w:marRight w:val="0"/>
      <w:marTop w:val="0"/>
      <w:marBottom w:val="0"/>
      <w:divBdr>
        <w:top w:val="none" w:sz="0" w:space="0" w:color="auto"/>
        <w:left w:val="none" w:sz="0" w:space="0" w:color="auto"/>
        <w:bottom w:val="none" w:sz="0" w:space="0" w:color="auto"/>
        <w:right w:val="none" w:sz="0" w:space="0" w:color="auto"/>
      </w:divBdr>
      <w:divsChild>
        <w:div w:id="1800956716">
          <w:marLeft w:val="-225"/>
          <w:marRight w:val="-225"/>
          <w:marTop w:val="0"/>
          <w:marBottom w:val="0"/>
          <w:divBdr>
            <w:top w:val="none" w:sz="0" w:space="0" w:color="auto"/>
            <w:left w:val="none" w:sz="0" w:space="0" w:color="auto"/>
            <w:bottom w:val="none" w:sz="0" w:space="0" w:color="auto"/>
            <w:right w:val="none" w:sz="0" w:space="0" w:color="auto"/>
          </w:divBdr>
        </w:div>
        <w:div w:id="653752684">
          <w:marLeft w:val="-225"/>
          <w:marRight w:val="-225"/>
          <w:marTop w:val="0"/>
          <w:marBottom w:val="0"/>
          <w:divBdr>
            <w:top w:val="none" w:sz="0" w:space="0" w:color="auto"/>
            <w:left w:val="none" w:sz="0" w:space="0" w:color="auto"/>
            <w:bottom w:val="none" w:sz="0" w:space="0" w:color="auto"/>
            <w:right w:val="none" w:sz="0" w:space="0" w:color="auto"/>
          </w:divBdr>
          <w:divsChild>
            <w:div w:id="159658992">
              <w:marLeft w:val="75"/>
              <w:marRight w:val="0"/>
              <w:marTop w:val="0"/>
              <w:marBottom w:val="0"/>
              <w:divBdr>
                <w:top w:val="none" w:sz="0" w:space="0" w:color="auto"/>
                <w:left w:val="none" w:sz="0" w:space="0" w:color="auto"/>
                <w:bottom w:val="none" w:sz="0" w:space="0" w:color="auto"/>
                <w:right w:val="none" w:sz="0" w:space="0" w:color="auto"/>
              </w:divBdr>
              <w:divsChild>
                <w:div w:id="553932156">
                  <w:marLeft w:val="0"/>
                  <w:marRight w:val="0"/>
                  <w:marTop w:val="0"/>
                  <w:marBottom w:val="0"/>
                  <w:divBdr>
                    <w:top w:val="single" w:sz="18" w:space="0" w:color="484848"/>
                    <w:left w:val="single" w:sz="18" w:space="0" w:color="484848"/>
                    <w:bottom w:val="single" w:sz="18" w:space="0" w:color="484848"/>
                    <w:right w:val="single" w:sz="18" w:space="0" w:color="484848"/>
                  </w:divBdr>
                </w:div>
              </w:divsChild>
            </w:div>
          </w:divsChild>
        </w:div>
        <w:div w:id="1558274978">
          <w:marLeft w:val="-225"/>
          <w:marRight w:val="-225"/>
          <w:marTop w:val="0"/>
          <w:marBottom w:val="0"/>
          <w:divBdr>
            <w:top w:val="none" w:sz="0" w:space="0" w:color="auto"/>
            <w:left w:val="none" w:sz="0" w:space="0" w:color="auto"/>
            <w:bottom w:val="none" w:sz="0" w:space="0" w:color="auto"/>
            <w:right w:val="none" w:sz="0" w:space="0" w:color="auto"/>
          </w:divBdr>
        </w:div>
        <w:div w:id="1774789322">
          <w:marLeft w:val="-225"/>
          <w:marRight w:val="-225"/>
          <w:marTop w:val="0"/>
          <w:marBottom w:val="0"/>
          <w:divBdr>
            <w:top w:val="none" w:sz="0" w:space="0" w:color="auto"/>
            <w:left w:val="none" w:sz="0" w:space="0" w:color="auto"/>
            <w:bottom w:val="none" w:sz="0" w:space="0" w:color="auto"/>
            <w:right w:val="none" w:sz="0" w:space="0" w:color="auto"/>
          </w:divBdr>
        </w:div>
        <w:div w:id="941304203">
          <w:marLeft w:val="-225"/>
          <w:marRight w:val="-225"/>
          <w:marTop w:val="0"/>
          <w:marBottom w:val="0"/>
          <w:divBdr>
            <w:top w:val="none" w:sz="0" w:space="0" w:color="auto"/>
            <w:left w:val="none" w:sz="0" w:space="0" w:color="auto"/>
            <w:bottom w:val="none" w:sz="0" w:space="0" w:color="auto"/>
            <w:right w:val="none" w:sz="0" w:space="0" w:color="auto"/>
          </w:divBdr>
        </w:div>
        <w:div w:id="1586185228">
          <w:marLeft w:val="-225"/>
          <w:marRight w:val="-225"/>
          <w:marTop w:val="0"/>
          <w:marBottom w:val="0"/>
          <w:divBdr>
            <w:top w:val="none" w:sz="0" w:space="0" w:color="auto"/>
            <w:left w:val="none" w:sz="0" w:space="0" w:color="auto"/>
            <w:bottom w:val="none" w:sz="0" w:space="0" w:color="auto"/>
            <w:right w:val="none" w:sz="0" w:space="0" w:color="auto"/>
          </w:divBdr>
        </w:div>
        <w:div w:id="668213348">
          <w:marLeft w:val="-225"/>
          <w:marRight w:val="-225"/>
          <w:marTop w:val="0"/>
          <w:marBottom w:val="0"/>
          <w:divBdr>
            <w:top w:val="none" w:sz="0" w:space="0" w:color="auto"/>
            <w:left w:val="none" w:sz="0" w:space="0" w:color="auto"/>
            <w:bottom w:val="none" w:sz="0" w:space="0" w:color="auto"/>
            <w:right w:val="none" w:sz="0" w:space="0" w:color="auto"/>
          </w:divBdr>
        </w:div>
        <w:div w:id="986589355">
          <w:marLeft w:val="-225"/>
          <w:marRight w:val="-225"/>
          <w:marTop w:val="0"/>
          <w:marBottom w:val="0"/>
          <w:divBdr>
            <w:top w:val="none" w:sz="0" w:space="0" w:color="auto"/>
            <w:left w:val="none" w:sz="0" w:space="0" w:color="auto"/>
            <w:bottom w:val="none" w:sz="0" w:space="0" w:color="auto"/>
            <w:right w:val="none" w:sz="0" w:space="0" w:color="auto"/>
          </w:divBdr>
        </w:div>
        <w:div w:id="962885948">
          <w:marLeft w:val="-225"/>
          <w:marRight w:val="-225"/>
          <w:marTop w:val="0"/>
          <w:marBottom w:val="0"/>
          <w:divBdr>
            <w:top w:val="none" w:sz="0" w:space="0" w:color="auto"/>
            <w:left w:val="none" w:sz="0" w:space="0" w:color="auto"/>
            <w:bottom w:val="none" w:sz="0" w:space="0" w:color="auto"/>
            <w:right w:val="none" w:sz="0" w:space="0" w:color="auto"/>
          </w:divBdr>
        </w:div>
        <w:div w:id="465315091">
          <w:marLeft w:val="-225"/>
          <w:marRight w:val="-225"/>
          <w:marTop w:val="0"/>
          <w:marBottom w:val="0"/>
          <w:divBdr>
            <w:top w:val="none" w:sz="0" w:space="0" w:color="auto"/>
            <w:left w:val="none" w:sz="0" w:space="0" w:color="auto"/>
            <w:bottom w:val="none" w:sz="0" w:space="0" w:color="auto"/>
            <w:right w:val="none" w:sz="0" w:space="0" w:color="auto"/>
          </w:divBdr>
        </w:div>
        <w:div w:id="1476557403">
          <w:marLeft w:val="-225"/>
          <w:marRight w:val="-225"/>
          <w:marTop w:val="0"/>
          <w:marBottom w:val="0"/>
          <w:divBdr>
            <w:top w:val="none" w:sz="0" w:space="0" w:color="auto"/>
            <w:left w:val="none" w:sz="0" w:space="0" w:color="auto"/>
            <w:bottom w:val="none" w:sz="0" w:space="0" w:color="auto"/>
            <w:right w:val="none" w:sz="0" w:space="0" w:color="auto"/>
          </w:divBdr>
        </w:div>
        <w:div w:id="585959002">
          <w:marLeft w:val="-225"/>
          <w:marRight w:val="-225"/>
          <w:marTop w:val="0"/>
          <w:marBottom w:val="0"/>
          <w:divBdr>
            <w:top w:val="none" w:sz="0" w:space="0" w:color="auto"/>
            <w:left w:val="none" w:sz="0" w:space="0" w:color="auto"/>
            <w:bottom w:val="none" w:sz="0" w:space="0" w:color="auto"/>
            <w:right w:val="none" w:sz="0" w:space="0" w:color="auto"/>
          </w:divBdr>
        </w:div>
        <w:div w:id="1024942608">
          <w:marLeft w:val="-225"/>
          <w:marRight w:val="-225"/>
          <w:marTop w:val="0"/>
          <w:marBottom w:val="0"/>
          <w:divBdr>
            <w:top w:val="none" w:sz="0" w:space="0" w:color="auto"/>
            <w:left w:val="none" w:sz="0" w:space="0" w:color="auto"/>
            <w:bottom w:val="none" w:sz="0" w:space="0" w:color="auto"/>
            <w:right w:val="none" w:sz="0" w:space="0" w:color="auto"/>
          </w:divBdr>
        </w:div>
        <w:div w:id="501775257">
          <w:marLeft w:val="-225"/>
          <w:marRight w:val="-225"/>
          <w:marTop w:val="0"/>
          <w:marBottom w:val="0"/>
          <w:divBdr>
            <w:top w:val="none" w:sz="0" w:space="0" w:color="auto"/>
            <w:left w:val="none" w:sz="0" w:space="0" w:color="auto"/>
            <w:bottom w:val="none" w:sz="0" w:space="0" w:color="auto"/>
            <w:right w:val="none" w:sz="0" w:space="0" w:color="auto"/>
          </w:divBdr>
        </w:div>
        <w:div w:id="1300577444">
          <w:marLeft w:val="-225"/>
          <w:marRight w:val="-225"/>
          <w:marTop w:val="0"/>
          <w:marBottom w:val="0"/>
          <w:divBdr>
            <w:top w:val="none" w:sz="0" w:space="0" w:color="auto"/>
            <w:left w:val="none" w:sz="0" w:space="0" w:color="auto"/>
            <w:bottom w:val="none" w:sz="0" w:space="0" w:color="auto"/>
            <w:right w:val="none" w:sz="0" w:space="0" w:color="auto"/>
          </w:divBdr>
        </w:div>
        <w:div w:id="144708510">
          <w:marLeft w:val="-225"/>
          <w:marRight w:val="-225"/>
          <w:marTop w:val="0"/>
          <w:marBottom w:val="0"/>
          <w:divBdr>
            <w:top w:val="none" w:sz="0" w:space="0" w:color="auto"/>
            <w:left w:val="none" w:sz="0" w:space="0" w:color="auto"/>
            <w:bottom w:val="none" w:sz="0" w:space="0" w:color="auto"/>
            <w:right w:val="none" w:sz="0" w:space="0" w:color="auto"/>
          </w:divBdr>
        </w:div>
        <w:div w:id="787697697">
          <w:marLeft w:val="-225"/>
          <w:marRight w:val="-225"/>
          <w:marTop w:val="0"/>
          <w:marBottom w:val="0"/>
          <w:divBdr>
            <w:top w:val="none" w:sz="0" w:space="0" w:color="auto"/>
            <w:left w:val="none" w:sz="0" w:space="0" w:color="auto"/>
            <w:bottom w:val="none" w:sz="0" w:space="0" w:color="auto"/>
            <w:right w:val="none" w:sz="0" w:space="0" w:color="auto"/>
          </w:divBdr>
        </w:div>
        <w:div w:id="473982686">
          <w:marLeft w:val="-225"/>
          <w:marRight w:val="-225"/>
          <w:marTop w:val="0"/>
          <w:marBottom w:val="0"/>
          <w:divBdr>
            <w:top w:val="none" w:sz="0" w:space="0" w:color="auto"/>
            <w:left w:val="none" w:sz="0" w:space="0" w:color="auto"/>
            <w:bottom w:val="none" w:sz="0" w:space="0" w:color="auto"/>
            <w:right w:val="none" w:sz="0" w:space="0" w:color="auto"/>
          </w:divBdr>
        </w:div>
        <w:div w:id="1842625579">
          <w:marLeft w:val="-225"/>
          <w:marRight w:val="-225"/>
          <w:marTop w:val="0"/>
          <w:marBottom w:val="0"/>
          <w:divBdr>
            <w:top w:val="none" w:sz="0" w:space="0" w:color="auto"/>
            <w:left w:val="none" w:sz="0" w:space="0" w:color="auto"/>
            <w:bottom w:val="none" w:sz="0" w:space="0" w:color="auto"/>
            <w:right w:val="none" w:sz="0" w:space="0" w:color="auto"/>
          </w:divBdr>
        </w:div>
        <w:div w:id="1172991818">
          <w:marLeft w:val="-225"/>
          <w:marRight w:val="-225"/>
          <w:marTop w:val="0"/>
          <w:marBottom w:val="0"/>
          <w:divBdr>
            <w:top w:val="none" w:sz="0" w:space="0" w:color="auto"/>
            <w:left w:val="none" w:sz="0" w:space="0" w:color="auto"/>
            <w:bottom w:val="none" w:sz="0" w:space="0" w:color="auto"/>
            <w:right w:val="none" w:sz="0" w:space="0" w:color="auto"/>
          </w:divBdr>
        </w:div>
        <w:div w:id="135807736">
          <w:marLeft w:val="-225"/>
          <w:marRight w:val="-225"/>
          <w:marTop w:val="0"/>
          <w:marBottom w:val="0"/>
          <w:divBdr>
            <w:top w:val="none" w:sz="0" w:space="0" w:color="auto"/>
            <w:left w:val="none" w:sz="0" w:space="0" w:color="auto"/>
            <w:bottom w:val="none" w:sz="0" w:space="0" w:color="auto"/>
            <w:right w:val="none" w:sz="0" w:space="0" w:color="auto"/>
          </w:divBdr>
        </w:div>
        <w:div w:id="910896109">
          <w:marLeft w:val="-225"/>
          <w:marRight w:val="-225"/>
          <w:marTop w:val="0"/>
          <w:marBottom w:val="0"/>
          <w:divBdr>
            <w:top w:val="none" w:sz="0" w:space="0" w:color="auto"/>
            <w:left w:val="none" w:sz="0" w:space="0" w:color="auto"/>
            <w:bottom w:val="none" w:sz="0" w:space="0" w:color="auto"/>
            <w:right w:val="none" w:sz="0" w:space="0" w:color="auto"/>
          </w:divBdr>
        </w:div>
        <w:div w:id="1742289378">
          <w:marLeft w:val="-225"/>
          <w:marRight w:val="-225"/>
          <w:marTop w:val="0"/>
          <w:marBottom w:val="0"/>
          <w:divBdr>
            <w:top w:val="none" w:sz="0" w:space="0" w:color="auto"/>
            <w:left w:val="none" w:sz="0" w:space="0" w:color="auto"/>
            <w:bottom w:val="none" w:sz="0" w:space="0" w:color="auto"/>
            <w:right w:val="none" w:sz="0" w:space="0" w:color="auto"/>
          </w:divBdr>
          <w:divsChild>
            <w:div w:id="481583457">
              <w:marLeft w:val="75"/>
              <w:marRight w:val="0"/>
              <w:marTop w:val="0"/>
              <w:marBottom w:val="0"/>
              <w:divBdr>
                <w:top w:val="none" w:sz="0" w:space="0" w:color="auto"/>
                <w:left w:val="none" w:sz="0" w:space="0" w:color="auto"/>
                <w:bottom w:val="none" w:sz="0" w:space="0" w:color="auto"/>
                <w:right w:val="none" w:sz="0" w:space="0" w:color="auto"/>
              </w:divBdr>
              <w:divsChild>
                <w:div w:id="837035286">
                  <w:marLeft w:val="0"/>
                  <w:marRight w:val="0"/>
                  <w:marTop w:val="0"/>
                  <w:marBottom w:val="0"/>
                  <w:divBdr>
                    <w:top w:val="single" w:sz="18" w:space="0" w:color="484848"/>
                    <w:left w:val="single" w:sz="18" w:space="0" w:color="484848"/>
                    <w:bottom w:val="single" w:sz="18" w:space="0" w:color="484848"/>
                    <w:right w:val="single" w:sz="18" w:space="0" w:color="484848"/>
                  </w:divBdr>
                </w:div>
                <w:div w:id="1536306000">
                  <w:marLeft w:val="0"/>
                  <w:marRight w:val="0"/>
                  <w:marTop w:val="0"/>
                  <w:marBottom w:val="0"/>
                  <w:divBdr>
                    <w:top w:val="none" w:sz="0" w:space="0" w:color="auto"/>
                    <w:left w:val="none" w:sz="0" w:space="0" w:color="auto"/>
                    <w:bottom w:val="none" w:sz="0" w:space="0" w:color="auto"/>
                    <w:right w:val="none" w:sz="0" w:space="0" w:color="auto"/>
                  </w:divBdr>
                </w:div>
                <w:div w:id="5799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503166">
          <w:marLeft w:val="-225"/>
          <w:marRight w:val="-225"/>
          <w:marTop w:val="0"/>
          <w:marBottom w:val="0"/>
          <w:divBdr>
            <w:top w:val="none" w:sz="0" w:space="0" w:color="auto"/>
            <w:left w:val="none" w:sz="0" w:space="0" w:color="auto"/>
            <w:bottom w:val="none" w:sz="0" w:space="0" w:color="auto"/>
            <w:right w:val="none" w:sz="0" w:space="0" w:color="auto"/>
          </w:divBdr>
        </w:div>
        <w:div w:id="1695184713">
          <w:marLeft w:val="-225"/>
          <w:marRight w:val="-225"/>
          <w:marTop w:val="0"/>
          <w:marBottom w:val="0"/>
          <w:divBdr>
            <w:top w:val="none" w:sz="0" w:space="0" w:color="auto"/>
            <w:left w:val="none" w:sz="0" w:space="0" w:color="auto"/>
            <w:bottom w:val="none" w:sz="0" w:space="0" w:color="auto"/>
            <w:right w:val="none" w:sz="0" w:space="0" w:color="auto"/>
          </w:divBdr>
        </w:div>
        <w:div w:id="1421948890">
          <w:marLeft w:val="-225"/>
          <w:marRight w:val="-225"/>
          <w:marTop w:val="0"/>
          <w:marBottom w:val="0"/>
          <w:divBdr>
            <w:top w:val="none" w:sz="0" w:space="0" w:color="auto"/>
            <w:left w:val="none" w:sz="0" w:space="0" w:color="auto"/>
            <w:bottom w:val="none" w:sz="0" w:space="0" w:color="auto"/>
            <w:right w:val="none" w:sz="0" w:space="0" w:color="auto"/>
          </w:divBdr>
        </w:div>
        <w:div w:id="1022781357">
          <w:marLeft w:val="-225"/>
          <w:marRight w:val="-225"/>
          <w:marTop w:val="0"/>
          <w:marBottom w:val="0"/>
          <w:divBdr>
            <w:top w:val="none" w:sz="0" w:space="0" w:color="auto"/>
            <w:left w:val="none" w:sz="0" w:space="0" w:color="auto"/>
            <w:bottom w:val="none" w:sz="0" w:space="0" w:color="auto"/>
            <w:right w:val="none" w:sz="0" w:space="0" w:color="auto"/>
          </w:divBdr>
        </w:div>
        <w:div w:id="145981001">
          <w:marLeft w:val="-225"/>
          <w:marRight w:val="-225"/>
          <w:marTop w:val="0"/>
          <w:marBottom w:val="0"/>
          <w:divBdr>
            <w:top w:val="none" w:sz="0" w:space="0" w:color="auto"/>
            <w:left w:val="none" w:sz="0" w:space="0" w:color="auto"/>
            <w:bottom w:val="none" w:sz="0" w:space="0" w:color="auto"/>
            <w:right w:val="none" w:sz="0" w:space="0" w:color="auto"/>
          </w:divBdr>
        </w:div>
        <w:div w:id="1947035432">
          <w:marLeft w:val="-225"/>
          <w:marRight w:val="-225"/>
          <w:marTop w:val="0"/>
          <w:marBottom w:val="0"/>
          <w:divBdr>
            <w:top w:val="none" w:sz="0" w:space="0" w:color="auto"/>
            <w:left w:val="none" w:sz="0" w:space="0" w:color="auto"/>
            <w:bottom w:val="none" w:sz="0" w:space="0" w:color="auto"/>
            <w:right w:val="none" w:sz="0" w:space="0" w:color="auto"/>
          </w:divBdr>
        </w:div>
        <w:div w:id="383218013">
          <w:marLeft w:val="-225"/>
          <w:marRight w:val="-225"/>
          <w:marTop w:val="0"/>
          <w:marBottom w:val="0"/>
          <w:divBdr>
            <w:top w:val="none" w:sz="0" w:space="0" w:color="auto"/>
            <w:left w:val="none" w:sz="0" w:space="0" w:color="auto"/>
            <w:bottom w:val="none" w:sz="0" w:space="0" w:color="auto"/>
            <w:right w:val="none" w:sz="0" w:space="0" w:color="auto"/>
          </w:divBdr>
        </w:div>
        <w:div w:id="954407625">
          <w:marLeft w:val="-225"/>
          <w:marRight w:val="-225"/>
          <w:marTop w:val="0"/>
          <w:marBottom w:val="0"/>
          <w:divBdr>
            <w:top w:val="none" w:sz="0" w:space="0" w:color="auto"/>
            <w:left w:val="none" w:sz="0" w:space="0" w:color="auto"/>
            <w:bottom w:val="none" w:sz="0" w:space="0" w:color="auto"/>
            <w:right w:val="none" w:sz="0" w:space="0" w:color="auto"/>
          </w:divBdr>
        </w:div>
      </w:divsChild>
    </w:div>
    <w:div w:id="825784828">
      <w:bodyDiv w:val="1"/>
      <w:marLeft w:val="0"/>
      <w:marRight w:val="0"/>
      <w:marTop w:val="0"/>
      <w:marBottom w:val="0"/>
      <w:divBdr>
        <w:top w:val="none" w:sz="0" w:space="0" w:color="auto"/>
        <w:left w:val="none" w:sz="0" w:space="0" w:color="auto"/>
        <w:bottom w:val="none" w:sz="0" w:space="0" w:color="auto"/>
        <w:right w:val="none" w:sz="0" w:space="0" w:color="auto"/>
      </w:divBdr>
    </w:div>
    <w:div w:id="829100543">
      <w:bodyDiv w:val="1"/>
      <w:marLeft w:val="0"/>
      <w:marRight w:val="0"/>
      <w:marTop w:val="0"/>
      <w:marBottom w:val="0"/>
      <w:divBdr>
        <w:top w:val="none" w:sz="0" w:space="0" w:color="auto"/>
        <w:left w:val="none" w:sz="0" w:space="0" w:color="auto"/>
        <w:bottom w:val="none" w:sz="0" w:space="0" w:color="auto"/>
        <w:right w:val="none" w:sz="0" w:space="0" w:color="auto"/>
      </w:divBdr>
      <w:divsChild>
        <w:div w:id="1500076355">
          <w:marLeft w:val="0"/>
          <w:marRight w:val="0"/>
          <w:marTop w:val="0"/>
          <w:marBottom w:val="0"/>
          <w:divBdr>
            <w:top w:val="none" w:sz="0" w:space="0" w:color="auto"/>
            <w:left w:val="none" w:sz="0" w:space="0" w:color="auto"/>
            <w:bottom w:val="none" w:sz="0" w:space="0" w:color="auto"/>
            <w:right w:val="none" w:sz="0" w:space="0" w:color="auto"/>
          </w:divBdr>
          <w:divsChild>
            <w:div w:id="527833562">
              <w:marLeft w:val="0"/>
              <w:marRight w:val="0"/>
              <w:marTop w:val="0"/>
              <w:marBottom w:val="0"/>
              <w:divBdr>
                <w:top w:val="none" w:sz="0" w:space="0" w:color="auto"/>
                <w:left w:val="none" w:sz="0" w:space="0" w:color="auto"/>
                <w:bottom w:val="none" w:sz="0" w:space="0" w:color="auto"/>
                <w:right w:val="none" w:sz="0" w:space="0" w:color="auto"/>
              </w:divBdr>
            </w:div>
            <w:div w:id="589118347">
              <w:marLeft w:val="0"/>
              <w:marRight w:val="0"/>
              <w:marTop w:val="0"/>
              <w:marBottom w:val="0"/>
              <w:divBdr>
                <w:top w:val="none" w:sz="0" w:space="0" w:color="auto"/>
                <w:left w:val="none" w:sz="0" w:space="0" w:color="auto"/>
                <w:bottom w:val="none" w:sz="0" w:space="0" w:color="auto"/>
                <w:right w:val="none" w:sz="0" w:space="0" w:color="auto"/>
              </w:divBdr>
            </w:div>
            <w:div w:id="955908336">
              <w:marLeft w:val="0"/>
              <w:marRight w:val="0"/>
              <w:marTop w:val="0"/>
              <w:marBottom w:val="0"/>
              <w:divBdr>
                <w:top w:val="none" w:sz="0" w:space="0" w:color="auto"/>
                <w:left w:val="none" w:sz="0" w:space="0" w:color="auto"/>
                <w:bottom w:val="none" w:sz="0" w:space="0" w:color="auto"/>
                <w:right w:val="none" w:sz="0" w:space="0" w:color="auto"/>
              </w:divBdr>
            </w:div>
            <w:div w:id="2089186259">
              <w:marLeft w:val="0"/>
              <w:marRight w:val="0"/>
              <w:marTop w:val="0"/>
              <w:marBottom w:val="0"/>
              <w:divBdr>
                <w:top w:val="none" w:sz="0" w:space="0" w:color="auto"/>
                <w:left w:val="none" w:sz="0" w:space="0" w:color="auto"/>
                <w:bottom w:val="none" w:sz="0" w:space="0" w:color="auto"/>
                <w:right w:val="none" w:sz="0" w:space="0" w:color="auto"/>
              </w:divBdr>
            </w:div>
          </w:divsChild>
        </w:div>
        <w:div w:id="2113741768">
          <w:marLeft w:val="0"/>
          <w:marRight w:val="0"/>
          <w:marTop w:val="0"/>
          <w:marBottom w:val="0"/>
          <w:divBdr>
            <w:top w:val="none" w:sz="0" w:space="0" w:color="auto"/>
            <w:left w:val="none" w:sz="0" w:space="0" w:color="auto"/>
            <w:bottom w:val="none" w:sz="0" w:space="0" w:color="auto"/>
            <w:right w:val="none" w:sz="0" w:space="0" w:color="auto"/>
          </w:divBdr>
          <w:divsChild>
            <w:div w:id="432626497">
              <w:marLeft w:val="0"/>
              <w:marRight w:val="0"/>
              <w:marTop w:val="0"/>
              <w:marBottom w:val="0"/>
              <w:divBdr>
                <w:top w:val="none" w:sz="0" w:space="0" w:color="auto"/>
                <w:left w:val="none" w:sz="0" w:space="0" w:color="auto"/>
                <w:bottom w:val="none" w:sz="0" w:space="0" w:color="auto"/>
                <w:right w:val="none" w:sz="0" w:space="0" w:color="auto"/>
              </w:divBdr>
            </w:div>
            <w:div w:id="515268287">
              <w:marLeft w:val="0"/>
              <w:marRight w:val="0"/>
              <w:marTop w:val="0"/>
              <w:marBottom w:val="0"/>
              <w:divBdr>
                <w:top w:val="none" w:sz="0" w:space="0" w:color="auto"/>
                <w:left w:val="none" w:sz="0" w:space="0" w:color="auto"/>
                <w:bottom w:val="none" w:sz="0" w:space="0" w:color="auto"/>
                <w:right w:val="none" w:sz="0" w:space="0" w:color="auto"/>
              </w:divBdr>
            </w:div>
            <w:div w:id="11952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4586">
      <w:bodyDiv w:val="1"/>
      <w:marLeft w:val="0"/>
      <w:marRight w:val="0"/>
      <w:marTop w:val="0"/>
      <w:marBottom w:val="0"/>
      <w:divBdr>
        <w:top w:val="none" w:sz="0" w:space="0" w:color="auto"/>
        <w:left w:val="none" w:sz="0" w:space="0" w:color="auto"/>
        <w:bottom w:val="none" w:sz="0" w:space="0" w:color="auto"/>
        <w:right w:val="none" w:sz="0" w:space="0" w:color="auto"/>
      </w:divBdr>
    </w:div>
    <w:div w:id="888758255">
      <w:bodyDiv w:val="1"/>
      <w:marLeft w:val="0"/>
      <w:marRight w:val="0"/>
      <w:marTop w:val="0"/>
      <w:marBottom w:val="0"/>
      <w:divBdr>
        <w:top w:val="none" w:sz="0" w:space="0" w:color="auto"/>
        <w:left w:val="none" w:sz="0" w:space="0" w:color="auto"/>
        <w:bottom w:val="none" w:sz="0" w:space="0" w:color="auto"/>
        <w:right w:val="none" w:sz="0" w:space="0" w:color="auto"/>
      </w:divBdr>
      <w:divsChild>
        <w:div w:id="7492218">
          <w:marLeft w:val="-225"/>
          <w:marRight w:val="-225"/>
          <w:marTop w:val="0"/>
          <w:marBottom w:val="0"/>
          <w:divBdr>
            <w:top w:val="none" w:sz="0" w:space="0" w:color="auto"/>
            <w:left w:val="none" w:sz="0" w:space="0" w:color="auto"/>
            <w:bottom w:val="none" w:sz="0" w:space="0" w:color="auto"/>
            <w:right w:val="none" w:sz="0" w:space="0" w:color="auto"/>
          </w:divBdr>
        </w:div>
        <w:div w:id="30882496">
          <w:marLeft w:val="-225"/>
          <w:marRight w:val="-225"/>
          <w:marTop w:val="0"/>
          <w:marBottom w:val="0"/>
          <w:divBdr>
            <w:top w:val="none" w:sz="0" w:space="0" w:color="auto"/>
            <w:left w:val="none" w:sz="0" w:space="0" w:color="auto"/>
            <w:bottom w:val="none" w:sz="0" w:space="0" w:color="auto"/>
            <w:right w:val="none" w:sz="0" w:space="0" w:color="auto"/>
          </w:divBdr>
        </w:div>
        <w:div w:id="50352443">
          <w:marLeft w:val="-225"/>
          <w:marRight w:val="-225"/>
          <w:marTop w:val="0"/>
          <w:marBottom w:val="0"/>
          <w:divBdr>
            <w:top w:val="none" w:sz="0" w:space="0" w:color="auto"/>
            <w:left w:val="none" w:sz="0" w:space="0" w:color="auto"/>
            <w:bottom w:val="none" w:sz="0" w:space="0" w:color="auto"/>
            <w:right w:val="none" w:sz="0" w:space="0" w:color="auto"/>
          </w:divBdr>
        </w:div>
        <w:div w:id="184638635">
          <w:marLeft w:val="-225"/>
          <w:marRight w:val="-225"/>
          <w:marTop w:val="0"/>
          <w:marBottom w:val="0"/>
          <w:divBdr>
            <w:top w:val="none" w:sz="0" w:space="0" w:color="auto"/>
            <w:left w:val="none" w:sz="0" w:space="0" w:color="auto"/>
            <w:bottom w:val="none" w:sz="0" w:space="0" w:color="auto"/>
            <w:right w:val="none" w:sz="0" w:space="0" w:color="auto"/>
          </w:divBdr>
        </w:div>
        <w:div w:id="418329501">
          <w:marLeft w:val="-225"/>
          <w:marRight w:val="-225"/>
          <w:marTop w:val="0"/>
          <w:marBottom w:val="0"/>
          <w:divBdr>
            <w:top w:val="none" w:sz="0" w:space="0" w:color="auto"/>
            <w:left w:val="none" w:sz="0" w:space="0" w:color="auto"/>
            <w:bottom w:val="none" w:sz="0" w:space="0" w:color="auto"/>
            <w:right w:val="none" w:sz="0" w:space="0" w:color="auto"/>
          </w:divBdr>
        </w:div>
        <w:div w:id="431317117">
          <w:marLeft w:val="-225"/>
          <w:marRight w:val="-225"/>
          <w:marTop w:val="0"/>
          <w:marBottom w:val="0"/>
          <w:divBdr>
            <w:top w:val="none" w:sz="0" w:space="0" w:color="auto"/>
            <w:left w:val="none" w:sz="0" w:space="0" w:color="auto"/>
            <w:bottom w:val="none" w:sz="0" w:space="0" w:color="auto"/>
            <w:right w:val="none" w:sz="0" w:space="0" w:color="auto"/>
          </w:divBdr>
        </w:div>
        <w:div w:id="436684210">
          <w:marLeft w:val="-225"/>
          <w:marRight w:val="-225"/>
          <w:marTop w:val="0"/>
          <w:marBottom w:val="0"/>
          <w:divBdr>
            <w:top w:val="none" w:sz="0" w:space="0" w:color="auto"/>
            <w:left w:val="none" w:sz="0" w:space="0" w:color="auto"/>
            <w:bottom w:val="none" w:sz="0" w:space="0" w:color="auto"/>
            <w:right w:val="none" w:sz="0" w:space="0" w:color="auto"/>
          </w:divBdr>
        </w:div>
        <w:div w:id="538398162">
          <w:marLeft w:val="-225"/>
          <w:marRight w:val="-225"/>
          <w:marTop w:val="0"/>
          <w:marBottom w:val="0"/>
          <w:divBdr>
            <w:top w:val="none" w:sz="0" w:space="0" w:color="auto"/>
            <w:left w:val="none" w:sz="0" w:space="0" w:color="auto"/>
            <w:bottom w:val="none" w:sz="0" w:space="0" w:color="auto"/>
            <w:right w:val="none" w:sz="0" w:space="0" w:color="auto"/>
          </w:divBdr>
        </w:div>
        <w:div w:id="580338816">
          <w:marLeft w:val="-225"/>
          <w:marRight w:val="-225"/>
          <w:marTop w:val="0"/>
          <w:marBottom w:val="0"/>
          <w:divBdr>
            <w:top w:val="none" w:sz="0" w:space="0" w:color="auto"/>
            <w:left w:val="none" w:sz="0" w:space="0" w:color="auto"/>
            <w:bottom w:val="none" w:sz="0" w:space="0" w:color="auto"/>
            <w:right w:val="none" w:sz="0" w:space="0" w:color="auto"/>
          </w:divBdr>
        </w:div>
        <w:div w:id="600996522">
          <w:marLeft w:val="-225"/>
          <w:marRight w:val="-225"/>
          <w:marTop w:val="0"/>
          <w:marBottom w:val="0"/>
          <w:divBdr>
            <w:top w:val="none" w:sz="0" w:space="0" w:color="auto"/>
            <w:left w:val="none" w:sz="0" w:space="0" w:color="auto"/>
            <w:bottom w:val="none" w:sz="0" w:space="0" w:color="auto"/>
            <w:right w:val="none" w:sz="0" w:space="0" w:color="auto"/>
          </w:divBdr>
        </w:div>
        <w:div w:id="611983859">
          <w:marLeft w:val="-225"/>
          <w:marRight w:val="-225"/>
          <w:marTop w:val="0"/>
          <w:marBottom w:val="0"/>
          <w:divBdr>
            <w:top w:val="none" w:sz="0" w:space="0" w:color="auto"/>
            <w:left w:val="none" w:sz="0" w:space="0" w:color="auto"/>
            <w:bottom w:val="none" w:sz="0" w:space="0" w:color="auto"/>
            <w:right w:val="none" w:sz="0" w:space="0" w:color="auto"/>
          </w:divBdr>
        </w:div>
        <w:div w:id="615061965">
          <w:marLeft w:val="-225"/>
          <w:marRight w:val="-225"/>
          <w:marTop w:val="0"/>
          <w:marBottom w:val="0"/>
          <w:divBdr>
            <w:top w:val="none" w:sz="0" w:space="0" w:color="auto"/>
            <w:left w:val="none" w:sz="0" w:space="0" w:color="auto"/>
            <w:bottom w:val="none" w:sz="0" w:space="0" w:color="auto"/>
            <w:right w:val="none" w:sz="0" w:space="0" w:color="auto"/>
          </w:divBdr>
        </w:div>
        <w:div w:id="638732834">
          <w:marLeft w:val="-225"/>
          <w:marRight w:val="-225"/>
          <w:marTop w:val="0"/>
          <w:marBottom w:val="0"/>
          <w:divBdr>
            <w:top w:val="none" w:sz="0" w:space="0" w:color="auto"/>
            <w:left w:val="none" w:sz="0" w:space="0" w:color="auto"/>
            <w:bottom w:val="none" w:sz="0" w:space="0" w:color="auto"/>
            <w:right w:val="none" w:sz="0" w:space="0" w:color="auto"/>
          </w:divBdr>
        </w:div>
        <w:div w:id="675377908">
          <w:marLeft w:val="-225"/>
          <w:marRight w:val="-225"/>
          <w:marTop w:val="0"/>
          <w:marBottom w:val="0"/>
          <w:divBdr>
            <w:top w:val="none" w:sz="0" w:space="0" w:color="auto"/>
            <w:left w:val="none" w:sz="0" w:space="0" w:color="auto"/>
            <w:bottom w:val="none" w:sz="0" w:space="0" w:color="auto"/>
            <w:right w:val="none" w:sz="0" w:space="0" w:color="auto"/>
          </w:divBdr>
        </w:div>
        <w:div w:id="690566319">
          <w:marLeft w:val="-225"/>
          <w:marRight w:val="-225"/>
          <w:marTop w:val="0"/>
          <w:marBottom w:val="0"/>
          <w:divBdr>
            <w:top w:val="none" w:sz="0" w:space="0" w:color="auto"/>
            <w:left w:val="none" w:sz="0" w:space="0" w:color="auto"/>
            <w:bottom w:val="none" w:sz="0" w:space="0" w:color="auto"/>
            <w:right w:val="none" w:sz="0" w:space="0" w:color="auto"/>
          </w:divBdr>
        </w:div>
        <w:div w:id="788666761">
          <w:marLeft w:val="-225"/>
          <w:marRight w:val="-225"/>
          <w:marTop w:val="0"/>
          <w:marBottom w:val="0"/>
          <w:divBdr>
            <w:top w:val="none" w:sz="0" w:space="0" w:color="auto"/>
            <w:left w:val="none" w:sz="0" w:space="0" w:color="auto"/>
            <w:bottom w:val="none" w:sz="0" w:space="0" w:color="auto"/>
            <w:right w:val="none" w:sz="0" w:space="0" w:color="auto"/>
          </w:divBdr>
        </w:div>
        <w:div w:id="885262296">
          <w:marLeft w:val="-225"/>
          <w:marRight w:val="-225"/>
          <w:marTop w:val="0"/>
          <w:marBottom w:val="0"/>
          <w:divBdr>
            <w:top w:val="none" w:sz="0" w:space="0" w:color="auto"/>
            <w:left w:val="none" w:sz="0" w:space="0" w:color="auto"/>
            <w:bottom w:val="none" w:sz="0" w:space="0" w:color="auto"/>
            <w:right w:val="none" w:sz="0" w:space="0" w:color="auto"/>
          </w:divBdr>
        </w:div>
        <w:div w:id="935819863">
          <w:marLeft w:val="-225"/>
          <w:marRight w:val="-225"/>
          <w:marTop w:val="0"/>
          <w:marBottom w:val="0"/>
          <w:divBdr>
            <w:top w:val="none" w:sz="0" w:space="0" w:color="auto"/>
            <w:left w:val="none" w:sz="0" w:space="0" w:color="auto"/>
            <w:bottom w:val="none" w:sz="0" w:space="0" w:color="auto"/>
            <w:right w:val="none" w:sz="0" w:space="0" w:color="auto"/>
          </w:divBdr>
        </w:div>
        <w:div w:id="977295202">
          <w:marLeft w:val="-225"/>
          <w:marRight w:val="-225"/>
          <w:marTop w:val="0"/>
          <w:marBottom w:val="0"/>
          <w:divBdr>
            <w:top w:val="none" w:sz="0" w:space="0" w:color="auto"/>
            <w:left w:val="none" w:sz="0" w:space="0" w:color="auto"/>
            <w:bottom w:val="none" w:sz="0" w:space="0" w:color="auto"/>
            <w:right w:val="none" w:sz="0" w:space="0" w:color="auto"/>
          </w:divBdr>
        </w:div>
        <w:div w:id="1005132726">
          <w:marLeft w:val="-225"/>
          <w:marRight w:val="-225"/>
          <w:marTop w:val="0"/>
          <w:marBottom w:val="0"/>
          <w:divBdr>
            <w:top w:val="none" w:sz="0" w:space="0" w:color="auto"/>
            <w:left w:val="none" w:sz="0" w:space="0" w:color="auto"/>
            <w:bottom w:val="none" w:sz="0" w:space="0" w:color="auto"/>
            <w:right w:val="none" w:sz="0" w:space="0" w:color="auto"/>
          </w:divBdr>
        </w:div>
        <w:div w:id="1046295256">
          <w:marLeft w:val="-225"/>
          <w:marRight w:val="-225"/>
          <w:marTop w:val="0"/>
          <w:marBottom w:val="0"/>
          <w:divBdr>
            <w:top w:val="none" w:sz="0" w:space="0" w:color="auto"/>
            <w:left w:val="none" w:sz="0" w:space="0" w:color="auto"/>
            <w:bottom w:val="none" w:sz="0" w:space="0" w:color="auto"/>
            <w:right w:val="none" w:sz="0" w:space="0" w:color="auto"/>
          </w:divBdr>
        </w:div>
        <w:div w:id="1076705547">
          <w:marLeft w:val="-225"/>
          <w:marRight w:val="-225"/>
          <w:marTop w:val="0"/>
          <w:marBottom w:val="0"/>
          <w:divBdr>
            <w:top w:val="none" w:sz="0" w:space="0" w:color="auto"/>
            <w:left w:val="none" w:sz="0" w:space="0" w:color="auto"/>
            <w:bottom w:val="none" w:sz="0" w:space="0" w:color="auto"/>
            <w:right w:val="none" w:sz="0" w:space="0" w:color="auto"/>
          </w:divBdr>
          <w:divsChild>
            <w:div w:id="490370802">
              <w:marLeft w:val="75"/>
              <w:marRight w:val="0"/>
              <w:marTop w:val="0"/>
              <w:marBottom w:val="0"/>
              <w:divBdr>
                <w:top w:val="none" w:sz="0" w:space="0" w:color="auto"/>
                <w:left w:val="none" w:sz="0" w:space="0" w:color="auto"/>
                <w:bottom w:val="none" w:sz="0" w:space="0" w:color="auto"/>
                <w:right w:val="none" w:sz="0" w:space="0" w:color="auto"/>
              </w:divBdr>
              <w:divsChild>
                <w:div w:id="336230516">
                  <w:marLeft w:val="0"/>
                  <w:marRight w:val="0"/>
                  <w:marTop w:val="0"/>
                  <w:marBottom w:val="0"/>
                  <w:divBdr>
                    <w:top w:val="single" w:sz="18" w:space="0" w:color="484848"/>
                    <w:left w:val="single" w:sz="18" w:space="0" w:color="484848"/>
                    <w:bottom w:val="single" w:sz="18" w:space="0" w:color="484848"/>
                    <w:right w:val="single" w:sz="18" w:space="0" w:color="484848"/>
                  </w:divBdr>
                </w:div>
                <w:div w:id="650908988">
                  <w:marLeft w:val="0"/>
                  <w:marRight w:val="0"/>
                  <w:marTop w:val="0"/>
                  <w:marBottom w:val="0"/>
                  <w:divBdr>
                    <w:top w:val="none" w:sz="0" w:space="0" w:color="auto"/>
                    <w:left w:val="none" w:sz="0" w:space="0" w:color="auto"/>
                    <w:bottom w:val="none" w:sz="0" w:space="0" w:color="auto"/>
                    <w:right w:val="none" w:sz="0" w:space="0" w:color="auto"/>
                  </w:divBdr>
                </w:div>
                <w:div w:id="809858602">
                  <w:marLeft w:val="0"/>
                  <w:marRight w:val="0"/>
                  <w:marTop w:val="0"/>
                  <w:marBottom w:val="0"/>
                  <w:divBdr>
                    <w:top w:val="none" w:sz="0" w:space="0" w:color="auto"/>
                    <w:left w:val="none" w:sz="0" w:space="0" w:color="auto"/>
                    <w:bottom w:val="none" w:sz="0" w:space="0" w:color="auto"/>
                    <w:right w:val="none" w:sz="0" w:space="0" w:color="auto"/>
                  </w:divBdr>
                </w:div>
                <w:div w:id="1352561450">
                  <w:marLeft w:val="0"/>
                  <w:marRight w:val="0"/>
                  <w:marTop w:val="0"/>
                  <w:marBottom w:val="0"/>
                  <w:divBdr>
                    <w:top w:val="single" w:sz="18" w:space="0" w:color="484848"/>
                    <w:left w:val="single" w:sz="18" w:space="0" w:color="484848"/>
                    <w:bottom w:val="single" w:sz="18" w:space="0" w:color="484848"/>
                    <w:right w:val="single" w:sz="18" w:space="0" w:color="484848"/>
                  </w:divBdr>
                </w:div>
              </w:divsChild>
            </w:div>
          </w:divsChild>
        </w:div>
        <w:div w:id="1152404660">
          <w:marLeft w:val="-225"/>
          <w:marRight w:val="-225"/>
          <w:marTop w:val="0"/>
          <w:marBottom w:val="0"/>
          <w:divBdr>
            <w:top w:val="none" w:sz="0" w:space="0" w:color="auto"/>
            <w:left w:val="none" w:sz="0" w:space="0" w:color="auto"/>
            <w:bottom w:val="none" w:sz="0" w:space="0" w:color="auto"/>
            <w:right w:val="none" w:sz="0" w:space="0" w:color="auto"/>
          </w:divBdr>
        </w:div>
        <w:div w:id="1152797494">
          <w:marLeft w:val="-225"/>
          <w:marRight w:val="-225"/>
          <w:marTop w:val="0"/>
          <w:marBottom w:val="0"/>
          <w:divBdr>
            <w:top w:val="none" w:sz="0" w:space="0" w:color="auto"/>
            <w:left w:val="none" w:sz="0" w:space="0" w:color="auto"/>
            <w:bottom w:val="none" w:sz="0" w:space="0" w:color="auto"/>
            <w:right w:val="none" w:sz="0" w:space="0" w:color="auto"/>
          </w:divBdr>
        </w:div>
        <w:div w:id="1197043087">
          <w:marLeft w:val="-225"/>
          <w:marRight w:val="-225"/>
          <w:marTop w:val="0"/>
          <w:marBottom w:val="0"/>
          <w:divBdr>
            <w:top w:val="none" w:sz="0" w:space="0" w:color="auto"/>
            <w:left w:val="none" w:sz="0" w:space="0" w:color="auto"/>
            <w:bottom w:val="none" w:sz="0" w:space="0" w:color="auto"/>
            <w:right w:val="none" w:sz="0" w:space="0" w:color="auto"/>
          </w:divBdr>
        </w:div>
        <w:div w:id="1235042323">
          <w:marLeft w:val="-225"/>
          <w:marRight w:val="-225"/>
          <w:marTop w:val="0"/>
          <w:marBottom w:val="0"/>
          <w:divBdr>
            <w:top w:val="none" w:sz="0" w:space="0" w:color="auto"/>
            <w:left w:val="none" w:sz="0" w:space="0" w:color="auto"/>
            <w:bottom w:val="none" w:sz="0" w:space="0" w:color="auto"/>
            <w:right w:val="none" w:sz="0" w:space="0" w:color="auto"/>
          </w:divBdr>
        </w:div>
        <w:div w:id="1261568949">
          <w:marLeft w:val="-225"/>
          <w:marRight w:val="-225"/>
          <w:marTop w:val="0"/>
          <w:marBottom w:val="0"/>
          <w:divBdr>
            <w:top w:val="none" w:sz="0" w:space="0" w:color="auto"/>
            <w:left w:val="none" w:sz="0" w:space="0" w:color="auto"/>
            <w:bottom w:val="none" w:sz="0" w:space="0" w:color="auto"/>
            <w:right w:val="none" w:sz="0" w:space="0" w:color="auto"/>
          </w:divBdr>
        </w:div>
        <w:div w:id="1323653865">
          <w:marLeft w:val="-225"/>
          <w:marRight w:val="-225"/>
          <w:marTop w:val="0"/>
          <w:marBottom w:val="0"/>
          <w:divBdr>
            <w:top w:val="none" w:sz="0" w:space="0" w:color="auto"/>
            <w:left w:val="none" w:sz="0" w:space="0" w:color="auto"/>
            <w:bottom w:val="none" w:sz="0" w:space="0" w:color="auto"/>
            <w:right w:val="none" w:sz="0" w:space="0" w:color="auto"/>
          </w:divBdr>
        </w:div>
        <w:div w:id="1357996871">
          <w:marLeft w:val="-225"/>
          <w:marRight w:val="-225"/>
          <w:marTop w:val="0"/>
          <w:marBottom w:val="0"/>
          <w:divBdr>
            <w:top w:val="none" w:sz="0" w:space="0" w:color="auto"/>
            <w:left w:val="none" w:sz="0" w:space="0" w:color="auto"/>
            <w:bottom w:val="none" w:sz="0" w:space="0" w:color="auto"/>
            <w:right w:val="none" w:sz="0" w:space="0" w:color="auto"/>
          </w:divBdr>
        </w:div>
        <w:div w:id="1382900049">
          <w:marLeft w:val="-225"/>
          <w:marRight w:val="-225"/>
          <w:marTop w:val="0"/>
          <w:marBottom w:val="0"/>
          <w:divBdr>
            <w:top w:val="none" w:sz="0" w:space="0" w:color="auto"/>
            <w:left w:val="none" w:sz="0" w:space="0" w:color="auto"/>
            <w:bottom w:val="none" w:sz="0" w:space="0" w:color="auto"/>
            <w:right w:val="none" w:sz="0" w:space="0" w:color="auto"/>
          </w:divBdr>
        </w:div>
        <w:div w:id="1727024789">
          <w:marLeft w:val="-225"/>
          <w:marRight w:val="-225"/>
          <w:marTop w:val="0"/>
          <w:marBottom w:val="0"/>
          <w:divBdr>
            <w:top w:val="none" w:sz="0" w:space="0" w:color="auto"/>
            <w:left w:val="none" w:sz="0" w:space="0" w:color="auto"/>
            <w:bottom w:val="none" w:sz="0" w:space="0" w:color="auto"/>
            <w:right w:val="none" w:sz="0" w:space="0" w:color="auto"/>
          </w:divBdr>
        </w:div>
        <w:div w:id="1742751247">
          <w:marLeft w:val="-225"/>
          <w:marRight w:val="-225"/>
          <w:marTop w:val="0"/>
          <w:marBottom w:val="0"/>
          <w:divBdr>
            <w:top w:val="none" w:sz="0" w:space="0" w:color="auto"/>
            <w:left w:val="none" w:sz="0" w:space="0" w:color="auto"/>
            <w:bottom w:val="none" w:sz="0" w:space="0" w:color="auto"/>
            <w:right w:val="none" w:sz="0" w:space="0" w:color="auto"/>
          </w:divBdr>
        </w:div>
        <w:div w:id="1754665495">
          <w:marLeft w:val="-225"/>
          <w:marRight w:val="-225"/>
          <w:marTop w:val="0"/>
          <w:marBottom w:val="0"/>
          <w:divBdr>
            <w:top w:val="none" w:sz="0" w:space="0" w:color="auto"/>
            <w:left w:val="none" w:sz="0" w:space="0" w:color="auto"/>
            <w:bottom w:val="none" w:sz="0" w:space="0" w:color="auto"/>
            <w:right w:val="none" w:sz="0" w:space="0" w:color="auto"/>
          </w:divBdr>
        </w:div>
        <w:div w:id="1756513821">
          <w:marLeft w:val="-225"/>
          <w:marRight w:val="-225"/>
          <w:marTop w:val="0"/>
          <w:marBottom w:val="0"/>
          <w:divBdr>
            <w:top w:val="none" w:sz="0" w:space="0" w:color="auto"/>
            <w:left w:val="none" w:sz="0" w:space="0" w:color="auto"/>
            <w:bottom w:val="none" w:sz="0" w:space="0" w:color="auto"/>
            <w:right w:val="none" w:sz="0" w:space="0" w:color="auto"/>
          </w:divBdr>
        </w:div>
        <w:div w:id="1817454792">
          <w:marLeft w:val="-225"/>
          <w:marRight w:val="-225"/>
          <w:marTop w:val="0"/>
          <w:marBottom w:val="0"/>
          <w:divBdr>
            <w:top w:val="none" w:sz="0" w:space="0" w:color="auto"/>
            <w:left w:val="none" w:sz="0" w:space="0" w:color="auto"/>
            <w:bottom w:val="none" w:sz="0" w:space="0" w:color="auto"/>
            <w:right w:val="none" w:sz="0" w:space="0" w:color="auto"/>
          </w:divBdr>
        </w:div>
        <w:div w:id="1849172619">
          <w:marLeft w:val="-225"/>
          <w:marRight w:val="-225"/>
          <w:marTop w:val="0"/>
          <w:marBottom w:val="0"/>
          <w:divBdr>
            <w:top w:val="none" w:sz="0" w:space="0" w:color="auto"/>
            <w:left w:val="none" w:sz="0" w:space="0" w:color="auto"/>
            <w:bottom w:val="none" w:sz="0" w:space="0" w:color="auto"/>
            <w:right w:val="none" w:sz="0" w:space="0" w:color="auto"/>
          </w:divBdr>
        </w:div>
        <w:div w:id="1878539186">
          <w:marLeft w:val="-225"/>
          <w:marRight w:val="-225"/>
          <w:marTop w:val="0"/>
          <w:marBottom w:val="0"/>
          <w:divBdr>
            <w:top w:val="none" w:sz="0" w:space="0" w:color="auto"/>
            <w:left w:val="none" w:sz="0" w:space="0" w:color="auto"/>
            <w:bottom w:val="none" w:sz="0" w:space="0" w:color="auto"/>
            <w:right w:val="none" w:sz="0" w:space="0" w:color="auto"/>
          </w:divBdr>
        </w:div>
        <w:div w:id="2006743065">
          <w:marLeft w:val="-225"/>
          <w:marRight w:val="-225"/>
          <w:marTop w:val="0"/>
          <w:marBottom w:val="0"/>
          <w:divBdr>
            <w:top w:val="none" w:sz="0" w:space="0" w:color="auto"/>
            <w:left w:val="none" w:sz="0" w:space="0" w:color="auto"/>
            <w:bottom w:val="none" w:sz="0" w:space="0" w:color="auto"/>
            <w:right w:val="none" w:sz="0" w:space="0" w:color="auto"/>
          </w:divBdr>
        </w:div>
        <w:div w:id="2028408748">
          <w:marLeft w:val="-225"/>
          <w:marRight w:val="-225"/>
          <w:marTop w:val="0"/>
          <w:marBottom w:val="0"/>
          <w:divBdr>
            <w:top w:val="none" w:sz="0" w:space="0" w:color="auto"/>
            <w:left w:val="none" w:sz="0" w:space="0" w:color="auto"/>
            <w:bottom w:val="none" w:sz="0" w:space="0" w:color="auto"/>
            <w:right w:val="none" w:sz="0" w:space="0" w:color="auto"/>
          </w:divBdr>
        </w:div>
        <w:div w:id="2031376729">
          <w:marLeft w:val="-225"/>
          <w:marRight w:val="-225"/>
          <w:marTop w:val="0"/>
          <w:marBottom w:val="0"/>
          <w:divBdr>
            <w:top w:val="none" w:sz="0" w:space="0" w:color="auto"/>
            <w:left w:val="none" w:sz="0" w:space="0" w:color="auto"/>
            <w:bottom w:val="none" w:sz="0" w:space="0" w:color="auto"/>
            <w:right w:val="none" w:sz="0" w:space="0" w:color="auto"/>
          </w:divBdr>
        </w:div>
        <w:div w:id="2135177388">
          <w:marLeft w:val="-225"/>
          <w:marRight w:val="-225"/>
          <w:marTop w:val="0"/>
          <w:marBottom w:val="0"/>
          <w:divBdr>
            <w:top w:val="none" w:sz="0" w:space="0" w:color="auto"/>
            <w:left w:val="none" w:sz="0" w:space="0" w:color="auto"/>
            <w:bottom w:val="none" w:sz="0" w:space="0" w:color="auto"/>
            <w:right w:val="none" w:sz="0" w:space="0" w:color="auto"/>
          </w:divBdr>
        </w:div>
      </w:divsChild>
    </w:div>
    <w:div w:id="890993452">
      <w:bodyDiv w:val="1"/>
      <w:marLeft w:val="0"/>
      <w:marRight w:val="0"/>
      <w:marTop w:val="0"/>
      <w:marBottom w:val="0"/>
      <w:divBdr>
        <w:top w:val="none" w:sz="0" w:space="0" w:color="auto"/>
        <w:left w:val="none" w:sz="0" w:space="0" w:color="auto"/>
        <w:bottom w:val="none" w:sz="0" w:space="0" w:color="auto"/>
        <w:right w:val="none" w:sz="0" w:space="0" w:color="auto"/>
      </w:divBdr>
      <w:divsChild>
        <w:div w:id="1678188484">
          <w:marLeft w:val="-225"/>
          <w:marRight w:val="-225"/>
          <w:marTop w:val="0"/>
          <w:marBottom w:val="0"/>
          <w:divBdr>
            <w:top w:val="none" w:sz="0" w:space="0" w:color="auto"/>
            <w:left w:val="none" w:sz="0" w:space="0" w:color="auto"/>
            <w:bottom w:val="none" w:sz="0" w:space="0" w:color="auto"/>
            <w:right w:val="none" w:sz="0" w:space="0" w:color="auto"/>
          </w:divBdr>
        </w:div>
        <w:div w:id="1078943037">
          <w:marLeft w:val="-225"/>
          <w:marRight w:val="-225"/>
          <w:marTop w:val="0"/>
          <w:marBottom w:val="0"/>
          <w:divBdr>
            <w:top w:val="none" w:sz="0" w:space="0" w:color="auto"/>
            <w:left w:val="none" w:sz="0" w:space="0" w:color="auto"/>
            <w:bottom w:val="none" w:sz="0" w:space="0" w:color="auto"/>
            <w:right w:val="none" w:sz="0" w:space="0" w:color="auto"/>
          </w:divBdr>
        </w:div>
        <w:div w:id="944268834">
          <w:marLeft w:val="-225"/>
          <w:marRight w:val="-225"/>
          <w:marTop w:val="0"/>
          <w:marBottom w:val="0"/>
          <w:divBdr>
            <w:top w:val="none" w:sz="0" w:space="0" w:color="auto"/>
            <w:left w:val="none" w:sz="0" w:space="0" w:color="auto"/>
            <w:bottom w:val="none" w:sz="0" w:space="0" w:color="auto"/>
            <w:right w:val="none" w:sz="0" w:space="0" w:color="auto"/>
          </w:divBdr>
          <w:divsChild>
            <w:div w:id="1251769611">
              <w:marLeft w:val="75"/>
              <w:marRight w:val="0"/>
              <w:marTop w:val="0"/>
              <w:marBottom w:val="0"/>
              <w:divBdr>
                <w:top w:val="none" w:sz="0" w:space="0" w:color="auto"/>
                <w:left w:val="none" w:sz="0" w:space="0" w:color="auto"/>
                <w:bottom w:val="none" w:sz="0" w:space="0" w:color="auto"/>
                <w:right w:val="none" w:sz="0" w:space="0" w:color="auto"/>
              </w:divBdr>
              <w:divsChild>
                <w:div w:id="413163547">
                  <w:marLeft w:val="0"/>
                  <w:marRight w:val="0"/>
                  <w:marTop w:val="0"/>
                  <w:marBottom w:val="0"/>
                  <w:divBdr>
                    <w:top w:val="single" w:sz="18" w:space="0" w:color="484848"/>
                    <w:left w:val="single" w:sz="18" w:space="0" w:color="484848"/>
                    <w:bottom w:val="single" w:sz="18" w:space="0" w:color="484848"/>
                    <w:right w:val="single" w:sz="18" w:space="0" w:color="484848"/>
                  </w:divBdr>
                </w:div>
                <w:div w:id="358896058">
                  <w:marLeft w:val="0"/>
                  <w:marRight w:val="0"/>
                  <w:marTop w:val="0"/>
                  <w:marBottom w:val="0"/>
                  <w:divBdr>
                    <w:top w:val="none" w:sz="0" w:space="0" w:color="auto"/>
                    <w:left w:val="none" w:sz="0" w:space="0" w:color="auto"/>
                    <w:bottom w:val="none" w:sz="0" w:space="0" w:color="auto"/>
                    <w:right w:val="none" w:sz="0" w:space="0" w:color="auto"/>
                  </w:divBdr>
                </w:div>
                <w:div w:id="15903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41140">
          <w:marLeft w:val="-225"/>
          <w:marRight w:val="-225"/>
          <w:marTop w:val="0"/>
          <w:marBottom w:val="0"/>
          <w:divBdr>
            <w:top w:val="none" w:sz="0" w:space="0" w:color="auto"/>
            <w:left w:val="none" w:sz="0" w:space="0" w:color="auto"/>
            <w:bottom w:val="none" w:sz="0" w:space="0" w:color="auto"/>
            <w:right w:val="none" w:sz="0" w:space="0" w:color="auto"/>
          </w:divBdr>
        </w:div>
        <w:div w:id="773211491">
          <w:marLeft w:val="-225"/>
          <w:marRight w:val="-225"/>
          <w:marTop w:val="0"/>
          <w:marBottom w:val="0"/>
          <w:divBdr>
            <w:top w:val="none" w:sz="0" w:space="0" w:color="auto"/>
            <w:left w:val="none" w:sz="0" w:space="0" w:color="auto"/>
            <w:bottom w:val="none" w:sz="0" w:space="0" w:color="auto"/>
            <w:right w:val="none" w:sz="0" w:space="0" w:color="auto"/>
          </w:divBdr>
        </w:div>
        <w:div w:id="326595579">
          <w:marLeft w:val="-225"/>
          <w:marRight w:val="-225"/>
          <w:marTop w:val="0"/>
          <w:marBottom w:val="0"/>
          <w:divBdr>
            <w:top w:val="none" w:sz="0" w:space="0" w:color="auto"/>
            <w:left w:val="none" w:sz="0" w:space="0" w:color="auto"/>
            <w:bottom w:val="none" w:sz="0" w:space="0" w:color="auto"/>
            <w:right w:val="none" w:sz="0" w:space="0" w:color="auto"/>
          </w:divBdr>
        </w:div>
        <w:div w:id="2086684531">
          <w:marLeft w:val="-225"/>
          <w:marRight w:val="-225"/>
          <w:marTop w:val="0"/>
          <w:marBottom w:val="0"/>
          <w:divBdr>
            <w:top w:val="none" w:sz="0" w:space="0" w:color="auto"/>
            <w:left w:val="none" w:sz="0" w:space="0" w:color="auto"/>
            <w:bottom w:val="none" w:sz="0" w:space="0" w:color="auto"/>
            <w:right w:val="none" w:sz="0" w:space="0" w:color="auto"/>
          </w:divBdr>
        </w:div>
        <w:div w:id="341318217">
          <w:marLeft w:val="-225"/>
          <w:marRight w:val="-225"/>
          <w:marTop w:val="0"/>
          <w:marBottom w:val="0"/>
          <w:divBdr>
            <w:top w:val="none" w:sz="0" w:space="0" w:color="auto"/>
            <w:left w:val="none" w:sz="0" w:space="0" w:color="auto"/>
            <w:bottom w:val="none" w:sz="0" w:space="0" w:color="auto"/>
            <w:right w:val="none" w:sz="0" w:space="0" w:color="auto"/>
          </w:divBdr>
        </w:div>
        <w:div w:id="1618826296">
          <w:marLeft w:val="-225"/>
          <w:marRight w:val="-225"/>
          <w:marTop w:val="0"/>
          <w:marBottom w:val="0"/>
          <w:divBdr>
            <w:top w:val="none" w:sz="0" w:space="0" w:color="auto"/>
            <w:left w:val="none" w:sz="0" w:space="0" w:color="auto"/>
            <w:bottom w:val="none" w:sz="0" w:space="0" w:color="auto"/>
            <w:right w:val="none" w:sz="0" w:space="0" w:color="auto"/>
          </w:divBdr>
        </w:div>
        <w:div w:id="95055752">
          <w:marLeft w:val="-225"/>
          <w:marRight w:val="-225"/>
          <w:marTop w:val="0"/>
          <w:marBottom w:val="0"/>
          <w:divBdr>
            <w:top w:val="none" w:sz="0" w:space="0" w:color="auto"/>
            <w:left w:val="none" w:sz="0" w:space="0" w:color="auto"/>
            <w:bottom w:val="none" w:sz="0" w:space="0" w:color="auto"/>
            <w:right w:val="none" w:sz="0" w:space="0" w:color="auto"/>
          </w:divBdr>
        </w:div>
        <w:div w:id="1250771700">
          <w:marLeft w:val="-225"/>
          <w:marRight w:val="-225"/>
          <w:marTop w:val="0"/>
          <w:marBottom w:val="0"/>
          <w:divBdr>
            <w:top w:val="none" w:sz="0" w:space="0" w:color="auto"/>
            <w:left w:val="none" w:sz="0" w:space="0" w:color="auto"/>
            <w:bottom w:val="none" w:sz="0" w:space="0" w:color="auto"/>
            <w:right w:val="none" w:sz="0" w:space="0" w:color="auto"/>
          </w:divBdr>
        </w:div>
        <w:div w:id="672881481">
          <w:marLeft w:val="-225"/>
          <w:marRight w:val="-225"/>
          <w:marTop w:val="0"/>
          <w:marBottom w:val="0"/>
          <w:divBdr>
            <w:top w:val="none" w:sz="0" w:space="0" w:color="auto"/>
            <w:left w:val="none" w:sz="0" w:space="0" w:color="auto"/>
            <w:bottom w:val="none" w:sz="0" w:space="0" w:color="auto"/>
            <w:right w:val="none" w:sz="0" w:space="0" w:color="auto"/>
          </w:divBdr>
        </w:div>
        <w:div w:id="654261945">
          <w:marLeft w:val="-225"/>
          <w:marRight w:val="-225"/>
          <w:marTop w:val="0"/>
          <w:marBottom w:val="0"/>
          <w:divBdr>
            <w:top w:val="none" w:sz="0" w:space="0" w:color="auto"/>
            <w:left w:val="none" w:sz="0" w:space="0" w:color="auto"/>
            <w:bottom w:val="none" w:sz="0" w:space="0" w:color="auto"/>
            <w:right w:val="none" w:sz="0" w:space="0" w:color="auto"/>
          </w:divBdr>
        </w:div>
        <w:div w:id="1482381627">
          <w:marLeft w:val="-225"/>
          <w:marRight w:val="-225"/>
          <w:marTop w:val="0"/>
          <w:marBottom w:val="0"/>
          <w:divBdr>
            <w:top w:val="none" w:sz="0" w:space="0" w:color="auto"/>
            <w:left w:val="none" w:sz="0" w:space="0" w:color="auto"/>
            <w:bottom w:val="none" w:sz="0" w:space="0" w:color="auto"/>
            <w:right w:val="none" w:sz="0" w:space="0" w:color="auto"/>
          </w:divBdr>
        </w:div>
        <w:div w:id="1500078393">
          <w:marLeft w:val="-225"/>
          <w:marRight w:val="-225"/>
          <w:marTop w:val="0"/>
          <w:marBottom w:val="0"/>
          <w:divBdr>
            <w:top w:val="none" w:sz="0" w:space="0" w:color="auto"/>
            <w:left w:val="none" w:sz="0" w:space="0" w:color="auto"/>
            <w:bottom w:val="none" w:sz="0" w:space="0" w:color="auto"/>
            <w:right w:val="none" w:sz="0" w:space="0" w:color="auto"/>
          </w:divBdr>
        </w:div>
        <w:div w:id="1823889357">
          <w:marLeft w:val="-225"/>
          <w:marRight w:val="-225"/>
          <w:marTop w:val="0"/>
          <w:marBottom w:val="0"/>
          <w:divBdr>
            <w:top w:val="none" w:sz="0" w:space="0" w:color="auto"/>
            <w:left w:val="none" w:sz="0" w:space="0" w:color="auto"/>
            <w:bottom w:val="none" w:sz="0" w:space="0" w:color="auto"/>
            <w:right w:val="none" w:sz="0" w:space="0" w:color="auto"/>
          </w:divBdr>
        </w:div>
        <w:div w:id="37508161">
          <w:marLeft w:val="-225"/>
          <w:marRight w:val="-225"/>
          <w:marTop w:val="0"/>
          <w:marBottom w:val="0"/>
          <w:divBdr>
            <w:top w:val="none" w:sz="0" w:space="0" w:color="auto"/>
            <w:left w:val="none" w:sz="0" w:space="0" w:color="auto"/>
            <w:bottom w:val="none" w:sz="0" w:space="0" w:color="auto"/>
            <w:right w:val="none" w:sz="0" w:space="0" w:color="auto"/>
          </w:divBdr>
        </w:div>
        <w:div w:id="1668634349">
          <w:marLeft w:val="-225"/>
          <w:marRight w:val="-225"/>
          <w:marTop w:val="0"/>
          <w:marBottom w:val="0"/>
          <w:divBdr>
            <w:top w:val="none" w:sz="0" w:space="0" w:color="auto"/>
            <w:left w:val="none" w:sz="0" w:space="0" w:color="auto"/>
            <w:bottom w:val="none" w:sz="0" w:space="0" w:color="auto"/>
            <w:right w:val="none" w:sz="0" w:space="0" w:color="auto"/>
          </w:divBdr>
        </w:div>
        <w:div w:id="1711220583">
          <w:marLeft w:val="-225"/>
          <w:marRight w:val="-225"/>
          <w:marTop w:val="0"/>
          <w:marBottom w:val="0"/>
          <w:divBdr>
            <w:top w:val="none" w:sz="0" w:space="0" w:color="auto"/>
            <w:left w:val="none" w:sz="0" w:space="0" w:color="auto"/>
            <w:bottom w:val="none" w:sz="0" w:space="0" w:color="auto"/>
            <w:right w:val="none" w:sz="0" w:space="0" w:color="auto"/>
          </w:divBdr>
        </w:div>
        <w:div w:id="1029993773">
          <w:marLeft w:val="-225"/>
          <w:marRight w:val="-225"/>
          <w:marTop w:val="0"/>
          <w:marBottom w:val="0"/>
          <w:divBdr>
            <w:top w:val="none" w:sz="0" w:space="0" w:color="auto"/>
            <w:left w:val="none" w:sz="0" w:space="0" w:color="auto"/>
            <w:bottom w:val="none" w:sz="0" w:space="0" w:color="auto"/>
            <w:right w:val="none" w:sz="0" w:space="0" w:color="auto"/>
          </w:divBdr>
        </w:div>
        <w:div w:id="1705786093">
          <w:marLeft w:val="-225"/>
          <w:marRight w:val="-225"/>
          <w:marTop w:val="0"/>
          <w:marBottom w:val="0"/>
          <w:divBdr>
            <w:top w:val="none" w:sz="0" w:space="0" w:color="auto"/>
            <w:left w:val="none" w:sz="0" w:space="0" w:color="auto"/>
            <w:bottom w:val="none" w:sz="0" w:space="0" w:color="auto"/>
            <w:right w:val="none" w:sz="0" w:space="0" w:color="auto"/>
          </w:divBdr>
        </w:div>
        <w:div w:id="630743131">
          <w:marLeft w:val="-225"/>
          <w:marRight w:val="-225"/>
          <w:marTop w:val="0"/>
          <w:marBottom w:val="0"/>
          <w:divBdr>
            <w:top w:val="none" w:sz="0" w:space="0" w:color="auto"/>
            <w:left w:val="none" w:sz="0" w:space="0" w:color="auto"/>
            <w:bottom w:val="none" w:sz="0" w:space="0" w:color="auto"/>
            <w:right w:val="none" w:sz="0" w:space="0" w:color="auto"/>
          </w:divBdr>
        </w:div>
        <w:div w:id="597298576">
          <w:marLeft w:val="-225"/>
          <w:marRight w:val="-225"/>
          <w:marTop w:val="0"/>
          <w:marBottom w:val="0"/>
          <w:divBdr>
            <w:top w:val="none" w:sz="0" w:space="0" w:color="auto"/>
            <w:left w:val="none" w:sz="0" w:space="0" w:color="auto"/>
            <w:bottom w:val="none" w:sz="0" w:space="0" w:color="auto"/>
            <w:right w:val="none" w:sz="0" w:space="0" w:color="auto"/>
          </w:divBdr>
        </w:div>
        <w:div w:id="1402293622">
          <w:marLeft w:val="-225"/>
          <w:marRight w:val="-225"/>
          <w:marTop w:val="0"/>
          <w:marBottom w:val="0"/>
          <w:divBdr>
            <w:top w:val="none" w:sz="0" w:space="0" w:color="auto"/>
            <w:left w:val="none" w:sz="0" w:space="0" w:color="auto"/>
            <w:bottom w:val="none" w:sz="0" w:space="0" w:color="auto"/>
            <w:right w:val="none" w:sz="0" w:space="0" w:color="auto"/>
          </w:divBdr>
        </w:div>
        <w:div w:id="1473870237">
          <w:marLeft w:val="-225"/>
          <w:marRight w:val="-225"/>
          <w:marTop w:val="0"/>
          <w:marBottom w:val="0"/>
          <w:divBdr>
            <w:top w:val="none" w:sz="0" w:space="0" w:color="auto"/>
            <w:left w:val="none" w:sz="0" w:space="0" w:color="auto"/>
            <w:bottom w:val="none" w:sz="0" w:space="0" w:color="auto"/>
            <w:right w:val="none" w:sz="0" w:space="0" w:color="auto"/>
          </w:divBdr>
        </w:div>
      </w:divsChild>
    </w:div>
    <w:div w:id="909848093">
      <w:bodyDiv w:val="1"/>
      <w:marLeft w:val="0"/>
      <w:marRight w:val="0"/>
      <w:marTop w:val="0"/>
      <w:marBottom w:val="0"/>
      <w:divBdr>
        <w:top w:val="none" w:sz="0" w:space="0" w:color="auto"/>
        <w:left w:val="none" w:sz="0" w:space="0" w:color="auto"/>
        <w:bottom w:val="none" w:sz="0" w:space="0" w:color="auto"/>
        <w:right w:val="none" w:sz="0" w:space="0" w:color="auto"/>
      </w:divBdr>
      <w:divsChild>
        <w:div w:id="699818044">
          <w:marLeft w:val="-225"/>
          <w:marRight w:val="-225"/>
          <w:marTop w:val="0"/>
          <w:marBottom w:val="0"/>
          <w:divBdr>
            <w:top w:val="none" w:sz="0" w:space="0" w:color="auto"/>
            <w:left w:val="none" w:sz="0" w:space="0" w:color="auto"/>
            <w:bottom w:val="none" w:sz="0" w:space="0" w:color="auto"/>
            <w:right w:val="none" w:sz="0" w:space="0" w:color="auto"/>
          </w:divBdr>
        </w:div>
        <w:div w:id="1513495015">
          <w:marLeft w:val="-225"/>
          <w:marRight w:val="-225"/>
          <w:marTop w:val="0"/>
          <w:marBottom w:val="0"/>
          <w:divBdr>
            <w:top w:val="none" w:sz="0" w:space="0" w:color="auto"/>
            <w:left w:val="none" w:sz="0" w:space="0" w:color="auto"/>
            <w:bottom w:val="none" w:sz="0" w:space="0" w:color="auto"/>
            <w:right w:val="none" w:sz="0" w:space="0" w:color="auto"/>
          </w:divBdr>
          <w:divsChild>
            <w:div w:id="464280184">
              <w:marLeft w:val="75"/>
              <w:marRight w:val="0"/>
              <w:marTop w:val="0"/>
              <w:marBottom w:val="0"/>
              <w:divBdr>
                <w:top w:val="none" w:sz="0" w:space="0" w:color="auto"/>
                <w:left w:val="none" w:sz="0" w:space="0" w:color="auto"/>
                <w:bottom w:val="none" w:sz="0" w:space="0" w:color="auto"/>
                <w:right w:val="none" w:sz="0" w:space="0" w:color="auto"/>
              </w:divBdr>
              <w:divsChild>
                <w:div w:id="1976640749">
                  <w:marLeft w:val="0"/>
                  <w:marRight w:val="0"/>
                  <w:marTop w:val="0"/>
                  <w:marBottom w:val="0"/>
                  <w:divBdr>
                    <w:top w:val="single" w:sz="18" w:space="0" w:color="484848"/>
                    <w:left w:val="single" w:sz="18" w:space="0" w:color="484848"/>
                    <w:bottom w:val="single" w:sz="18" w:space="0" w:color="484848"/>
                    <w:right w:val="single" w:sz="18" w:space="0" w:color="484848"/>
                  </w:divBdr>
                </w:div>
              </w:divsChild>
            </w:div>
          </w:divsChild>
        </w:div>
        <w:div w:id="1093670776">
          <w:marLeft w:val="-225"/>
          <w:marRight w:val="-225"/>
          <w:marTop w:val="0"/>
          <w:marBottom w:val="0"/>
          <w:divBdr>
            <w:top w:val="none" w:sz="0" w:space="0" w:color="auto"/>
            <w:left w:val="none" w:sz="0" w:space="0" w:color="auto"/>
            <w:bottom w:val="none" w:sz="0" w:space="0" w:color="auto"/>
            <w:right w:val="none" w:sz="0" w:space="0" w:color="auto"/>
          </w:divBdr>
        </w:div>
        <w:div w:id="1907108308">
          <w:marLeft w:val="-225"/>
          <w:marRight w:val="-225"/>
          <w:marTop w:val="0"/>
          <w:marBottom w:val="0"/>
          <w:divBdr>
            <w:top w:val="none" w:sz="0" w:space="0" w:color="auto"/>
            <w:left w:val="none" w:sz="0" w:space="0" w:color="auto"/>
            <w:bottom w:val="none" w:sz="0" w:space="0" w:color="auto"/>
            <w:right w:val="none" w:sz="0" w:space="0" w:color="auto"/>
          </w:divBdr>
        </w:div>
      </w:divsChild>
    </w:div>
    <w:div w:id="911044713">
      <w:bodyDiv w:val="1"/>
      <w:marLeft w:val="0"/>
      <w:marRight w:val="0"/>
      <w:marTop w:val="0"/>
      <w:marBottom w:val="0"/>
      <w:divBdr>
        <w:top w:val="none" w:sz="0" w:space="0" w:color="auto"/>
        <w:left w:val="none" w:sz="0" w:space="0" w:color="auto"/>
        <w:bottom w:val="none" w:sz="0" w:space="0" w:color="auto"/>
        <w:right w:val="none" w:sz="0" w:space="0" w:color="auto"/>
      </w:divBdr>
    </w:div>
    <w:div w:id="925189670">
      <w:bodyDiv w:val="1"/>
      <w:marLeft w:val="0"/>
      <w:marRight w:val="0"/>
      <w:marTop w:val="0"/>
      <w:marBottom w:val="0"/>
      <w:divBdr>
        <w:top w:val="none" w:sz="0" w:space="0" w:color="auto"/>
        <w:left w:val="none" w:sz="0" w:space="0" w:color="auto"/>
        <w:bottom w:val="none" w:sz="0" w:space="0" w:color="auto"/>
        <w:right w:val="none" w:sz="0" w:space="0" w:color="auto"/>
      </w:divBdr>
      <w:divsChild>
        <w:div w:id="280573054">
          <w:marLeft w:val="0"/>
          <w:marRight w:val="0"/>
          <w:marTop w:val="0"/>
          <w:marBottom w:val="0"/>
          <w:divBdr>
            <w:top w:val="none" w:sz="0" w:space="0" w:color="auto"/>
            <w:left w:val="none" w:sz="0" w:space="0" w:color="auto"/>
            <w:bottom w:val="none" w:sz="0" w:space="0" w:color="auto"/>
            <w:right w:val="none" w:sz="0" w:space="0" w:color="auto"/>
          </w:divBdr>
        </w:div>
        <w:div w:id="389349910">
          <w:marLeft w:val="0"/>
          <w:marRight w:val="0"/>
          <w:marTop w:val="0"/>
          <w:marBottom w:val="0"/>
          <w:divBdr>
            <w:top w:val="none" w:sz="0" w:space="0" w:color="auto"/>
            <w:left w:val="none" w:sz="0" w:space="0" w:color="auto"/>
            <w:bottom w:val="none" w:sz="0" w:space="0" w:color="auto"/>
            <w:right w:val="none" w:sz="0" w:space="0" w:color="auto"/>
          </w:divBdr>
        </w:div>
        <w:div w:id="608051508">
          <w:marLeft w:val="0"/>
          <w:marRight w:val="0"/>
          <w:marTop w:val="0"/>
          <w:marBottom w:val="0"/>
          <w:divBdr>
            <w:top w:val="none" w:sz="0" w:space="0" w:color="auto"/>
            <w:left w:val="none" w:sz="0" w:space="0" w:color="auto"/>
            <w:bottom w:val="none" w:sz="0" w:space="0" w:color="auto"/>
            <w:right w:val="none" w:sz="0" w:space="0" w:color="auto"/>
          </w:divBdr>
        </w:div>
        <w:div w:id="790981693">
          <w:marLeft w:val="0"/>
          <w:marRight w:val="0"/>
          <w:marTop w:val="0"/>
          <w:marBottom w:val="0"/>
          <w:divBdr>
            <w:top w:val="none" w:sz="0" w:space="0" w:color="auto"/>
            <w:left w:val="none" w:sz="0" w:space="0" w:color="auto"/>
            <w:bottom w:val="none" w:sz="0" w:space="0" w:color="auto"/>
            <w:right w:val="none" w:sz="0" w:space="0" w:color="auto"/>
          </w:divBdr>
        </w:div>
        <w:div w:id="990866430">
          <w:marLeft w:val="0"/>
          <w:marRight w:val="0"/>
          <w:marTop w:val="0"/>
          <w:marBottom w:val="0"/>
          <w:divBdr>
            <w:top w:val="none" w:sz="0" w:space="0" w:color="auto"/>
            <w:left w:val="none" w:sz="0" w:space="0" w:color="auto"/>
            <w:bottom w:val="none" w:sz="0" w:space="0" w:color="auto"/>
            <w:right w:val="none" w:sz="0" w:space="0" w:color="auto"/>
          </w:divBdr>
        </w:div>
        <w:div w:id="1177843782">
          <w:marLeft w:val="0"/>
          <w:marRight w:val="0"/>
          <w:marTop w:val="0"/>
          <w:marBottom w:val="0"/>
          <w:divBdr>
            <w:top w:val="none" w:sz="0" w:space="0" w:color="auto"/>
            <w:left w:val="none" w:sz="0" w:space="0" w:color="auto"/>
            <w:bottom w:val="none" w:sz="0" w:space="0" w:color="auto"/>
            <w:right w:val="none" w:sz="0" w:space="0" w:color="auto"/>
          </w:divBdr>
        </w:div>
        <w:div w:id="1218128468">
          <w:marLeft w:val="0"/>
          <w:marRight w:val="0"/>
          <w:marTop w:val="0"/>
          <w:marBottom w:val="0"/>
          <w:divBdr>
            <w:top w:val="none" w:sz="0" w:space="0" w:color="auto"/>
            <w:left w:val="none" w:sz="0" w:space="0" w:color="auto"/>
            <w:bottom w:val="none" w:sz="0" w:space="0" w:color="auto"/>
            <w:right w:val="none" w:sz="0" w:space="0" w:color="auto"/>
          </w:divBdr>
        </w:div>
        <w:div w:id="1717002168">
          <w:marLeft w:val="0"/>
          <w:marRight w:val="0"/>
          <w:marTop w:val="0"/>
          <w:marBottom w:val="0"/>
          <w:divBdr>
            <w:top w:val="none" w:sz="0" w:space="0" w:color="auto"/>
            <w:left w:val="none" w:sz="0" w:space="0" w:color="auto"/>
            <w:bottom w:val="none" w:sz="0" w:space="0" w:color="auto"/>
            <w:right w:val="none" w:sz="0" w:space="0" w:color="auto"/>
          </w:divBdr>
        </w:div>
        <w:div w:id="1725131966">
          <w:marLeft w:val="0"/>
          <w:marRight w:val="0"/>
          <w:marTop w:val="0"/>
          <w:marBottom w:val="0"/>
          <w:divBdr>
            <w:top w:val="none" w:sz="0" w:space="0" w:color="auto"/>
            <w:left w:val="none" w:sz="0" w:space="0" w:color="auto"/>
            <w:bottom w:val="none" w:sz="0" w:space="0" w:color="auto"/>
            <w:right w:val="none" w:sz="0" w:space="0" w:color="auto"/>
          </w:divBdr>
        </w:div>
        <w:div w:id="1763334410">
          <w:marLeft w:val="0"/>
          <w:marRight w:val="0"/>
          <w:marTop w:val="0"/>
          <w:marBottom w:val="0"/>
          <w:divBdr>
            <w:top w:val="none" w:sz="0" w:space="0" w:color="auto"/>
            <w:left w:val="none" w:sz="0" w:space="0" w:color="auto"/>
            <w:bottom w:val="none" w:sz="0" w:space="0" w:color="auto"/>
            <w:right w:val="none" w:sz="0" w:space="0" w:color="auto"/>
          </w:divBdr>
        </w:div>
        <w:div w:id="1782334223">
          <w:marLeft w:val="0"/>
          <w:marRight w:val="0"/>
          <w:marTop w:val="0"/>
          <w:marBottom w:val="0"/>
          <w:divBdr>
            <w:top w:val="none" w:sz="0" w:space="0" w:color="auto"/>
            <w:left w:val="none" w:sz="0" w:space="0" w:color="auto"/>
            <w:bottom w:val="none" w:sz="0" w:space="0" w:color="auto"/>
            <w:right w:val="none" w:sz="0" w:space="0" w:color="auto"/>
          </w:divBdr>
        </w:div>
        <w:div w:id="2137407875">
          <w:marLeft w:val="0"/>
          <w:marRight w:val="0"/>
          <w:marTop w:val="0"/>
          <w:marBottom w:val="0"/>
          <w:divBdr>
            <w:top w:val="none" w:sz="0" w:space="0" w:color="auto"/>
            <w:left w:val="none" w:sz="0" w:space="0" w:color="auto"/>
            <w:bottom w:val="none" w:sz="0" w:space="0" w:color="auto"/>
            <w:right w:val="none" w:sz="0" w:space="0" w:color="auto"/>
          </w:divBdr>
        </w:div>
      </w:divsChild>
    </w:div>
    <w:div w:id="926229447">
      <w:bodyDiv w:val="1"/>
      <w:marLeft w:val="0"/>
      <w:marRight w:val="0"/>
      <w:marTop w:val="0"/>
      <w:marBottom w:val="0"/>
      <w:divBdr>
        <w:top w:val="none" w:sz="0" w:space="0" w:color="auto"/>
        <w:left w:val="none" w:sz="0" w:space="0" w:color="auto"/>
        <w:bottom w:val="none" w:sz="0" w:space="0" w:color="auto"/>
        <w:right w:val="none" w:sz="0" w:space="0" w:color="auto"/>
      </w:divBdr>
    </w:div>
    <w:div w:id="951982598">
      <w:bodyDiv w:val="1"/>
      <w:marLeft w:val="0"/>
      <w:marRight w:val="0"/>
      <w:marTop w:val="0"/>
      <w:marBottom w:val="0"/>
      <w:divBdr>
        <w:top w:val="none" w:sz="0" w:space="0" w:color="auto"/>
        <w:left w:val="none" w:sz="0" w:space="0" w:color="auto"/>
        <w:bottom w:val="none" w:sz="0" w:space="0" w:color="auto"/>
        <w:right w:val="none" w:sz="0" w:space="0" w:color="auto"/>
      </w:divBdr>
      <w:divsChild>
        <w:div w:id="1418866220">
          <w:marLeft w:val="0"/>
          <w:marRight w:val="0"/>
          <w:marTop w:val="0"/>
          <w:marBottom w:val="0"/>
          <w:divBdr>
            <w:top w:val="none" w:sz="0" w:space="0" w:color="auto"/>
            <w:left w:val="none" w:sz="0" w:space="0" w:color="auto"/>
            <w:bottom w:val="none" w:sz="0" w:space="0" w:color="auto"/>
            <w:right w:val="none" w:sz="0" w:space="0" w:color="auto"/>
          </w:divBdr>
        </w:div>
        <w:div w:id="1555384176">
          <w:marLeft w:val="0"/>
          <w:marRight w:val="0"/>
          <w:marTop w:val="0"/>
          <w:marBottom w:val="0"/>
          <w:divBdr>
            <w:top w:val="none" w:sz="0" w:space="0" w:color="auto"/>
            <w:left w:val="none" w:sz="0" w:space="0" w:color="auto"/>
            <w:bottom w:val="none" w:sz="0" w:space="0" w:color="auto"/>
            <w:right w:val="none" w:sz="0" w:space="0" w:color="auto"/>
          </w:divBdr>
        </w:div>
      </w:divsChild>
    </w:div>
    <w:div w:id="984702388">
      <w:bodyDiv w:val="1"/>
      <w:marLeft w:val="0"/>
      <w:marRight w:val="0"/>
      <w:marTop w:val="0"/>
      <w:marBottom w:val="0"/>
      <w:divBdr>
        <w:top w:val="none" w:sz="0" w:space="0" w:color="auto"/>
        <w:left w:val="none" w:sz="0" w:space="0" w:color="auto"/>
        <w:bottom w:val="none" w:sz="0" w:space="0" w:color="auto"/>
        <w:right w:val="none" w:sz="0" w:space="0" w:color="auto"/>
      </w:divBdr>
      <w:divsChild>
        <w:div w:id="152185216">
          <w:marLeft w:val="-225"/>
          <w:marRight w:val="-225"/>
          <w:marTop w:val="0"/>
          <w:marBottom w:val="0"/>
          <w:divBdr>
            <w:top w:val="none" w:sz="0" w:space="0" w:color="auto"/>
            <w:left w:val="none" w:sz="0" w:space="0" w:color="auto"/>
            <w:bottom w:val="none" w:sz="0" w:space="0" w:color="auto"/>
            <w:right w:val="none" w:sz="0" w:space="0" w:color="auto"/>
          </w:divBdr>
        </w:div>
        <w:div w:id="364329353">
          <w:marLeft w:val="-225"/>
          <w:marRight w:val="-225"/>
          <w:marTop w:val="0"/>
          <w:marBottom w:val="0"/>
          <w:divBdr>
            <w:top w:val="none" w:sz="0" w:space="0" w:color="auto"/>
            <w:left w:val="none" w:sz="0" w:space="0" w:color="auto"/>
            <w:bottom w:val="none" w:sz="0" w:space="0" w:color="auto"/>
            <w:right w:val="none" w:sz="0" w:space="0" w:color="auto"/>
          </w:divBdr>
        </w:div>
        <w:div w:id="433520657">
          <w:marLeft w:val="-225"/>
          <w:marRight w:val="-225"/>
          <w:marTop w:val="0"/>
          <w:marBottom w:val="0"/>
          <w:divBdr>
            <w:top w:val="none" w:sz="0" w:space="0" w:color="auto"/>
            <w:left w:val="none" w:sz="0" w:space="0" w:color="auto"/>
            <w:bottom w:val="none" w:sz="0" w:space="0" w:color="auto"/>
            <w:right w:val="none" w:sz="0" w:space="0" w:color="auto"/>
          </w:divBdr>
        </w:div>
        <w:div w:id="515079299">
          <w:marLeft w:val="-225"/>
          <w:marRight w:val="-225"/>
          <w:marTop w:val="0"/>
          <w:marBottom w:val="0"/>
          <w:divBdr>
            <w:top w:val="none" w:sz="0" w:space="0" w:color="auto"/>
            <w:left w:val="none" w:sz="0" w:space="0" w:color="auto"/>
            <w:bottom w:val="none" w:sz="0" w:space="0" w:color="auto"/>
            <w:right w:val="none" w:sz="0" w:space="0" w:color="auto"/>
          </w:divBdr>
        </w:div>
        <w:div w:id="565723566">
          <w:marLeft w:val="-225"/>
          <w:marRight w:val="-225"/>
          <w:marTop w:val="0"/>
          <w:marBottom w:val="0"/>
          <w:divBdr>
            <w:top w:val="none" w:sz="0" w:space="0" w:color="auto"/>
            <w:left w:val="none" w:sz="0" w:space="0" w:color="auto"/>
            <w:bottom w:val="none" w:sz="0" w:space="0" w:color="auto"/>
            <w:right w:val="none" w:sz="0" w:space="0" w:color="auto"/>
          </w:divBdr>
        </w:div>
        <w:div w:id="647054178">
          <w:marLeft w:val="-225"/>
          <w:marRight w:val="-225"/>
          <w:marTop w:val="0"/>
          <w:marBottom w:val="0"/>
          <w:divBdr>
            <w:top w:val="none" w:sz="0" w:space="0" w:color="auto"/>
            <w:left w:val="none" w:sz="0" w:space="0" w:color="auto"/>
            <w:bottom w:val="none" w:sz="0" w:space="0" w:color="auto"/>
            <w:right w:val="none" w:sz="0" w:space="0" w:color="auto"/>
          </w:divBdr>
        </w:div>
        <w:div w:id="702443753">
          <w:marLeft w:val="-225"/>
          <w:marRight w:val="-225"/>
          <w:marTop w:val="0"/>
          <w:marBottom w:val="0"/>
          <w:divBdr>
            <w:top w:val="none" w:sz="0" w:space="0" w:color="auto"/>
            <w:left w:val="none" w:sz="0" w:space="0" w:color="auto"/>
            <w:bottom w:val="none" w:sz="0" w:space="0" w:color="auto"/>
            <w:right w:val="none" w:sz="0" w:space="0" w:color="auto"/>
          </w:divBdr>
        </w:div>
        <w:div w:id="782647197">
          <w:marLeft w:val="-225"/>
          <w:marRight w:val="-225"/>
          <w:marTop w:val="0"/>
          <w:marBottom w:val="0"/>
          <w:divBdr>
            <w:top w:val="none" w:sz="0" w:space="0" w:color="auto"/>
            <w:left w:val="none" w:sz="0" w:space="0" w:color="auto"/>
            <w:bottom w:val="none" w:sz="0" w:space="0" w:color="auto"/>
            <w:right w:val="none" w:sz="0" w:space="0" w:color="auto"/>
          </w:divBdr>
        </w:div>
        <w:div w:id="789978305">
          <w:marLeft w:val="-225"/>
          <w:marRight w:val="-225"/>
          <w:marTop w:val="0"/>
          <w:marBottom w:val="0"/>
          <w:divBdr>
            <w:top w:val="none" w:sz="0" w:space="0" w:color="auto"/>
            <w:left w:val="none" w:sz="0" w:space="0" w:color="auto"/>
            <w:bottom w:val="none" w:sz="0" w:space="0" w:color="auto"/>
            <w:right w:val="none" w:sz="0" w:space="0" w:color="auto"/>
          </w:divBdr>
        </w:div>
        <w:div w:id="1024750066">
          <w:marLeft w:val="-225"/>
          <w:marRight w:val="-225"/>
          <w:marTop w:val="0"/>
          <w:marBottom w:val="0"/>
          <w:divBdr>
            <w:top w:val="none" w:sz="0" w:space="0" w:color="auto"/>
            <w:left w:val="none" w:sz="0" w:space="0" w:color="auto"/>
            <w:bottom w:val="none" w:sz="0" w:space="0" w:color="auto"/>
            <w:right w:val="none" w:sz="0" w:space="0" w:color="auto"/>
          </w:divBdr>
        </w:div>
        <w:div w:id="1274826153">
          <w:marLeft w:val="-225"/>
          <w:marRight w:val="-225"/>
          <w:marTop w:val="0"/>
          <w:marBottom w:val="0"/>
          <w:divBdr>
            <w:top w:val="none" w:sz="0" w:space="0" w:color="auto"/>
            <w:left w:val="none" w:sz="0" w:space="0" w:color="auto"/>
            <w:bottom w:val="none" w:sz="0" w:space="0" w:color="auto"/>
            <w:right w:val="none" w:sz="0" w:space="0" w:color="auto"/>
          </w:divBdr>
        </w:div>
        <w:div w:id="1289705753">
          <w:marLeft w:val="-225"/>
          <w:marRight w:val="-225"/>
          <w:marTop w:val="0"/>
          <w:marBottom w:val="0"/>
          <w:divBdr>
            <w:top w:val="none" w:sz="0" w:space="0" w:color="auto"/>
            <w:left w:val="none" w:sz="0" w:space="0" w:color="auto"/>
            <w:bottom w:val="none" w:sz="0" w:space="0" w:color="auto"/>
            <w:right w:val="none" w:sz="0" w:space="0" w:color="auto"/>
          </w:divBdr>
        </w:div>
        <w:div w:id="1376001981">
          <w:marLeft w:val="-225"/>
          <w:marRight w:val="-225"/>
          <w:marTop w:val="0"/>
          <w:marBottom w:val="0"/>
          <w:divBdr>
            <w:top w:val="none" w:sz="0" w:space="0" w:color="auto"/>
            <w:left w:val="none" w:sz="0" w:space="0" w:color="auto"/>
            <w:bottom w:val="none" w:sz="0" w:space="0" w:color="auto"/>
            <w:right w:val="none" w:sz="0" w:space="0" w:color="auto"/>
          </w:divBdr>
        </w:div>
        <w:div w:id="1427188714">
          <w:marLeft w:val="-225"/>
          <w:marRight w:val="-225"/>
          <w:marTop w:val="0"/>
          <w:marBottom w:val="0"/>
          <w:divBdr>
            <w:top w:val="none" w:sz="0" w:space="0" w:color="auto"/>
            <w:left w:val="none" w:sz="0" w:space="0" w:color="auto"/>
            <w:bottom w:val="none" w:sz="0" w:space="0" w:color="auto"/>
            <w:right w:val="none" w:sz="0" w:space="0" w:color="auto"/>
          </w:divBdr>
        </w:div>
        <w:div w:id="1631475849">
          <w:marLeft w:val="-225"/>
          <w:marRight w:val="-225"/>
          <w:marTop w:val="0"/>
          <w:marBottom w:val="0"/>
          <w:divBdr>
            <w:top w:val="none" w:sz="0" w:space="0" w:color="auto"/>
            <w:left w:val="none" w:sz="0" w:space="0" w:color="auto"/>
            <w:bottom w:val="none" w:sz="0" w:space="0" w:color="auto"/>
            <w:right w:val="none" w:sz="0" w:space="0" w:color="auto"/>
          </w:divBdr>
        </w:div>
        <w:div w:id="1664431228">
          <w:marLeft w:val="-225"/>
          <w:marRight w:val="-225"/>
          <w:marTop w:val="0"/>
          <w:marBottom w:val="0"/>
          <w:divBdr>
            <w:top w:val="none" w:sz="0" w:space="0" w:color="auto"/>
            <w:left w:val="none" w:sz="0" w:space="0" w:color="auto"/>
            <w:bottom w:val="none" w:sz="0" w:space="0" w:color="auto"/>
            <w:right w:val="none" w:sz="0" w:space="0" w:color="auto"/>
          </w:divBdr>
        </w:div>
        <w:div w:id="1688173624">
          <w:marLeft w:val="-225"/>
          <w:marRight w:val="-225"/>
          <w:marTop w:val="0"/>
          <w:marBottom w:val="0"/>
          <w:divBdr>
            <w:top w:val="none" w:sz="0" w:space="0" w:color="auto"/>
            <w:left w:val="none" w:sz="0" w:space="0" w:color="auto"/>
            <w:bottom w:val="none" w:sz="0" w:space="0" w:color="auto"/>
            <w:right w:val="none" w:sz="0" w:space="0" w:color="auto"/>
          </w:divBdr>
        </w:div>
        <w:div w:id="1973434798">
          <w:marLeft w:val="-225"/>
          <w:marRight w:val="-225"/>
          <w:marTop w:val="0"/>
          <w:marBottom w:val="0"/>
          <w:divBdr>
            <w:top w:val="none" w:sz="0" w:space="0" w:color="auto"/>
            <w:left w:val="none" w:sz="0" w:space="0" w:color="auto"/>
            <w:bottom w:val="none" w:sz="0" w:space="0" w:color="auto"/>
            <w:right w:val="none" w:sz="0" w:space="0" w:color="auto"/>
          </w:divBdr>
        </w:div>
      </w:divsChild>
    </w:div>
    <w:div w:id="985352859">
      <w:bodyDiv w:val="1"/>
      <w:marLeft w:val="0"/>
      <w:marRight w:val="0"/>
      <w:marTop w:val="0"/>
      <w:marBottom w:val="0"/>
      <w:divBdr>
        <w:top w:val="none" w:sz="0" w:space="0" w:color="auto"/>
        <w:left w:val="none" w:sz="0" w:space="0" w:color="auto"/>
        <w:bottom w:val="none" w:sz="0" w:space="0" w:color="auto"/>
        <w:right w:val="none" w:sz="0" w:space="0" w:color="auto"/>
      </w:divBdr>
    </w:div>
    <w:div w:id="991642489">
      <w:bodyDiv w:val="1"/>
      <w:marLeft w:val="0"/>
      <w:marRight w:val="0"/>
      <w:marTop w:val="0"/>
      <w:marBottom w:val="0"/>
      <w:divBdr>
        <w:top w:val="none" w:sz="0" w:space="0" w:color="auto"/>
        <w:left w:val="none" w:sz="0" w:space="0" w:color="auto"/>
        <w:bottom w:val="none" w:sz="0" w:space="0" w:color="auto"/>
        <w:right w:val="none" w:sz="0" w:space="0" w:color="auto"/>
      </w:divBdr>
      <w:divsChild>
        <w:div w:id="1384328243">
          <w:marLeft w:val="0"/>
          <w:marRight w:val="0"/>
          <w:marTop w:val="0"/>
          <w:marBottom w:val="0"/>
          <w:divBdr>
            <w:top w:val="none" w:sz="0" w:space="0" w:color="auto"/>
            <w:left w:val="none" w:sz="0" w:space="0" w:color="auto"/>
            <w:bottom w:val="none" w:sz="0" w:space="0" w:color="auto"/>
            <w:right w:val="none" w:sz="0" w:space="0" w:color="auto"/>
          </w:divBdr>
        </w:div>
      </w:divsChild>
    </w:div>
    <w:div w:id="996421048">
      <w:bodyDiv w:val="1"/>
      <w:marLeft w:val="0"/>
      <w:marRight w:val="0"/>
      <w:marTop w:val="0"/>
      <w:marBottom w:val="0"/>
      <w:divBdr>
        <w:top w:val="none" w:sz="0" w:space="0" w:color="auto"/>
        <w:left w:val="none" w:sz="0" w:space="0" w:color="auto"/>
        <w:bottom w:val="none" w:sz="0" w:space="0" w:color="auto"/>
        <w:right w:val="none" w:sz="0" w:space="0" w:color="auto"/>
      </w:divBdr>
    </w:div>
    <w:div w:id="996960320">
      <w:bodyDiv w:val="1"/>
      <w:marLeft w:val="0"/>
      <w:marRight w:val="0"/>
      <w:marTop w:val="0"/>
      <w:marBottom w:val="0"/>
      <w:divBdr>
        <w:top w:val="none" w:sz="0" w:space="0" w:color="auto"/>
        <w:left w:val="none" w:sz="0" w:space="0" w:color="auto"/>
        <w:bottom w:val="none" w:sz="0" w:space="0" w:color="auto"/>
        <w:right w:val="none" w:sz="0" w:space="0" w:color="auto"/>
      </w:divBdr>
      <w:divsChild>
        <w:div w:id="1673340815">
          <w:marLeft w:val="-225"/>
          <w:marRight w:val="-225"/>
          <w:marTop w:val="0"/>
          <w:marBottom w:val="0"/>
          <w:divBdr>
            <w:top w:val="none" w:sz="0" w:space="0" w:color="auto"/>
            <w:left w:val="none" w:sz="0" w:space="0" w:color="auto"/>
            <w:bottom w:val="none" w:sz="0" w:space="0" w:color="auto"/>
            <w:right w:val="none" w:sz="0" w:space="0" w:color="auto"/>
          </w:divBdr>
        </w:div>
        <w:div w:id="1621179592">
          <w:marLeft w:val="-225"/>
          <w:marRight w:val="-225"/>
          <w:marTop w:val="0"/>
          <w:marBottom w:val="0"/>
          <w:divBdr>
            <w:top w:val="none" w:sz="0" w:space="0" w:color="auto"/>
            <w:left w:val="none" w:sz="0" w:space="0" w:color="auto"/>
            <w:bottom w:val="none" w:sz="0" w:space="0" w:color="auto"/>
            <w:right w:val="none" w:sz="0" w:space="0" w:color="auto"/>
          </w:divBdr>
          <w:divsChild>
            <w:div w:id="1874729828">
              <w:marLeft w:val="75"/>
              <w:marRight w:val="0"/>
              <w:marTop w:val="0"/>
              <w:marBottom w:val="0"/>
              <w:divBdr>
                <w:top w:val="none" w:sz="0" w:space="0" w:color="auto"/>
                <w:left w:val="none" w:sz="0" w:space="0" w:color="auto"/>
                <w:bottom w:val="none" w:sz="0" w:space="0" w:color="auto"/>
                <w:right w:val="none" w:sz="0" w:space="0" w:color="auto"/>
              </w:divBdr>
              <w:divsChild>
                <w:div w:id="438111902">
                  <w:marLeft w:val="0"/>
                  <w:marRight w:val="0"/>
                  <w:marTop w:val="0"/>
                  <w:marBottom w:val="0"/>
                  <w:divBdr>
                    <w:top w:val="single" w:sz="18" w:space="0" w:color="484848"/>
                    <w:left w:val="single" w:sz="18" w:space="0" w:color="484848"/>
                    <w:bottom w:val="single" w:sz="18" w:space="0" w:color="484848"/>
                    <w:right w:val="single" w:sz="18" w:space="0" w:color="484848"/>
                  </w:divBdr>
                </w:div>
                <w:div w:id="1464078395">
                  <w:marLeft w:val="0"/>
                  <w:marRight w:val="0"/>
                  <w:marTop w:val="0"/>
                  <w:marBottom w:val="0"/>
                  <w:divBdr>
                    <w:top w:val="none" w:sz="0" w:space="0" w:color="auto"/>
                    <w:left w:val="none" w:sz="0" w:space="0" w:color="auto"/>
                    <w:bottom w:val="none" w:sz="0" w:space="0" w:color="auto"/>
                    <w:right w:val="none" w:sz="0" w:space="0" w:color="auto"/>
                  </w:divBdr>
                </w:div>
                <w:div w:id="77898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702890">
          <w:marLeft w:val="-225"/>
          <w:marRight w:val="-225"/>
          <w:marTop w:val="0"/>
          <w:marBottom w:val="0"/>
          <w:divBdr>
            <w:top w:val="none" w:sz="0" w:space="0" w:color="auto"/>
            <w:left w:val="none" w:sz="0" w:space="0" w:color="auto"/>
            <w:bottom w:val="none" w:sz="0" w:space="0" w:color="auto"/>
            <w:right w:val="none" w:sz="0" w:space="0" w:color="auto"/>
          </w:divBdr>
        </w:div>
        <w:div w:id="598023073">
          <w:marLeft w:val="-225"/>
          <w:marRight w:val="-225"/>
          <w:marTop w:val="0"/>
          <w:marBottom w:val="0"/>
          <w:divBdr>
            <w:top w:val="none" w:sz="0" w:space="0" w:color="auto"/>
            <w:left w:val="none" w:sz="0" w:space="0" w:color="auto"/>
            <w:bottom w:val="none" w:sz="0" w:space="0" w:color="auto"/>
            <w:right w:val="none" w:sz="0" w:space="0" w:color="auto"/>
          </w:divBdr>
        </w:div>
        <w:div w:id="222101545">
          <w:marLeft w:val="-225"/>
          <w:marRight w:val="-225"/>
          <w:marTop w:val="0"/>
          <w:marBottom w:val="0"/>
          <w:divBdr>
            <w:top w:val="none" w:sz="0" w:space="0" w:color="auto"/>
            <w:left w:val="none" w:sz="0" w:space="0" w:color="auto"/>
            <w:bottom w:val="none" w:sz="0" w:space="0" w:color="auto"/>
            <w:right w:val="none" w:sz="0" w:space="0" w:color="auto"/>
          </w:divBdr>
        </w:div>
        <w:div w:id="810556635">
          <w:marLeft w:val="-225"/>
          <w:marRight w:val="-225"/>
          <w:marTop w:val="0"/>
          <w:marBottom w:val="0"/>
          <w:divBdr>
            <w:top w:val="none" w:sz="0" w:space="0" w:color="auto"/>
            <w:left w:val="none" w:sz="0" w:space="0" w:color="auto"/>
            <w:bottom w:val="none" w:sz="0" w:space="0" w:color="auto"/>
            <w:right w:val="none" w:sz="0" w:space="0" w:color="auto"/>
          </w:divBdr>
        </w:div>
        <w:div w:id="324667434">
          <w:marLeft w:val="-225"/>
          <w:marRight w:val="-225"/>
          <w:marTop w:val="0"/>
          <w:marBottom w:val="0"/>
          <w:divBdr>
            <w:top w:val="none" w:sz="0" w:space="0" w:color="auto"/>
            <w:left w:val="none" w:sz="0" w:space="0" w:color="auto"/>
            <w:bottom w:val="none" w:sz="0" w:space="0" w:color="auto"/>
            <w:right w:val="none" w:sz="0" w:space="0" w:color="auto"/>
          </w:divBdr>
        </w:div>
        <w:div w:id="1235749222">
          <w:marLeft w:val="-225"/>
          <w:marRight w:val="-225"/>
          <w:marTop w:val="0"/>
          <w:marBottom w:val="0"/>
          <w:divBdr>
            <w:top w:val="none" w:sz="0" w:space="0" w:color="auto"/>
            <w:left w:val="none" w:sz="0" w:space="0" w:color="auto"/>
            <w:bottom w:val="none" w:sz="0" w:space="0" w:color="auto"/>
            <w:right w:val="none" w:sz="0" w:space="0" w:color="auto"/>
          </w:divBdr>
        </w:div>
        <w:div w:id="567110720">
          <w:marLeft w:val="-225"/>
          <w:marRight w:val="-225"/>
          <w:marTop w:val="0"/>
          <w:marBottom w:val="0"/>
          <w:divBdr>
            <w:top w:val="none" w:sz="0" w:space="0" w:color="auto"/>
            <w:left w:val="none" w:sz="0" w:space="0" w:color="auto"/>
            <w:bottom w:val="none" w:sz="0" w:space="0" w:color="auto"/>
            <w:right w:val="none" w:sz="0" w:space="0" w:color="auto"/>
          </w:divBdr>
        </w:div>
        <w:div w:id="1835487257">
          <w:marLeft w:val="-225"/>
          <w:marRight w:val="-225"/>
          <w:marTop w:val="0"/>
          <w:marBottom w:val="0"/>
          <w:divBdr>
            <w:top w:val="none" w:sz="0" w:space="0" w:color="auto"/>
            <w:left w:val="none" w:sz="0" w:space="0" w:color="auto"/>
            <w:bottom w:val="none" w:sz="0" w:space="0" w:color="auto"/>
            <w:right w:val="none" w:sz="0" w:space="0" w:color="auto"/>
          </w:divBdr>
        </w:div>
        <w:div w:id="1995571618">
          <w:marLeft w:val="-225"/>
          <w:marRight w:val="-225"/>
          <w:marTop w:val="0"/>
          <w:marBottom w:val="0"/>
          <w:divBdr>
            <w:top w:val="none" w:sz="0" w:space="0" w:color="auto"/>
            <w:left w:val="none" w:sz="0" w:space="0" w:color="auto"/>
            <w:bottom w:val="none" w:sz="0" w:space="0" w:color="auto"/>
            <w:right w:val="none" w:sz="0" w:space="0" w:color="auto"/>
          </w:divBdr>
        </w:div>
        <w:div w:id="1060977946">
          <w:marLeft w:val="-225"/>
          <w:marRight w:val="-225"/>
          <w:marTop w:val="0"/>
          <w:marBottom w:val="0"/>
          <w:divBdr>
            <w:top w:val="none" w:sz="0" w:space="0" w:color="auto"/>
            <w:left w:val="none" w:sz="0" w:space="0" w:color="auto"/>
            <w:bottom w:val="none" w:sz="0" w:space="0" w:color="auto"/>
            <w:right w:val="none" w:sz="0" w:space="0" w:color="auto"/>
          </w:divBdr>
        </w:div>
      </w:divsChild>
    </w:div>
    <w:div w:id="1009286331">
      <w:bodyDiv w:val="1"/>
      <w:marLeft w:val="0"/>
      <w:marRight w:val="0"/>
      <w:marTop w:val="0"/>
      <w:marBottom w:val="0"/>
      <w:divBdr>
        <w:top w:val="none" w:sz="0" w:space="0" w:color="auto"/>
        <w:left w:val="none" w:sz="0" w:space="0" w:color="auto"/>
        <w:bottom w:val="none" w:sz="0" w:space="0" w:color="auto"/>
        <w:right w:val="none" w:sz="0" w:space="0" w:color="auto"/>
      </w:divBdr>
      <w:divsChild>
        <w:div w:id="1945071457">
          <w:marLeft w:val="-225"/>
          <w:marRight w:val="-225"/>
          <w:marTop w:val="0"/>
          <w:marBottom w:val="0"/>
          <w:divBdr>
            <w:top w:val="none" w:sz="0" w:space="0" w:color="auto"/>
            <w:left w:val="none" w:sz="0" w:space="0" w:color="auto"/>
            <w:bottom w:val="none" w:sz="0" w:space="0" w:color="auto"/>
            <w:right w:val="none" w:sz="0" w:space="0" w:color="auto"/>
          </w:divBdr>
        </w:div>
        <w:div w:id="706224897">
          <w:marLeft w:val="-225"/>
          <w:marRight w:val="-225"/>
          <w:marTop w:val="0"/>
          <w:marBottom w:val="0"/>
          <w:divBdr>
            <w:top w:val="none" w:sz="0" w:space="0" w:color="auto"/>
            <w:left w:val="none" w:sz="0" w:space="0" w:color="auto"/>
            <w:bottom w:val="none" w:sz="0" w:space="0" w:color="auto"/>
            <w:right w:val="none" w:sz="0" w:space="0" w:color="auto"/>
          </w:divBdr>
          <w:divsChild>
            <w:div w:id="372123622">
              <w:marLeft w:val="75"/>
              <w:marRight w:val="0"/>
              <w:marTop w:val="0"/>
              <w:marBottom w:val="0"/>
              <w:divBdr>
                <w:top w:val="none" w:sz="0" w:space="0" w:color="auto"/>
                <w:left w:val="none" w:sz="0" w:space="0" w:color="auto"/>
                <w:bottom w:val="none" w:sz="0" w:space="0" w:color="auto"/>
                <w:right w:val="none" w:sz="0" w:space="0" w:color="auto"/>
              </w:divBdr>
              <w:divsChild>
                <w:div w:id="35205947">
                  <w:marLeft w:val="0"/>
                  <w:marRight w:val="0"/>
                  <w:marTop w:val="0"/>
                  <w:marBottom w:val="0"/>
                  <w:divBdr>
                    <w:top w:val="none" w:sz="0" w:space="0" w:color="auto"/>
                    <w:left w:val="none" w:sz="0" w:space="0" w:color="auto"/>
                    <w:bottom w:val="none" w:sz="0" w:space="0" w:color="auto"/>
                    <w:right w:val="none" w:sz="0" w:space="0" w:color="auto"/>
                  </w:divBdr>
                </w:div>
                <w:div w:id="19641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82257">
          <w:marLeft w:val="-225"/>
          <w:marRight w:val="-225"/>
          <w:marTop w:val="0"/>
          <w:marBottom w:val="0"/>
          <w:divBdr>
            <w:top w:val="none" w:sz="0" w:space="0" w:color="auto"/>
            <w:left w:val="none" w:sz="0" w:space="0" w:color="auto"/>
            <w:bottom w:val="none" w:sz="0" w:space="0" w:color="auto"/>
            <w:right w:val="none" w:sz="0" w:space="0" w:color="auto"/>
          </w:divBdr>
        </w:div>
        <w:div w:id="576130222">
          <w:marLeft w:val="-225"/>
          <w:marRight w:val="-225"/>
          <w:marTop w:val="0"/>
          <w:marBottom w:val="0"/>
          <w:divBdr>
            <w:top w:val="none" w:sz="0" w:space="0" w:color="auto"/>
            <w:left w:val="none" w:sz="0" w:space="0" w:color="auto"/>
            <w:bottom w:val="none" w:sz="0" w:space="0" w:color="auto"/>
            <w:right w:val="none" w:sz="0" w:space="0" w:color="auto"/>
          </w:divBdr>
        </w:div>
        <w:div w:id="2039155843">
          <w:marLeft w:val="-225"/>
          <w:marRight w:val="-225"/>
          <w:marTop w:val="0"/>
          <w:marBottom w:val="0"/>
          <w:divBdr>
            <w:top w:val="none" w:sz="0" w:space="0" w:color="auto"/>
            <w:left w:val="none" w:sz="0" w:space="0" w:color="auto"/>
            <w:bottom w:val="none" w:sz="0" w:space="0" w:color="auto"/>
            <w:right w:val="none" w:sz="0" w:space="0" w:color="auto"/>
          </w:divBdr>
        </w:div>
        <w:div w:id="220211261">
          <w:marLeft w:val="-225"/>
          <w:marRight w:val="-225"/>
          <w:marTop w:val="0"/>
          <w:marBottom w:val="0"/>
          <w:divBdr>
            <w:top w:val="none" w:sz="0" w:space="0" w:color="auto"/>
            <w:left w:val="none" w:sz="0" w:space="0" w:color="auto"/>
            <w:bottom w:val="none" w:sz="0" w:space="0" w:color="auto"/>
            <w:right w:val="none" w:sz="0" w:space="0" w:color="auto"/>
          </w:divBdr>
        </w:div>
      </w:divsChild>
    </w:div>
    <w:div w:id="1039166669">
      <w:bodyDiv w:val="1"/>
      <w:marLeft w:val="0"/>
      <w:marRight w:val="0"/>
      <w:marTop w:val="0"/>
      <w:marBottom w:val="0"/>
      <w:divBdr>
        <w:top w:val="none" w:sz="0" w:space="0" w:color="auto"/>
        <w:left w:val="none" w:sz="0" w:space="0" w:color="auto"/>
        <w:bottom w:val="none" w:sz="0" w:space="0" w:color="auto"/>
        <w:right w:val="none" w:sz="0" w:space="0" w:color="auto"/>
      </w:divBdr>
    </w:div>
    <w:div w:id="1050766302">
      <w:bodyDiv w:val="1"/>
      <w:marLeft w:val="0"/>
      <w:marRight w:val="0"/>
      <w:marTop w:val="0"/>
      <w:marBottom w:val="0"/>
      <w:divBdr>
        <w:top w:val="none" w:sz="0" w:space="0" w:color="auto"/>
        <w:left w:val="none" w:sz="0" w:space="0" w:color="auto"/>
        <w:bottom w:val="none" w:sz="0" w:space="0" w:color="auto"/>
        <w:right w:val="none" w:sz="0" w:space="0" w:color="auto"/>
      </w:divBdr>
    </w:div>
    <w:div w:id="1065685198">
      <w:bodyDiv w:val="1"/>
      <w:marLeft w:val="0"/>
      <w:marRight w:val="0"/>
      <w:marTop w:val="0"/>
      <w:marBottom w:val="0"/>
      <w:divBdr>
        <w:top w:val="none" w:sz="0" w:space="0" w:color="auto"/>
        <w:left w:val="none" w:sz="0" w:space="0" w:color="auto"/>
        <w:bottom w:val="none" w:sz="0" w:space="0" w:color="auto"/>
        <w:right w:val="none" w:sz="0" w:space="0" w:color="auto"/>
      </w:divBdr>
    </w:div>
    <w:div w:id="1066757534">
      <w:bodyDiv w:val="1"/>
      <w:marLeft w:val="0"/>
      <w:marRight w:val="0"/>
      <w:marTop w:val="0"/>
      <w:marBottom w:val="0"/>
      <w:divBdr>
        <w:top w:val="none" w:sz="0" w:space="0" w:color="auto"/>
        <w:left w:val="none" w:sz="0" w:space="0" w:color="auto"/>
        <w:bottom w:val="none" w:sz="0" w:space="0" w:color="auto"/>
        <w:right w:val="none" w:sz="0" w:space="0" w:color="auto"/>
      </w:divBdr>
      <w:divsChild>
        <w:div w:id="208033700">
          <w:marLeft w:val="0"/>
          <w:marRight w:val="0"/>
          <w:marTop w:val="0"/>
          <w:marBottom w:val="0"/>
          <w:divBdr>
            <w:top w:val="none" w:sz="0" w:space="0" w:color="auto"/>
            <w:left w:val="none" w:sz="0" w:space="0" w:color="auto"/>
            <w:bottom w:val="none" w:sz="0" w:space="0" w:color="auto"/>
            <w:right w:val="none" w:sz="0" w:space="0" w:color="auto"/>
          </w:divBdr>
        </w:div>
        <w:div w:id="905803865">
          <w:marLeft w:val="0"/>
          <w:marRight w:val="0"/>
          <w:marTop w:val="0"/>
          <w:marBottom w:val="0"/>
          <w:divBdr>
            <w:top w:val="none" w:sz="0" w:space="0" w:color="auto"/>
            <w:left w:val="none" w:sz="0" w:space="0" w:color="auto"/>
            <w:bottom w:val="none" w:sz="0" w:space="0" w:color="auto"/>
            <w:right w:val="none" w:sz="0" w:space="0" w:color="auto"/>
          </w:divBdr>
        </w:div>
        <w:div w:id="1531647280">
          <w:marLeft w:val="0"/>
          <w:marRight w:val="0"/>
          <w:marTop w:val="0"/>
          <w:marBottom w:val="0"/>
          <w:divBdr>
            <w:top w:val="none" w:sz="0" w:space="0" w:color="auto"/>
            <w:left w:val="none" w:sz="0" w:space="0" w:color="auto"/>
            <w:bottom w:val="none" w:sz="0" w:space="0" w:color="auto"/>
            <w:right w:val="none" w:sz="0" w:space="0" w:color="auto"/>
          </w:divBdr>
        </w:div>
        <w:div w:id="1658223242">
          <w:marLeft w:val="0"/>
          <w:marRight w:val="0"/>
          <w:marTop w:val="0"/>
          <w:marBottom w:val="0"/>
          <w:divBdr>
            <w:top w:val="none" w:sz="0" w:space="0" w:color="auto"/>
            <w:left w:val="none" w:sz="0" w:space="0" w:color="auto"/>
            <w:bottom w:val="none" w:sz="0" w:space="0" w:color="auto"/>
            <w:right w:val="none" w:sz="0" w:space="0" w:color="auto"/>
          </w:divBdr>
        </w:div>
      </w:divsChild>
    </w:div>
    <w:div w:id="1081487548">
      <w:bodyDiv w:val="1"/>
      <w:marLeft w:val="0"/>
      <w:marRight w:val="0"/>
      <w:marTop w:val="0"/>
      <w:marBottom w:val="0"/>
      <w:divBdr>
        <w:top w:val="none" w:sz="0" w:space="0" w:color="auto"/>
        <w:left w:val="none" w:sz="0" w:space="0" w:color="auto"/>
        <w:bottom w:val="none" w:sz="0" w:space="0" w:color="auto"/>
        <w:right w:val="none" w:sz="0" w:space="0" w:color="auto"/>
      </w:divBdr>
    </w:div>
    <w:div w:id="1083531443">
      <w:bodyDiv w:val="1"/>
      <w:marLeft w:val="0"/>
      <w:marRight w:val="0"/>
      <w:marTop w:val="0"/>
      <w:marBottom w:val="0"/>
      <w:divBdr>
        <w:top w:val="none" w:sz="0" w:space="0" w:color="auto"/>
        <w:left w:val="none" w:sz="0" w:space="0" w:color="auto"/>
        <w:bottom w:val="none" w:sz="0" w:space="0" w:color="auto"/>
        <w:right w:val="none" w:sz="0" w:space="0" w:color="auto"/>
      </w:divBdr>
      <w:divsChild>
        <w:div w:id="1379089014">
          <w:marLeft w:val="-225"/>
          <w:marRight w:val="-225"/>
          <w:marTop w:val="0"/>
          <w:marBottom w:val="0"/>
          <w:divBdr>
            <w:top w:val="none" w:sz="0" w:space="0" w:color="auto"/>
            <w:left w:val="none" w:sz="0" w:space="0" w:color="auto"/>
            <w:bottom w:val="none" w:sz="0" w:space="0" w:color="auto"/>
            <w:right w:val="none" w:sz="0" w:space="0" w:color="auto"/>
          </w:divBdr>
        </w:div>
        <w:div w:id="204605948">
          <w:marLeft w:val="-225"/>
          <w:marRight w:val="-225"/>
          <w:marTop w:val="0"/>
          <w:marBottom w:val="0"/>
          <w:divBdr>
            <w:top w:val="none" w:sz="0" w:space="0" w:color="auto"/>
            <w:left w:val="none" w:sz="0" w:space="0" w:color="auto"/>
            <w:bottom w:val="none" w:sz="0" w:space="0" w:color="auto"/>
            <w:right w:val="none" w:sz="0" w:space="0" w:color="auto"/>
          </w:divBdr>
          <w:divsChild>
            <w:div w:id="1923250008">
              <w:marLeft w:val="75"/>
              <w:marRight w:val="0"/>
              <w:marTop w:val="0"/>
              <w:marBottom w:val="0"/>
              <w:divBdr>
                <w:top w:val="none" w:sz="0" w:space="0" w:color="auto"/>
                <w:left w:val="none" w:sz="0" w:space="0" w:color="auto"/>
                <w:bottom w:val="none" w:sz="0" w:space="0" w:color="auto"/>
                <w:right w:val="none" w:sz="0" w:space="0" w:color="auto"/>
              </w:divBdr>
              <w:divsChild>
                <w:div w:id="1554466374">
                  <w:marLeft w:val="0"/>
                  <w:marRight w:val="0"/>
                  <w:marTop w:val="0"/>
                  <w:marBottom w:val="0"/>
                  <w:divBdr>
                    <w:top w:val="single" w:sz="18" w:space="0" w:color="484848"/>
                    <w:left w:val="single" w:sz="18" w:space="0" w:color="484848"/>
                    <w:bottom w:val="single" w:sz="18" w:space="0" w:color="484848"/>
                    <w:right w:val="single" w:sz="18" w:space="0" w:color="484848"/>
                  </w:divBdr>
                </w:div>
                <w:div w:id="241456520">
                  <w:marLeft w:val="0"/>
                  <w:marRight w:val="0"/>
                  <w:marTop w:val="0"/>
                  <w:marBottom w:val="0"/>
                  <w:divBdr>
                    <w:top w:val="none" w:sz="0" w:space="0" w:color="auto"/>
                    <w:left w:val="none" w:sz="0" w:space="0" w:color="auto"/>
                    <w:bottom w:val="none" w:sz="0" w:space="0" w:color="auto"/>
                    <w:right w:val="none" w:sz="0" w:space="0" w:color="auto"/>
                  </w:divBdr>
                </w:div>
                <w:div w:id="159416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2185">
          <w:marLeft w:val="-225"/>
          <w:marRight w:val="-225"/>
          <w:marTop w:val="0"/>
          <w:marBottom w:val="0"/>
          <w:divBdr>
            <w:top w:val="none" w:sz="0" w:space="0" w:color="auto"/>
            <w:left w:val="none" w:sz="0" w:space="0" w:color="auto"/>
            <w:bottom w:val="none" w:sz="0" w:space="0" w:color="auto"/>
            <w:right w:val="none" w:sz="0" w:space="0" w:color="auto"/>
          </w:divBdr>
        </w:div>
        <w:div w:id="1696538737">
          <w:marLeft w:val="-225"/>
          <w:marRight w:val="-225"/>
          <w:marTop w:val="0"/>
          <w:marBottom w:val="0"/>
          <w:divBdr>
            <w:top w:val="none" w:sz="0" w:space="0" w:color="auto"/>
            <w:left w:val="none" w:sz="0" w:space="0" w:color="auto"/>
            <w:bottom w:val="none" w:sz="0" w:space="0" w:color="auto"/>
            <w:right w:val="none" w:sz="0" w:space="0" w:color="auto"/>
          </w:divBdr>
        </w:div>
        <w:div w:id="419106046">
          <w:marLeft w:val="-225"/>
          <w:marRight w:val="-225"/>
          <w:marTop w:val="0"/>
          <w:marBottom w:val="0"/>
          <w:divBdr>
            <w:top w:val="none" w:sz="0" w:space="0" w:color="auto"/>
            <w:left w:val="none" w:sz="0" w:space="0" w:color="auto"/>
            <w:bottom w:val="none" w:sz="0" w:space="0" w:color="auto"/>
            <w:right w:val="none" w:sz="0" w:space="0" w:color="auto"/>
          </w:divBdr>
        </w:div>
        <w:div w:id="1936665082">
          <w:marLeft w:val="-225"/>
          <w:marRight w:val="-225"/>
          <w:marTop w:val="0"/>
          <w:marBottom w:val="0"/>
          <w:divBdr>
            <w:top w:val="none" w:sz="0" w:space="0" w:color="auto"/>
            <w:left w:val="none" w:sz="0" w:space="0" w:color="auto"/>
            <w:bottom w:val="none" w:sz="0" w:space="0" w:color="auto"/>
            <w:right w:val="none" w:sz="0" w:space="0" w:color="auto"/>
          </w:divBdr>
        </w:div>
        <w:div w:id="1713916779">
          <w:marLeft w:val="-225"/>
          <w:marRight w:val="-225"/>
          <w:marTop w:val="0"/>
          <w:marBottom w:val="0"/>
          <w:divBdr>
            <w:top w:val="none" w:sz="0" w:space="0" w:color="auto"/>
            <w:left w:val="none" w:sz="0" w:space="0" w:color="auto"/>
            <w:bottom w:val="none" w:sz="0" w:space="0" w:color="auto"/>
            <w:right w:val="none" w:sz="0" w:space="0" w:color="auto"/>
          </w:divBdr>
        </w:div>
        <w:div w:id="1681813293">
          <w:marLeft w:val="-225"/>
          <w:marRight w:val="-225"/>
          <w:marTop w:val="0"/>
          <w:marBottom w:val="0"/>
          <w:divBdr>
            <w:top w:val="none" w:sz="0" w:space="0" w:color="auto"/>
            <w:left w:val="none" w:sz="0" w:space="0" w:color="auto"/>
            <w:bottom w:val="none" w:sz="0" w:space="0" w:color="auto"/>
            <w:right w:val="none" w:sz="0" w:space="0" w:color="auto"/>
          </w:divBdr>
        </w:div>
        <w:div w:id="786587597">
          <w:marLeft w:val="-225"/>
          <w:marRight w:val="-225"/>
          <w:marTop w:val="0"/>
          <w:marBottom w:val="0"/>
          <w:divBdr>
            <w:top w:val="none" w:sz="0" w:space="0" w:color="auto"/>
            <w:left w:val="none" w:sz="0" w:space="0" w:color="auto"/>
            <w:bottom w:val="none" w:sz="0" w:space="0" w:color="auto"/>
            <w:right w:val="none" w:sz="0" w:space="0" w:color="auto"/>
          </w:divBdr>
        </w:div>
        <w:div w:id="1896504421">
          <w:marLeft w:val="-225"/>
          <w:marRight w:val="-225"/>
          <w:marTop w:val="0"/>
          <w:marBottom w:val="0"/>
          <w:divBdr>
            <w:top w:val="none" w:sz="0" w:space="0" w:color="auto"/>
            <w:left w:val="none" w:sz="0" w:space="0" w:color="auto"/>
            <w:bottom w:val="none" w:sz="0" w:space="0" w:color="auto"/>
            <w:right w:val="none" w:sz="0" w:space="0" w:color="auto"/>
          </w:divBdr>
        </w:div>
        <w:div w:id="899900909">
          <w:marLeft w:val="-225"/>
          <w:marRight w:val="-225"/>
          <w:marTop w:val="0"/>
          <w:marBottom w:val="0"/>
          <w:divBdr>
            <w:top w:val="none" w:sz="0" w:space="0" w:color="auto"/>
            <w:left w:val="none" w:sz="0" w:space="0" w:color="auto"/>
            <w:bottom w:val="none" w:sz="0" w:space="0" w:color="auto"/>
            <w:right w:val="none" w:sz="0" w:space="0" w:color="auto"/>
          </w:divBdr>
        </w:div>
        <w:div w:id="1613366580">
          <w:marLeft w:val="-225"/>
          <w:marRight w:val="-225"/>
          <w:marTop w:val="0"/>
          <w:marBottom w:val="0"/>
          <w:divBdr>
            <w:top w:val="none" w:sz="0" w:space="0" w:color="auto"/>
            <w:left w:val="none" w:sz="0" w:space="0" w:color="auto"/>
            <w:bottom w:val="none" w:sz="0" w:space="0" w:color="auto"/>
            <w:right w:val="none" w:sz="0" w:space="0" w:color="auto"/>
          </w:divBdr>
        </w:div>
        <w:div w:id="730232096">
          <w:marLeft w:val="-225"/>
          <w:marRight w:val="-225"/>
          <w:marTop w:val="0"/>
          <w:marBottom w:val="0"/>
          <w:divBdr>
            <w:top w:val="none" w:sz="0" w:space="0" w:color="auto"/>
            <w:left w:val="none" w:sz="0" w:space="0" w:color="auto"/>
            <w:bottom w:val="none" w:sz="0" w:space="0" w:color="auto"/>
            <w:right w:val="none" w:sz="0" w:space="0" w:color="auto"/>
          </w:divBdr>
        </w:div>
        <w:div w:id="1880777316">
          <w:marLeft w:val="-225"/>
          <w:marRight w:val="-225"/>
          <w:marTop w:val="0"/>
          <w:marBottom w:val="0"/>
          <w:divBdr>
            <w:top w:val="none" w:sz="0" w:space="0" w:color="auto"/>
            <w:left w:val="none" w:sz="0" w:space="0" w:color="auto"/>
            <w:bottom w:val="none" w:sz="0" w:space="0" w:color="auto"/>
            <w:right w:val="none" w:sz="0" w:space="0" w:color="auto"/>
          </w:divBdr>
        </w:div>
      </w:divsChild>
    </w:div>
    <w:div w:id="1088772709">
      <w:bodyDiv w:val="1"/>
      <w:marLeft w:val="0"/>
      <w:marRight w:val="0"/>
      <w:marTop w:val="0"/>
      <w:marBottom w:val="0"/>
      <w:divBdr>
        <w:top w:val="none" w:sz="0" w:space="0" w:color="auto"/>
        <w:left w:val="none" w:sz="0" w:space="0" w:color="auto"/>
        <w:bottom w:val="none" w:sz="0" w:space="0" w:color="auto"/>
        <w:right w:val="none" w:sz="0" w:space="0" w:color="auto"/>
      </w:divBdr>
    </w:div>
    <w:div w:id="1104761385">
      <w:bodyDiv w:val="1"/>
      <w:marLeft w:val="0"/>
      <w:marRight w:val="0"/>
      <w:marTop w:val="0"/>
      <w:marBottom w:val="0"/>
      <w:divBdr>
        <w:top w:val="none" w:sz="0" w:space="0" w:color="auto"/>
        <w:left w:val="none" w:sz="0" w:space="0" w:color="auto"/>
        <w:bottom w:val="none" w:sz="0" w:space="0" w:color="auto"/>
        <w:right w:val="none" w:sz="0" w:space="0" w:color="auto"/>
      </w:divBdr>
    </w:div>
    <w:div w:id="1127352004">
      <w:bodyDiv w:val="1"/>
      <w:marLeft w:val="0"/>
      <w:marRight w:val="0"/>
      <w:marTop w:val="0"/>
      <w:marBottom w:val="0"/>
      <w:divBdr>
        <w:top w:val="none" w:sz="0" w:space="0" w:color="auto"/>
        <w:left w:val="none" w:sz="0" w:space="0" w:color="auto"/>
        <w:bottom w:val="none" w:sz="0" w:space="0" w:color="auto"/>
        <w:right w:val="none" w:sz="0" w:space="0" w:color="auto"/>
      </w:divBdr>
      <w:divsChild>
        <w:div w:id="38238795">
          <w:marLeft w:val="-225"/>
          <w:marRight w:val="-225"/>
          <w:marTop w:val="0"/>
          <w:marBottom w:val="0"/>
          <w:divBdr>
            <w:top w:val="none" w:sz="0" w:space="0" w:color="auto"/>
            <w:left w:val="none" w:sz="0" w:space="0" w:color="auto"/>
            <w:bottom w:val="none" w:sz="0" w:space="0" w:color="auto"/>
            <w:right w:val="none" w:sz="0" w:space="0" w:color="auto"/>
          </w:divBdr>
        </w:div>
        <w:div w:id="87040478">
          <w:marLeft w:val="-225"/>
          <w:marRight w:val="-225"/>
          <w:marTop w:val="0"/>
          <w:marBottom w:val="0"/>
          <w:divBdr>
            <w:top w:val="none" w:sz="0" w:space="0" w:color="auto"/>
            <w:left w:val="none" w:sz="0" w:space="0" w:color="auto"/>
            <w:bottom w:val="none" w:sz="0" w:space="0" w:color="auto"/>
            <w:right w:val="none" w:sz="0" w:space="0" w:color="auto"/>
          </w:divBdr>
        </w:div>
        <w:div w:id="138688776">
          <w:marLeft w:val="-225"/>
          <w:marRight w:val="-225"/>
          <w:marTop w:val="0"/>
          <w:marBottom w:val="0"/>
          <w:divBdr>
            <w:top w:val="none" w:sz="0" w:space="0" w:color="auto"/>
            <w:left w:val="none" w:sz="0" w:space="0" w:color="auto"/>
            <w:bottom w:val="none" w:sz="0" w:space="0" w:color="auto"/>
            <w:right w:val="none" w:sz="0" w:space="0" w:color="auto"/>
          </w:divBdr>
        </w:div>
        <w:div w:id="139418858">
          <w:marLeft w:val="-225"/>
          <w:marRight w:val="-225"/>
          <w:marTop w:val="0"/>
          <w:marBottom w:val="0"/>
          <w:divBdr>
            <w:top w:val="none" w:sz="0" w:space="0" w:color="auto"/>
            <w:left w:val="none" w:sz="0" w:space="0" w:color="auto"/>
            <w:bottom w:val="none" w:sz="0" w:space="0" w:color="auto"/>
            <w:right w:val="none" w:sz="0" w:space="0" w:color="auto"/>
          </w:divBdr>
        </w:div>
        <w:div w:id="227808959">
          <w:marLeft w:val="-225"/>
          <w:marRight w:val="-225"/>
          <w:marTop w:val="0"/>
          <w:marBottom w:val="0"/>
          <w:divBdr>
            <w:top w:val="none" w:sz="0" w:space="0" w:color="auto"/>
            <w:left w:val="none" w:sz="0" w:space="0" w:color="auto"/>
            <w:bottom w:val="none" w:sz="0" w:space="0" w:color="auto"/>
            <w:right w:val="none" w:sz="0" w:space="0" w:color="auto"/>
          </w:divBdr>
        </w:div>
        <w:div w:id="231620410">
          <w:marLeft w:val="-225"/>
          <w:marRight w:val="-225"/>
          <w:marTop w:val="0"/>
          <w:marBottom w:val="0"/>
          <w:divBdr>
            <w:top w:val="none" w:sz="0" w:space="0" w:color="auto"/>
            <w:left w:val="none" w:sz="0" w:space="0" w:color="auto"/>
            <w:bottom w:val="none" w:sz="0" w:space="0" w:color="auto"/>
            <w:right w:val="none" w:sz="0" w:space="0" w:color="auto"/>
          </w:divBdr>
        </w:div>
        <w:div w:id="300961281">
          <w:marLeft w:val="-225"/>
          <w:marRight w:val="-225"/>
          <w:marTop w:val="0"/>
          <w:marBottom w:val="0"/>
          <w:divBdr>
            <w:top w:val="none" w:sz="0" w:space="0" w:color="auto"/>
            <w:left w:val="none" w:sz="0" w:space="0" w:color="auto"/>
            <w:bottom w:val="none" w:sz="0" w:space="0" w:color="auto"/>
            <w:right w:val="none" w:sz="0" w:space="0" w:color="auto"/>
          </w:divBdr>
        </w:div>
        <w:div w:id="345325952">
          <w:marLeft w:val="-225"/>
          <w:marRight w:val="-225"/>
          <w:marTop w:val="0"/>
          <w:marBottom w:val="0"/>
          <w:divBdr>
            <w:top w:val="none" w:sz="0" w:space="0" w:color="auto"/>
            <w:left w:val="none" w:sz="0" w:space="0" w:color="auto"/>
            <w:bottom w:val="none" w:sz="0" w:space="0" w:color="auto"/>
            <w:right w:val="none" w:sz="0" w:space="0" w:color="auto"/>
          </w:divBdr>
        </w:div>
        <w:div w:id="374932906">
          <w:marLeft w:val="-225"/>
          <w:marRight w:val="-225"/>
          <w:marTop w:val="0"/>
          <w:marBottom w:val="0"/>
          <w:divBdr>
            <w:top w:val="none" w:sz="0" w:space="0" w:color="auto"/>
            <w:left w:val="none" w:sz="0" w:space="0" w:color="auto"/>
            <w:bottom w:val="none" w:sz="0" w:space="0" w:color="auto"/>
            <w:right w:val="none" w:sz="0" w:space="0" w:color="auto"/>
          </w:divBdr>
        </w:div>
        <w:div w:id="430708339">
          <w:marLeft w:val="-225"/>
          <w:marRight w:val="-225"/>
          <w:marTop w:val="0"/>
          <w:marBottom w:val="0"/>
          <w:divBdr>
            <w:top w:val="none" w:sz="0" w:space="0" w:color="auto"/>
            <w:left w:val="none" w:sz="0" w:space="0" w:color="auto"/>
            <w:bottom w:val="none" w:sz="0" w:space="0" w:color="auto"/>
            <w:right w:val="none" w:sz="0" w:space="0" w:color="auto"/>
          </w:divBdr>
        </w:div>
        <w:div w:id="438372227">
          <w:marLeft w:val="-225"/>
          <w:marRight w:val="-225"/>
          <w:marTop w:val="0"/>
          <w:marBottom w:val="0"/>
          <w:divBdr>
            <w:top w:val="none" w:sz="0" w:space="0" w:color="auto"/>
            <w:left w:val="none" w:sz="0" w:space="0" w:color="auto"/>
            <w:bottom w:val="none" w:sz="0" w:space="0" w:color="auto"/>
            <w:right w:val="none" w:sz="0" w:space="0" w:color="auto"/>
          </w:divBdr>
        </w:div>
        <w:div w:id="654071427">
          <w:marLeft w:val="-225"/>
          <w:marRight w:val="-225"/>
          <w:marTop w:val="0"/>
          <w:marBottom w:val="0"/>
          <w:divBdr>
            <w:top w:val="none" w:sz="0" w:space="0" w:color="auto"/>
            <w:left w:val="none" w:sz="0" w:space="0" w:color="auto"/>
            <w:bottom w:val="none" w:sz="0" w:space="0" w:color="auto"/>
            <w:right w:val="none" w:sz="0" w:space="0" w:color="auto"/>
          </w:divBdr>
        </w:div>
        <w:div w:id="706491889">
          <w:marLeft w:val="-225"/>
          <w:marRight w:val="-225"/>
          <w:marTop w:val="0"/>
          <w:marBottom w:val="0"/>
          <w:divBdr>
            <w:top w:val="none" w:sz="0" w:space="0" w:color="auto"/>
            <w:left w:val="none" w:sz="0" w:space="0" w:color="auto"/>
            <w:bottom w:val="none" w:sz="0" w:space="0" w:color="auto"/>
            <w:right w:val="none" w:sz="0" w:space="0" w:color="auto"/>
          </w:divBdr>
        </w:div>
        <w:div w:id="707729934">
          <w:marLeft w:val="-225"/>
          <w:marRight w:val="-225"/>
          <w:marTop w:val="0"/>
          <w:marBottom w:val="0"/>
          <w:divBdr>
            <w:top w:val="none" w:sz="0" w:space="0" w:color="auto"/>
            <w:left w:val="none" w:sz="0" w:space="0" w:color="auto"/>
            <w:bottom w:val="none" w:sz="0" w:space="0" w:color="auto"/>
            <w:right w:val="none" w:sz="0" w:space="0" w:color="auto"/>
          </w:divBdr>
        </w:div>
        <w:div w:id="717121652">
          <w:marLeft w:val="-225"/>
          <w:marRight w:val="-225"/>
          <w:marTop w:val="0"/>
          <w:marBottom w:val="0"/>
          <w:divBdr>
            <w:top w:val="none" w:sz="0" w:space="0" w:color="auto"/>
            <w:left w:val="none" w:sz="0" w:space="0" w:color="auto"/>
            <w:bottom w:val="none" w:sz="0" w:space="0" w:color="auto"/>
            <w:right w:val="none" w:sz="0" w:space="0" w:color="auto"/>
          </w:divBdr>
        </w:div>
        <w:div w:id="760101743">
          <w:marLeft w:val="-225"/>
          <w:marRight w:val="-225"/>
          <w:marTop w:val="0"/>
          <w:marBottom w:val="0"/>
          <w:divBdr>
            <w:top w:val="none" w:sz="0" w:space="0" w:color="auto"/>
            <w:left w:val="none" w:sz="0" w:space="0" w:color="auto"/>
            <w:bottom w:val="none" w:sz="0" w:space="0" w:color="auto"/>
            <w:right w:val="none" w:sz="0" w:space="0" w:color="auto"/>
          </w:divBdr>
        </w:div>
        <w:div w:id="767195705">
          <w:marLeft w:val="-225"/>
          <w:marRight w:val="-225"/>
          <w:marTop w:val="0"/>
          <w:marBottom w:val="0"/>
          <w:divBdr>
            <w:top w:val="none" w:sz="0" w:space="0" w:color="auto"/>
            <w:left w:val="none" w:sz="0" w:space="0" w:color="auto"/>
            <w:bottom w:val="none" w:sz="0" w:space="0" w:color="auto"/>
            <w:right w:val="none" w:sz="0" w:space="0" w:color="auto"/>
          </w:divBdr>
        </w:div>
        <w:div w:id="833686187">
          <w:marLeft w:val="-225"/>
          <w:marRight w:val="-225"/>
          <w:marTop w:val="0"/>
          <w:marBottom w:val="0"/>
          <w:divBdr>
            <w:top w:val="none" w:sz="0" w:space="0" w:color="auto"/>
            <w:left w:val="none" w:sz="0" w:space="0" w:color="auto"/>
            <w:bottom w:val="none" w:sz="0" w:space="0" w:color="auto"/>
            <w:right w:val="none" w:sz="0" w:space="0" w:color="auto"/>
          </w:divBdr>
        </w:div>
        <w:div w:id="881554207">
          <w:marLeft w:val="-225"/>
          <w:marRight w:val="-225"/>
          <w:marTop w:val="0"/>
          <w:marBottom w:val="0"/>
          <w:divBdr>
            <w:top w:val="none" w:sz="0" w:space="0" w:color="auto"/>
            <w:left w:val="none" w:sz="0" w:space="0" w:color="auto"/>
            <w:bottom w:val="none" w:sz="0" w:space="0" w:color="auto"/>
            <w:right w:val="none" w:sz="0" w:space="0" w:color="auto"/>
          </w:divBdr>
        </w:div>
        <w:div w:id="1029719038">
          <w:marLeft w:val="-225"/>
          <w:marRight w:val="-225"/>
          <w:marTop w:val="0"/>
          <w:marBottom w:val="0"/>
          <w:divBdr>
            <w:top w:val="none" w:sz="0" w:space="0" w:color="auto"/>
            <w:left w:val="none" w:sz="0" w:space="0" w:color="auto"/>
            <w:bottom w:val="none" w:sz="0" w:space="0" w:color="auto"/>
            <w:right w:val="none" w:sz="0" w:space="0" w:color="auto"/>
          </w:divBdr>
        </w:div>
        <w:div w:id="1033111092">
          <w:marLeft w:val="-225"/>
          <w:marRight w:val="-225"/>
          <w:marTop w:val="0"/>
          <w:marBottom w:val="0"/>
          <w:divBdr>
            <w:top w:val="none" w:sz="0" w:space="0" w:color="auto"/>
            <w:left w:val="none" w:sz="0" w:space="0" w:color="auto"/>
            <w:bottom w:val="none" w:sz="0" w:space="0" w:color="auto"/>
            <w:right w:val="none" w:sz="0" w:space="0" w:color="auto"/>
          </w:divBdr>
        </w:div>
        <w:div w:id="1056050961">
          <w:marLeft w:val="-225"/>
          <w:marRight w:val="-225"/>
          <w:marTop w:val="0"/>
          <w:marBottom w:val="0"/>
          <w:divBdr>
            <w:top w:val="none" w:sz="0" w:space="0" w:color="auto"/>
            <w:left w:val="none" w:sz="0" w:space="0" w:color="auto"/>
            <w:bottom w:val="none" w:sz="0" w:space="0" w:color="auto"/>
            <w:right w:val="none" w:sz="0" w:space="0" w:color="auto"/>
          </w:divBdr>
          <w:divsChild>
            <w:div w:id="1518619742">
              <w:marLeft w:val="75"/>
              <w:marRight w:val="0"/>
              <w:marTop w:val="0"/>
              <w:marBottom w:val="0"/>
              <w:divBdr>
                <w:top w:val="none" w:sz="0" w:space="0" w:color="auto"/>
                <w:left w:val="none" w:sz="0" w:space="0" w:color="auto"/>
                <w:bottom w:val="none" w:sz="0" w:space="0" w:color="auto"/>
                <w:right w:val="none" w:sz="0" w:space="0" w:color="auto"/>
              </w:divBdr>
              <w:divsChild>
                <w:div w:id="494222474">
                  <w:marLeft w:val="0"/>
                  <w:marRight w:val="0"/>
                  <w:marTop w:val="0"/>
                  <w:marBottom w:val="0"/>
                  <w:divBdr>
                    <w:top w:val="none" w:sz="0" w:space="0" w:color="auto"/>
                    <w:left w:val="none" w:sz="0" w:space="0" w:color="auto"/>
                    <w:bottom w:val="none" w:sz="0" w:space="0" w:color="auto"/>
                    <w:right w:val="none" w:sz="0" w:space="0" w:color="auto"/>
                  </w:divBdr>
                </w:div>
                <w:div w:id="560095658">
                  <w:marLeft w:val="0"/>
                  <w:marRight w:val="0"/>
                  <w:marTop w:val="0"/>
                  <w:marBottom w:val="0"/>
                  <w:divBdr>
                    <w:top w:val="none" w:sz="0" w:space="0" w:color="auto"/>
                    <w:left w:val="none" w:sz="0" w:space="0" w:color="auto"/>
                    <w:bottom w:val="none" w:sz="0" w:space="0" w:color="auto"/>
                    <w:right w:val="none" w:sz="0" w:space="0" w:color="auto"/>
                  </w:divBdr>
                </w:div>
                <w:div w:id="1555383895">
                  <w:marLeft w:val="0"/>
                  <w:marRight w:val="0"/>
                  <w:marTop w:val="0"/>
                  <w:marBottom w:val="0"/>
                  <w:divBdr>
                    <w:top w:val="single" w:sz="18" w:space="0" w:color="484848"/>
                    <w:left w:val="single" w:sz="18" w:space="0" w:color="484848"/>
                    <w:bottom w:val="single" w:sz="18" w:space="0" w:color="484848"/>
                    <w:right w:val="single" w:sz="18" w:space="0" w:color="484848"/>
                  </w:divBdr>
                </w:div>
                <w:div w:id="1953244590">
                  <w:marLeft w:val="0"/>
                  <w:marRight w:val="0"/>
                  <w:marTop w:val="0"/>
                  <w:marBottom w:val="0"/>
                  <w:divBdr>
                    <w:top w:val="single" w:sz="18" w:space="0" w:color="484848"/>
                    <w:left w:val="single" w:sz="18" w:space="0" w:color="484848"/>
                    <w:bottom w:val="single" w:sz="18" w:space="0" w:color="484848"/>
                    <w:right w:val="single" w:sz="18" w:space="0" w:color="484848"/>
                  </w:divBdr>
                </w:div>
              </w:divsChild>
            </w:div>
          </w:divsChild>
        </w:div>
        <w:div w:id="1070272429">
          <w:marLeft w:val="-225"/>
          <w:marRight w:val="-225"/>
          <w:marTop w:val="0"/>
          <w:marBottom w:val="0"/>
          <w:divBdr>
            <w:top w:val="none" w:sz="0" w:space="0" w:color="auto"/>
            <w:left w:val="none" w:sz="0" w:space="0" w:color="auto"/>
            <w:bottom w:val="none" w:sz="0" w:space="0" w:color="auto"/>
            <w:right w:val="none" w:sz="0" w:space="0" w:color="auto"/>
          </w:divBdr>
        </w:div>
        <w:div w:id="1177042162">
          <w:marLeft w:val="-225"/>
          <w:marRight w:val="-225"/>
          <w:marTop w:val="0"/>
          <w:marBottom w:val="0"/>
          <w:divBdr>
            <w:top w:val="none" w:sz="0" w:space="0" w:color="auto"/>
            <w:left w:val="none" w:sz="0" w:space="0" w:color="auto"/>
            <w:bottom w:val="none" w:sz="0" w:space="0" w:color="auto"/>
            <w:right w:val="none" w:sz="0" w:space="0" w:color="auto"/>
          </w:divBdr>
        </w:div>
        <w:div w:id="1272660972">
          <w:marLeft w:val="-225"/>
          <w:marRight w:val="-225"/>
          <w:marTop w:val="0"/>
          <w:marBottom w:val="0"/>
          <w:divBdr>
            <w:top w:val="none" w:sz="0" w:space="0" w:color="auto"/>
            <w:left w:val="none" w:sz="0" w:space="0" w:color="auto"/>
            <w:bottom w:val="none" w:sz="0" w:space="0" w:color="auto"/>
            <w:right w:val="none" w:sz="0" w:space="0" w:color="auto"/>
          </w:divBdr>
        </w:div>
        <w:div w:id="1360350250">
          <w:marLeft w:val="-225"/>
          <w:marRight w:val="-225"/>
          <w:marTop w:val="0"/>
          <w:marBottom w:val="0"/>
          <w:divBdr>
            <w:top w:val="none" w:sz="0" w:space="0" w:color="auto"/>
            <w:left w:val="none" w:sz="0" w:space="0" w:color="auto"/>
            <w:bottom w:val="none" w:sz="0" w:space="0" w:color="auto"/>
            <w:right w:val="none" w:sz="0" w:space="0" w:color="auto"/>
          </w:divBdr>
        </w:div>
        <w:div w:id="1429815247">
          <w:marLeft w:val="-225"/>
          <w:marRight w:val="-225"/>
          <w:marTop w:val="0"/>
          <w:marBottom w:val="0"/>
          <w:divBdr>
            <w:top w:val="none" w:sz="0" w:space="0" w:color="auto"/>
            <w:left w:val="none" w:sz="0" w:space="0" w:color="auto"/>
            <w:bottom w:val="none" w:sz="0" w:space="0" w:color="auto"/>
            <w:right w:val="none" w:sz="0" w:space="0" w:color="auto"/>
          </w:divBdr>
        </w:div>
        <w:div w:id="1487235421">
          <w:marLeft w:val="-225"/>
          <w:marRight w:val="-225"/>
          <w:marTop w:val="0"/>
          <w:marBottom w:val="0"/>
          <w:divBdr>
            <w:top w:val="none" w:sz="0" w:space="0" w:color="auto"/>
            <w:left w:val="none" w:sz="0" w:space="0" w:color="auto"/>
            <w:bottom w:val="none" w:sz="0" w:space="0" w:color="auto"/>
            <w:right w:val="none" w:sz="0" w:space="0" w:color="auto"/>
          </w:divBdr>
        </w:div>
        <w:div w:id="1530408349">
          <w:marLeft w:val="-225"/>
          <w:marRight w:val="-225"/>
          <w:marTop w:val="0"/>
          <w:marBottom w:val="0"/>
          <w:divBdr>
            <w:top w:val="none" w:sz="0" w:space="0" w:color="auto"/>
            <w:left w:val="none" w:sz="0" w:space="0" w:color="auto"/>
            <w:bottom w:val="none" w:sz="0" w:space="0" w:color="auto"/>
            <w:right w:val="none" w:sz="0" w:space="0" w:color="auto"/>
          </w:divBdr>
        </w:div>
        <w:div w:id="1568615384">
          <w:marLeft w:val="-225"/>
          <w:marRight w:val="-225"/>
          <w:marTop w:val="0"/>
          <w:marBottom w:val="0"/>
          <w:divBdr>
            <w:top w:val="none" w:sz="0" w:space="0" w:color="auto"/>
            <w:left w:val="none" w:sz="0" w:space="0" w:color="auto"/>
            <w:bottom w:val="none" w:sz="0" w:space="0" w:color="auto"/>
            <w:right w:val="none" w:sz="0" w:space="0" w:color="auto"/>
          </w:divBdr>
        </w:div>
        <w:div w:id="1595279417">
          <w:marLeft w:val="-225"/>
          <w:marRight w:val="-225"/>
          <w:marTop w:val="0"/>
          <w:marBottom w:val="0"/>
          <w:divBdr>
            <w:top w:val="none" w:sz="0" w:space="0" w:color="auto"/>
            <w:left w:val="none" w:sz="0" w:space="0" w:color="auto"/>
            <w:bottom w:val="none" w:sz="0" w:space="0" w:color="auto"/>
            <w:right w:val="none" w:sz="0" w:space="0" w:color="auto"/>
          </w:divBdr>
        </w:div>
        <w:div w:id="1826319816">
          <w:marLeft w:val="-225"/>
          <w:marRight w:val="-225"/>
          <w:marTop w:val="0"/>
          <w:marBottom w:val="0"/>
          <w:divBdr>
            <w:top w:val="none" w:sz="0" w:space="0" w:color="auto"/>
            <w:left w:val="none" w:sz="0" w:space="0" w:color="auto"/>
            <w:bottom w:val="none" w:sz="0" w:space="0" w:color="auto"/>
            <w:right w:val="none" w:sz="0" w:space="0" w:color="auto"/>
          </w:divBdr>
        </w:div>
        <w:div w:id="1865551269">
          <w:marLeft w:val="-225"/>
          <w:marRight w:val="-225"/>
          <w:marTop w:val="0"/>
          <w:marBottom w:val="0"/>
          <w:divBdr>
            <w:top w:val="none" w:sz="0" w:space="0" w:color="auto"/>
            <w:left w:val="none" w:sz="0" w:space="0" w:color="auto"/>
            <w:bottom w:val="none" w:sz="0" w:space="0" w:color="auto"/>
            <w:right w:val="none" w:sz="0" w:space="0" w:color="auto"/>
          </w:divBdr>
        </w:div>
        <w:div w:id="2029483209">
          <w:marLeft w:val="-225"/>
          <w:marRight w:val="-225"/>
          <w:marTop w:val="0"/>
          <w:marBottom w:val="0"/>
          <w:divBdr>
            <w:top w:val="none" w:sz="0" w:space="0" w:color="auto"/>
            <w:left w:val="none" w:sz="0" w:space="0" w:color="auto"/>
            <w:bottom w:val="none" w:sz="0" w:space="0" w:color="auto"/>
            <w:right w:val="none" w:sz="0" w:space="0" w:color="auto"/>
          </w:divBdr>
        </w:div>
        <w:div w:id="2030060031">
          <w:marLeft w:val="-225"/>
          <w:marRight w:val="-225"/>
          <w:marTop w:val="0"/>
          <w:marBottom w:val="0"/>
          <w:divBdr>
            <w:top w:val="none" w:sz="0" w:space="0" w:color="auto"/>
            <w:left w:val="none" w:sz="0" w:space="0" w:color="auto"/>
            <w:bottom w:val="none" w:sz="0" w:space="0" w:color="auto"/>
            <w:right w:val="none" w:sz="0" w:space="0" w:color="auto"/>
          </w:divBdr>
        </w:div>
        <w:div w:id="2049525946">
          <w:marLeft w:val="-225"/>
          <w:marRight w:val="-225"/>
          <w:marTop w:val="0"/>
          <w:marBottom w:val="0"/>
          <w:divBdr>
            <w:top w:val="none" w:sz="0" w:space="0" w:color="auto"/>
            <w:left w:val="none" w:sz="0" w:space="0" w:color="auto"/>
            <w:bottom w:val="none" w:sz="0" w:space="0" w:color="auto"/>
            <w:right w:val="none" w:sz="0" w:space="0" w:color="auto"/>
          </w:divBdr>
        </w:div>
        <w:div w:id="2067295387">
          <w:marLeft w:val="-225"/>
          <w:marRight w:val="-225"/>
          <w:marTop w:val="0"/>
          <w:marBottom w:val="0"/>
          <w:divBdr>
            <w:top w:val="none" w:sz="0" w:space="0" w:color="auto"/>
            <w:left w:val="none" w:sz="0" w:space="0" w:color="auto"/>
            <w:bottom w:val="none" w:sz="0" w:space="0" w:color="auto"/>
            <w:right w:val="none" w:sz="0" w:space="0" w:color="auto"/>
          </w:divBdr>
        </w:div>
        <w:div w:id="2069306255">
          <w:marLeft w:val="-225"/>
          <w:marRight w:val="-225"/>
          <w:marTop w:val="0"/>
          <w:marBottom w:val="0"/>
          <w:divBdr>
            <w:top w:val="none" w:sz="0" w:space="0" w:color="auto"/>
            <w:left w:val="none" w:sz="0" w:space="0" w:color="auto"/>
            <w:bottom w:val="none" w:sz="0" w:space="0" w:color="auto"/>
            <w:right w:val="none" w:sz="0" w:space="0" w:color="auto"/>
          </w:divBdr>
        </w:div>
        <w:div w:id="2109570596">
          <w:marLeft w:val="-225"/>
          <w:marRight w:val="-225"/>
          <w:marTop w:val="0"/>
          <w:marBottom w:val="0"/>
          <w:divBdr>
            <w:top w:val="none" w:sz="0" w:space="0" w:color="auto"/>
            <w:left w:val="none" w:sz="0" w:space="0" w:color="auto"/>
            <w:bottom w:val="none" w:sz="0" w:space="0" w:color="auto"/>
            <w:right w:val="none" w:sz="0" w:space="0" w:color="auto"/>
          </w:divBdr>
        </w:div>
        <w:div w:id="2128698921">
          <w:marLeft w:val="-225"/>
          <w:marRight w:val="-225"/>
          <w:marTop w:val="0"/>
          <w:marBottom w:val="0"/>
          <w:divBdr>
            <w:top w:val="none" w:sz="0" w:space="0" w:color="auto"/>
            <w:left w:val="none" w:sz="0" w:space="0" w:color="auto"/>
            <w:bottom w:val="none" w:sz="0" w:space="0" w:color="auto"/>
            <w:right w:val="none" w:sz="0" w:space="0" w:color="auto"/>
          </w:divBdr>
        </w:div>
        <w:div w:id="2129077958">
          <w:marLeft w:val="-225"/>
          <w:marRight w:val="-225"/>
          <w:marTop w:val="0"/>
          <w:marBottom w:val="0"/>
          <w:divBdr>
            <w:top w:val="none" w:sz="0" w:space="0" w:color="auto"/>
            <w:left w:val="none" w:sz="0" w:space="0" w:color="auto"/>
            <w:bottom w:val="none" w:sz="0" w:space="0" w:color="auto"/>
            <w:right w:val="none" w:sz="0" w:space="0" w:color="auto"/>
          </w:divBdr>
        </w:div>
      </w:divsChild>
    </w:div>
    <w:div w:id="1171142137">
      <w:bodyDiv w:val="1"/>
      <w:marLeft w:val="0"/>
      <w:marRight w:val="0"/>
      <w:marTop w:val="0"/>
      <w:marBottom w:val="0"/>
      <w:divBdr>
        <w:top w:val="none" w:sz="0" w:space="0" w:color="auto"/>
        <w:left w:val="none" w:sz="0" w:space="0" w:color="auto"/>
        <w:bottom w:val="none" w:sz="0" w:space="0" w:color="auto"/>
        <w:right w:val="none" w:sz="0" w:space="0" w:color="auto"/>
      </w:divBdr>
      <w:divsChild>
        <w:div w:id="604508791">
          <w:marLeft w:val="0"/>
          <w:marRight w:val="0"/>
          <w:marTop w:val="0"/>
          <w:marBottom w:val="0"/>
          <w:divBdr>
            <w:top w:val="none" w:sz="0" w:space="0" w:color="auto"/>
            <w:left w:val="none" w:sz="0" w:space="0" w:color="auto"/>
            <w:bottom w:val="none" w:sz="0" w:space="0" w:color="auto"/>
            <w:right w:val="none" w:sz="0" w:space="0" w:color="auto"/>
          </w:divBdr>
          <w:divsChild>
            <w:div w:id="723411915">
              <w:marLeft w:val="0"/>
              <w:marRight w:val="0"/>
              <w:marTop w:val="0"/>
              <w:marBottom w:val="0"/>
              <w:divBdr>
                <w:top w:val="none" w:sz="0" w:space="0" w:color="auto"/>
                <w:left w:val="none" w:sz="0" w:space="0" w:color="auto"/>
                <w:bottom w:val="none" w:sz="0" w:space="0" w:color="auto"/>
                <w:right w:val="none" w:sz="0" w:space="0" w:color="auto"/>
              </w:divBdr>
            </w:div>
            <w:div w:id="867794653">
              <w:marLeft w:val="0"/>
              <w:marRight w:val="0"/>
              <w:marTop w:val="0"/>
              <w:marBottom w:val="0"/>
              <w:divBdr>
                <w:top w:val="none" w:sz="0" w:space="0" w:color="auto"/>
                <w:left w:val="none" w:sz="0" w:space="0" w:color="auto"/>
                <w:bottom w:val="none" w:sz="0" w:space="0" w:color="auto"/>
                <w:right w:val="none" w:sz="0" w:space="0" w:color="auto"/>
              </w:divBdr>
            </w:div>
            <w:div w:id="1131486096">
              <w:marLeft w:val="0"/>
              <w:marRight w:val="0"/>
              <w:marTop w:val="0"/>
              <w:marBottom w:val="0"/>
              <w:divBdr>
                <w:top w:val="none" w:sz="0" w:space="0" w:color="auto"/>
                <w:left w:val="none" w:sz="0" w:space="0" w:color="auto"/>
                <w:bottom w:val="none" w:sz="0" w:space="0" w:color="auto"/>
                <w:right w:val="none" w:sz="0" w:space="0" w:color="auto"/>
              </w:divBdr>
            </w:div>
            <w:div w:id="1201282715">
              <w:marLeft w:val="0"/>
              <w:marRight w:val="0"/>
              <w:marTop w:val="0"/>
              <w:marBottom w:val="0"/>
              <w:divBdr>
                <w:top w:val="none" w:sz="0" w:space="0" w:color="auto"/>
                <w:left w:val="none" w:sz="0" w:space="0" w:color="auto"/>
                <w:bottom w:val="none" w:sz="0" w:space="0" w:color="auto"/>
                <w:right w:val="none" w:sz="0" w:space="0" w:color="auto"/>
              </w:divBdr>
            </w:div>
            <w:div w:id="1744645693">
              <w:marLeft w:val="0"/>
              <w:marRight w:val="0"/>
              <w:marTop w:val="0"/>
              <w:marBottom w:val="0"/>
              <w:divBdr>
                <w:top w:val="none" w:sz="0" w:space="0" w:color="auto"/>
                <w:left w:val="none" w:sz="0" w:space="0" w:color="auto"/>
                <w:bottom w:val="none" w:sz="0" w:space="0" w:color="auto"/>
                <w:right w:val="none" w:sz="0" w:space="0" w:color="auto"/>
              </w:divBdr>
            </w:div>
          </w:divsChild>
        </w:div>
        <w:div w:id="2084134930">
          <w:marLeft w:val="0"/>
          <w:marRight w:val="0"/>
          <w:marTop w:val="0"/>
          <w:marBottom w:val="0"/>
          <w:divBdr>
            <w:top w:val="none" w:sz="0" w:space="0" w:color="auto"/>
            <w:left w:val="none" w:sz="0" w:space="0" w:color="auto"/>
            <w:bottom w:val="none" w:sz="0" w:space="0" w:color="auto"/>
            <w:right w:val="none" w:sz="0" w:space="0" w:color="auto"/>
          </w:divBdr>
          <w:divsChild>
            <w:div w:id="788159370">
              <w:marLeft w:val="0"/>
              <w:marRight w:val="0"/>
              <w:marTop w:val="0"/>
              <w:marBottom w:val="0"/>
              <w:divBdr>
                <w:top w:val="none" w:sz="0" w:space="0" w:color="auto"/>
                <w:left w:val="none" w:sz="0" w:space="0" w:color="auto"/>
                <w:bottom w:val="none" w:sz="0" w:space="0" w:color="auto"/>
                <w:right w:val="none" w:sz="0" w:space="0" w:color="auto"/>
              </w:divBdr>
            </w:div>
            <w:div w:id="1083339487">
              <w:marLeft w:val="0"/>
              <w:marRight w:val="0"/>
              <w:marTop w:val="0"/>
              <w:marBottom w:val="0"/>
              <w:divBdr>
                <w:top w:val="none" w:sz="0" w:space="0" w:color="auto"/>
                <w:left w:val="none" w:sz="0" w:space="0" w:color="auto"/>
                <w:bottom w:val="none" w:sz="0" w:space="0" w:color="auto"/>
                <w:right w:val="none" w:sz="0" w:space="0" w:color="auto"/>
              </w:divBdr>
            </w:div>
            <w:div w:id="1299844624">
              <w:marLeft w:val="0"/>
              <w:marRight w:val="0"/>
              <w:marTop w:val="0"/>
              <w:marBottom w:val="0"/>
              <w:divBdr>
                <w:top w:val="none" w:sz="0" w:space="0" w:color="auto"/>
                <w:left w:val="none" w:sz="0" w:space="0" w:color="auto"/>
                <w:bottom w:val="none" w:sz="0" w:space="0" w:color="auto"/>
                <w:right w:val="none" w:sz="0" w:space="0" w:color="auto"/>
              </w:divBdr>
            </w:div>
            <w:div w:id="1328556423">
              <w:marLeft w:val="0"/>
              <w:marRight w:val="0"/>
              <w:marTop w:val="0"/>
              <w:marBottom w:val="0"/>
              <w:divBdr>
                <w:top w:val="none" w:sz="0" w:space="0" w:color="auto"/>
                <w:left w:val="none" w:sz="0" w:space="0" w:color="auto"/>
                <w:bottom w:val="none" w:sz="0" w:space="0" w:color="auto"/>
                <w:right w:val="none" w:sz="0" w:space="0" w:color="auto"/>
              </w:divBdr>
            </w:div>
            <w:div w:id="1359115561">
              <w:marLeft w:val="0"/>
              <w:marRight w:val="0"/>
              <w:marTop w:val="0"/>
              <w:marBottom w:val="0"/>
              <w:divBdr>
                <w:top w:val="none" w:sz="0" w:space="0" w:color="auto"/>
                <w:left w:val="none" w:sz="0" w:space="0" w:color="auto"/>
                <w:bottom w:val="none" w:sz="0" w:space="0" w:color="auto"/>
                <w:right w:val="none" w:sz="0" w:space="0" w:color="auto"/>
              </w:divBdr>
            </w:div>
            <w:div w:id="1801192455">
              <w:marLeft w:val="0"/>
              <w:marRight w:val="0"/>
              <w:marTop w:val="0"/>
              <w:marBottom w:val="0"/>
              <w:divBdr>
                <w:top w:val="none" w:sz="0" w:space="0" w:color="auto"/>
                <w:left w:val="none" w:sz="0" w:space="0" w:color="auto"/>
                <w:bottom w:val="none" w:sz="0" w:space="0" w:color="auto"/>
                <w:right w:val="none" w:sz="0" w:space="0" w:color="auto"/>
              </w:divBdr>
            </w:div>
            <w:div w:id="1926332115">
              <w:marLeft w:val="0"/>
              <w:marRight w:val="0"/>
              <w:marTop w:val="0"/>
              <w:marBottom w:val="0"/>
              <w:divBdr>
                <w:top w:val="none" w:sz="0" w:space="0" w:color="auto"/>
                <w:left w:val="none" w:sz="0" w:space="0" w:color="auto"/>
                <w:bottom w:val="none" w:sz="0" w:space="0" w:color="auto"/>
                <w:right w:val="none" w:sz="0" w:space="0" w:color="auto"/>
              </w:divBdr>
            </w:div>
            <w:div w:id="2016686961">
              <w:marLeft w:val="0"/>
              <w:marRight w:val="0"/>
              <w:marTop w:val="0"/>
              <w:marBottom w:val="0"/>
              <w:divBdr>
                <w:top w:val="none" w:sz="0" w:space="0" w:color="auto"/>
                <w:left w:val="none" w:sz="0" w:space="0" w:color="auto"/>
                <w:bottom w:val="none" w:sz="0" w:space="0" w:color="auto"/>
                <w:right w:val="none" w:sz="0" w:space="0" w:color="auto"/>
              </w:divBdr>
            </w:div>
            <w:div w:id="21107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395484">
      <w:bodyDiv w:val="1"/>
      <w:marLeft w:val="0"/>
      <w:marRight w:val="0"/>
      <w:marTop w:val="0"/>
      <w:marBottom w:val="0"/>
      <w:divBdr>
        <w:top w:val="none" w:sz="0" w:space="0" w:color="auto"/>
        <w:left w:val="none" w:sz="0" w:space="0" w:color="auto"/>
        <w:bottom w:val="none" w:sz="0" w:space="0" w:color="auto"/>
        <w:right w:val="none" w:sz="0" w:space="0" w:color="auto"/>
      </w:divBdr>
    </w:div>
    <w:div w:id="1214387090">
      <w:bodyDiv w:val="1"/>
      <w:marLeft w:val="0"/>
      <w:marRight w:val="0"/>
      <w:marTop w:val="0"/>
      <w:marBottom w:val="0"/>
      <w:divBdr>
        <w:top w:val="none" w:sz="0" w:space="0" w:color="auto"/>
        <w:left w:val="none" w:sz="0" w:space="0" w:color="auto"/>
        <w:bottom w:val="none" w:sz="0" w:space="0" w:color="auto"/>
        <w:right w:val="none" w:sz="0" w:space="0" w:color="auto"/>
      </w:divBdr>
      <w:divsChild>
        <w:div w:id="769207344">
          <w:marLeft w:val="-225"/>
          <w:marRight w:val="-225"/>
          <w:marTop w:val="0"/>
          <w:marBottom w:val="0"/>
          <w:divBdr>
            <w:top w:val="none" w:sz="0" w:space="0" w:color="auto"/>
            <w:left w:val="none" w:sz="0" w:space="0" w:color="auto"/>
            <w:bottom w:val="none" w:sz="0" w:space="0" w:color="auto"/>
            <w:right w:val="none" w:sz="0" w:space="0" w:color="auto"/>
          </w:divBdr>
        </w:div>
        <w:div w:id="1584948114">
          <w:marLeft w:val="-225"/>
          <w:marRight w:val="-225"/>
          <w:marTop w:val="0"/>
          <w:marBottom w:val="0"/>
          <w:divBdr>
            <w:top w:val="none" w:sz="0" w:space="0" w:color="auto"/>
            <w:left w:val="none" w:sz="0" w:space="0" w:color="auto"/>
            <w:bottom w:val="none" w:sz="0" w:space="0" w:color="auto"/>
            <w:right w:val="none" w:sz="0" w:space="0" w:color="auto"/>
          </w:divBdr>
          <w:divsChild>
            <w:div w:id="176308518">
              <w:marLeft w:val="75"/>
              <w:marRight w:val="0"/>
              <w:marTop w:val="0"/>
              <w:marBottom w:val="0"/>
              <w:divBdr>
                <w:top w:val="none" w:sz="0" w:space="0" w:color="auto"/>
                <w:left w:val="none" w:sz="0" w:space="0" w:color="auto"/>
                <w:bottom w:val="none" w:sz="0" w:space="0" w:color="auto"/>
                <w:right w:val="none" w:sz="0" w:space="0" w:color="auto"/>
              </w:divBdr>
              <w:divsChild>
                <w:div w:id="1222443736">
                  <w:marLeft w:val="0"/>
                  <w:marRight w:val="0"/>
                  <w:marTop w:val="0"/>
                  <w:marBottom w:val="0"/>
                  <w:divBdr>
                    <w:top w:val="single" w:sz="18" w:space="0" w:color="484848"/>
                    <w:left w:val="single" w:sz="18" w:space="0" w:color="484848"/>
                    <w:bottom w:val="single" w:sz="18" w:space="0" w:color="484848"/>
                    <w:right w:val="single" w:sz="18" w:space="0" w:color="484848"/>
                  </w:divBdr>
                </w:div>
                <w:div w:id="564922339">
                  <w:marLeft w:val="0"/>
                  <w:marRight w:val="0"/>
                  <w:marTop w:val="0"/>
                  <w:marBottom w:val="0"/>
                  <w:divBdr>
                    <w:top w:val="none" w:sz="0" w:space="0" w:color="auto"/>
                    <w:left w:val="none" w:sz="0" w:space="0" w:color="auto"/>
                    <w:bottom w:val="none" w:sz="0" w:space="0" w:color="auto"/>
                    <w:right w:val="none" w:sz="0" w:space="0" w:color="auto"/>
                  </w:divBdr>
                </w:div>
                <w:div w:id="5202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94888">
          <w:marLeft w:val="-225"/>
          <w:marRight w:val="-225"/>
          <w:marTop w:val="0"/>
          <w:marBottom w:val="0"/>
          <w:divBdr>
            <w:top w:val="none" w:sz="0" w:space="0" w:color="auto"/>
            <w:left w:val="none" w:sz="0" w:space="0" w:color="auto"/>
            <w:bottom w:val="none" w:sz="0" w:space="0" w:color="auto"/>
            <w:right w:val="none" w:sz="0" w:space="0" w:color="auto"/>
          </w:divBdr>
        </w:div>
        <w:div w:id="1645692477">
          <w:marLeft w:val="-225"/>
          <w:marRight w:val="-225"/>
          <w:marTop w:val="0"/>
          <w:marBottom w:val="0"/>
          <w:divBdr>
            <w:top w:val="none" w:sz="0" w:space="0" w:color="auto"/>
            <w:left w:val="none" w:sz="0" w:space="0" w:color="auto"/>
            <w:bottom w:val="none" w:sz="0" w:space="0" w:color="auto"/>
            <w:right w:val="none" w:sz="0" w:space="0" w:color="auto"/>
          </w:divBdr>
        </w:div>
        <w:div w:id="839153182">
          <w:marLeft w:val="-225"/>
          <w:marRight w:val="-225"/>
          <w:marTop w:val="0"/>
          <w:marBottom w:val="0"/>
          <w:divBdr>
            <w:top w:val="none" w:sz="0" w:space="0" w:color="auto"/>
            <w:left w:val="none" w:sz="0" w:space="0" w:color="auto"/>
            <w:bottom w:val="none" w:sz="0" w:space="0" w:color="auto"/>
            <w:right w:val="none" w:sz="0" w:space="0" w:color="auto"/>
          </w:divBdr>
        </w:div>
        <w:div w:id="316156494">
          <w:marLeft w:val="-225"/>
          <w:marRight w:val="-225"/>
          <w:marTop w:val="0"/>
          <w:marBottom w:val="0"/>
          <w:divBdr>
            <w:top w:val="none" w:sz="0" w:space="0" w:color="auto"/>
            <w:left w:val="none" w:sz="0" w:space="0" w:color="auto"/>
            <w:bottom w:val="none" w:sz="0" w:space="0" w:color="auto"/>
            <w:right w:val="none" w:sz="0" w:space="0" w:color="auto"/>
          </w:divBdr>
        </w:div>
        <w:div w:id="395205203">
          <w:marLeft w:val="-225"/>
          <w:marRight w:val="-225"/>
          <w:marTop w:val="0"/>
          <w:marBottom w:val="0"/>
          <w:divBdr>
            <w:top w:val="none" w:sz="0" w:space="0" w:color="auto"/>
            <w:left w:val="none" w:sz="0" w:space="0" w:color="auto"/>
            <w:bottom w:val="none" w:sz="0" w:space="0" w:color="auto"/>
            <w:right w:val="none" w:sz="0" w:space="0" w:color="auto"/>
          </w:divBdr>
        </w:div>
        <w:div w:id="1143472384">
          <w:marLeft w:val="-225"/>
          <w:marRight w:val="-225"/>
          <w:marTop w:val="0"/>
          <w:marBottom w:val="0"/>
          <w:divBdr>
            <w:top w:val="none" w:sz="0" w:space="0" w:color="auto"/>
            <w:left w:val="none" w:sz="0" w:space="0" w:color="auto"/>
            <w:bottom w:val="none" w:sz="0" w:space="0" w:color="auto"/>
            <w:right w:val="none" w:sz="0" w:space="0" w:color="auto"/>
          </w:divBdr>
        </w:div>
        <w:div w:id="1629816001">
          <w:marLeft w:val="-225"/>
          <w:marRight w:val="-225"/>
          <w:marTop w:val="0"/>
          <w:marBottom w:val="0"/>
          <w:divBdr>
            <w:top w:val="none" w:sz="0" w:space="0" w:color="auto"/>
            <w:left w:val="none" w:sz="0" w:space="0" w:color="auto"/>
            <w:bottom w:val="none" w:sz="0" w:space="0" w:color="auto"/>
            <w:right w:val="none" w:sz="0" w:space="0" w:color="auto"/>
          </w:divBdr>
        </w:div>
        <w:div w:id="1730374025">
          <w:marLeft w:val="-225"/>
          <w:marRight w:val="-225"/>
          <w:marTop w:val="0"/>
          <w:marBottom w:val="0"/>
          <w:divBdr>
            <w:top w:val="none" w:sz="0" w:space="0" w:color="auto"/>
            <w:left w:val="none" w:sz="0" w:space="0" w:color="auto"/>
            <w:bottom w:val="none" w:sz="0" w:space="0" w:color="auto"/>
            <w:right w:val="none" w:sz="0" w:space="0" w:color="auto"/>
          </w:divBdr>
        </w:div>
        <w:div w:id="1131904152">
          <w:marLeft w:val="-225"/>
          <w:marRight w:val="-225"/>
          <w:marTop w:val="0"/>
          <w:marBottom w:val="0"/>
          <w:divBdr>
            <w:top w:val="none" w:sz="0" w:space="0" w:color="auto"/>
            <w:left w:val="none" w:sz="0" w:space="0" w:color="auto"/>
            <w:bottom w:val="none" w:sz="0" w:space="0" w:color="auto"/>
            <w:right w:val="none" w:sz="0" w:space="0" w:color="auto"/>
          </w:divBdr>
        </w:div>
        <w:div w:id="1978097849">
          <w:marLeft w:val="-225"/>
          <w:marRight w:val="-225"/>
          <w:marTop w:val="0"/>
          <w:marBottom w:val="0"/>
          <w:divBdr>
            <w:top w:val="none" w:sz="0" w:space="0" w:color="auto"/>
            <w:left w:val="none" w:sz="0" w:space="0" w:color="auto"/>
            <w:bottom w:val="none" w:sz="0" w:space="0" w:color="auto"/>
            <w:right w:val="none" w:sz="0" w:space="0" w:color="auto"/>
          </w:divBdr>
        </w:div>
      </w:divsChild>
    </w:div>
    <w:div w:id="1221401802">
      <w:bodyDiv w:val="1"/>
      <w:marLeft w:val="0"/>
      <w:marRight w:val="0"/>
      <w:marTop w:val="0"/>
      <w:marBottom w:val="0"/>
      <w:divBdr>
        <w:top w:val="none" w:sz="0" w:space="0" w:color="auto"/>
        <w:left w:val="none" w:sz="0" w:space="0" w:color="auto"/>
        <w:bottom w:val="none" w:sz="0" w:space="0" w:color="auto"/>
        <w:right w:val="none" w:sz="0" w:space="0" w:color="auto"/>
      </w:divBdr>
      <w:divsChild>
        <w:div w:id="1263956658">
          <w:marLeft w:val="0"/>
          <w:marRight w:val="0"/>
          <w:marTop w:val="0"/>
          <w:marBottom w:val="0"/>
          <w:divBdr>
            <w:top w:val="none" w:sz="0" w:space="0" w:color="auto"/>
            <w:left w:val="none" w:sz="0" w:space="0" w:color="auto"/>
            <w:bottom w:val="none" w:sz="0" w:space="0" w:color="auto"/>
            <w:right w:val="none" w:sz="0" w:space="0" w:color="auto"/>
          </w:divBdr>
          <w:divsChild>
            <w:div w:id="9628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96847">
      <w:bodyDiv w:val="1"/>
      <w:marLeft w:val="0"/>
      <w:marRight w:val="0"/>
      <w:marTop w:val="0"/>
      <w:marBottom w:val="0"/>
      <w:divBdr>
        <w:top w:val="none" w:sz="0" w:space="0" w:color="auto"/>
        <w:left w:val="none" w:sz="0" w:space="0" w:color="auto"/>
        <w:bottom w:val="none" w:sz="0" w:space="0" w:color="auto"/>
        <w:right w:val="none" w:sz="0" w:space="0" w:color="auto"/>
      </w:divBdr>
      <w:divsChild>
        <w:div w:id="1320382037">
          <w:marLeft w:val="0"/>
          <w:marRight w:val="0"/>
          <w:marTop w:val="0"/>
          <w:marBottom w:val="0"/>
          <w:divBdr>
            <w:top w:val="none" w:sz="0" w:space="0" w:color="auto"/>
            <w:left w:val="none" w:sz="0" w:space="0" w:color="auto"/>
            <w:bottom w:val="none" w:sz="0" w:space="0" w:color="auto"/>
            <w:right w:val="none" w:sz="0" w:space="0" w:color="auto"/>
          </w:divBdr>
          <w:divsChild>
            <w:div w:id="88702139">
              <w:marLeft w:val="0"/>
              <w:marRight w:val="0"/>
              <w:marTop w:val="0"/>
              <w:marBottom w:val="0"/>
              <w:divBdr>
                <w:top w:val="none" w:sz="0" w:space="0" w:color="auto"/>
                <w:left w:val="none" w:sz="0" w:space="0" w:color="auto"/>
                <w:bottom w:val="none" w:sz="0" w:space="0" w:color="auto"/>
                <w:right w:val="none" w:sz="0" w:space="0" w:color="auto"/>
              </w:divBdr>
              <w:divsChild>
                <w:div w:id="309791988">
                  <w:marLeft w:val="0"/>
                  <w:marRight w:val="0"/>
                  <w:marTop w:val="0"/>
                  <w:marBottom w:val="0"/>
                  <w:divBdr>
                    <w:top w:val="none" w:sz="0" w:space="0" w:color="auto"/>
                    <w:left w:val="none" w:sz="0" w:space="0" w:color="auto"/>
                    <w:bottom w:val="none" w:sz="0" w:space="0" w:color="auto"/>
                    <w:right w:val="none" w:sz="0" w:space="0" w:color="auto"/>
                  </w:divBdr>
                </w:div>
                <w:div w:id="372971609">
                  <w:marLeft w:val="0"/>
                  <w:marRight w:val="0"/>
                  <w:marTop w:val="120"/>
                  <w:marBottom w:val="0"/>
                  <w:divBdr>
                    <w:top w:val="none" w:sz="0" w:space="0" w:color="auto"/>
                    <w:left w:val="none" w:sz="0" w:space="0" w:color="auto"/>
                    <w:bottom w:val="none" w:sz="0" w:space="0" w:color="auto"/>
                    <w:right w:val="none" w:sz="0" w:space="0" w:color="auto"/>
                  </w:divBdr>
                </w:div>
              </w:divsChild>
            </w:div>
            <w:div w:id="1309748288">
              <w:marLeft w:val="0"/>
              <w:marRight w:val="0"/>
              <w:marTop w:val="0"/>
              <w:marBottom w:val="0"/>
              <w:divBdr>
                <w:top w:val="none" w:sz="0" w:space="0" w:color="auto"/>
                <w:left w:val="none" w:sz="0" w:space="0" w:color="auto"/>
                <w:bottom w:val="none" w:sz="0" w:space="0" w:color="auto"/>
                <w:right w:val="none" w:sz="0" w:space="0" w:color="auto"/>
              </w:divBdr>
              <w:divsChild>
                <w:div w:id="22487109">
                  <w:marLeft w:val="0"/>
                  <w:marRight w:val="0"/>
                  <w:marTop w:val="120"/>
                  <w:marBottom w:val="0"/>
                  <w:divBdr>
                    <w:top w:val="none" w:sz="0" w:space="0" w:color="auto"/>
                    <w:left w:val="none" w:sz="0" w:space="0" w:color="auto"/>
                    <w:bottom w:val="none" w:sz="0" w:space="0" w:color="auto"/>
                    <w:right w:val="none" w:sz="0" w:space="0" w:color="auto"/>
                  </w:divBdr>
                </w:div>
                <w:div w:id="40503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904197">
      <w:bodyDiv w:val="1"/>
      <w:marLeft w:val="0"/>
      <w:marRight w:val="0"/>
      <w:marTop w:val="0"/>
      <w:marBottom w:val="0"/>
      <w:divBdr>
        <w:top w:val="none" w:sz="0" w:space="0" w:color="auto"/>
        <w:left w:val="none" w:sz="0" w:space="0" w:color="auto"/>
        <w:bottom w:val="none" w:sz="0" w:space="0" w:color="auto"/>
        <w:right w:val="none" w:sz="0" w:space="0" w:color="auto"/>
      </w:divBdr>
    </w:div>
    <w:div w:id="1322660424">
      <w:bodyDiv w:val="1"/>
      <w:marLeft w:val="0"/>
      <w:marRight w:val="0"/>
      <w:marTop w:val="0"/>
      <w:marBottom w:val="0"/>
      <w:divBdr>
        <w:top w:val="none" w:sz="0" w:space="0" w:color="auto"/>
        <w:left w:val="none" w:sz="0" w:space="0" w:color="auto"/>
        <w:bottom w:val="none" w:sz="0" w:space="0" w:color="auto"/>
        <w:right w:val="none" w:sz="0" w:space="0" w:color="auto"/>
      </w:divBdr>
      <w:divsChild>
        <w:div w:id="452944097">
          <w:marLeft w:val="0"/>
          <w:marRight w:val="0"/>
          <w:marTop w:val="0"/>
          <w:marBottom w:val="0"/>
          <w:divBdr>
            <w:top w:val="none" w:sz="0" w:space="0" w:color="auto"/>
            <w:left w:val="none" w:sz="0" w:space="0" w:color="auto"/>
            <w:bottom w:val="none" w:sz="0" w:space="0" w:color="auto"/>
            <w:right w:val="none" w:sz="0" w:space="0" w:color="auto"/>
          </w:divBdr>
        </w:div>
      </w:divsChild>
    </w:div>
    <w:div w:id="1369180448">
      <w:bodyDiv w:val="1"/>
      <w:marLeft w:val="0"/>
      <w:marRight w:val="0"/>
      <w:marTop w:val="0"/>
      <w:marBottom w:val="0"/>
      <w:divBdr>
        <w:top w:val="none" w:sz="0" w:space="0" w:color="auto"/>
        <w:left w:val="none" w:sz="0" w:space="0" w:color="auto"/>
        <w:bottom w:val="none" w:sz="0" w:space="0" w:color="auto"/>
        <w:right w:val="none" w:sz="0" w:space="0" w:color="auto"/>
      </w:divBdr>
      <w:divsChild>
        <w:div w:id="293415646">
          <w:marLeft w:val="0"/>
          <w:marRight w:val="0"/>
          <w:marTop w:val="0"/>
          <w:marBottom w:val="0"/>
          <w:divBdr>
            <w:top w:val="none" w:sz="0" w:space="0" w:color="auto"/>
            <w:left w:val="none" w:sz="0" w:space="0" w:color="auto"/>
            <w:bottom w:val="none" w:sz="0" w:space="0" w:color="auto"/>
            <w:right w:val="none" w:sz="0" w:space="0" w:color="auto"/>
          </w:divBdr>
        </w:div>
        <w:div w:id="701053011">
          <w:marLeft w:val="0"/>
          <w:marRight w:val="0"/>
          <w:marTop w:val="0"/>
          <w:marBottom w:val="0"/>
          <w:divBdr>
            <w:top w:val="none" w:sz="0" w:space="0" w:color="auto"/>
            <w:left w:val="none" w:sz="0" w:space="0" w:color="auto"/>
            <w:bottom w:val="none" w:sz="0" w:space="0" w:color="auto"/>
            <w:right w:val="none" w:sz="0" w:space="0" w:color="auto"/>
          </w:divBdr>
        </w:div>
        <w:div w:id="1734233851">
          <w:marLeft w:val="0"/>
          <w:marRight w:val="0"/>
          <w:marTop w:val="0"/>
          <w:marBottom w:val="0"/>
          <w:divBdr>
            <w:top w:val="none" w:sz="0" w:space="0" w:color="auto"/>
            <w:left w:val="none" w:sz="0" w:space="0" w:color="auto"/>
            <w:bottom w:val="none" w:sz="0" w:space="0" w:color="auto"/>
            <w:right w:val="none" w:sz="0" w:space="0" w:color="auto"/>
          </w:divBdr>
        </w:div>
      </w:divsChild>
    </w:div>
    <w:div w:id="1393652312">
      <w:bodyDiv w:val="1"/>
      <w:marLeft w:val="0"/>
      <w:marRight w:val="0"/>
      <w:marTop w:val="0"/>
      <w:marBottom w:val="0"/>
      <w:divBdr>
        <w:top w:val="none" w:sz="0" w:space="0" w:color="auto"/>
        <w:left w:val="none" w:sz="0" w:space="0" w:color="auto"/>
        <w:bottom w:val="none" w:sz="0" w:space="0" w:color="auto"/>
        <w:right w:val="none" w:sz="0" w:space="0" w:color="auto"/>
      </w:divBdr>
    </w:div>
    <w:div w:id="1398825296">
      <w:bodyDiv w:val="1"/>
      <w:marLeft w:val="0"/>
      <w:marRight w:val="0"/>
      <w:marTop w:val="0"/>
      <w:marBottom w:val="0"/>
      <w:divBdr>
        <w:top w:val="none" w:sz="0" w:space="0" w:color="auto"/>
        <w:left w:val="none" w:sz="0" w:space="0" w:color="auto"/>
        <w:bottom w:val="none" w:sz="0" w:space="0" w:color="auto"/>
        <w:right w:val="none" w:sz="0" w:space="0" w:color="auto"/>
      </w:divBdr>
      <w:divsChild>
        <w:div w:id="591774">
          <w:marLeft w:val="547"/>
          <w:marRight w:val="0"/>
          <w:marTop w:val="96"/>
          <w:marBottom w:val="0"/>
          <w:divBdr>
            <w:top w:val="none" w:sz="0" w:space="0" w:color="auto"/>
            <w:left w:val="none" w:sz="0" w:space="0" w:color="auto"/>
            <w:bottom w:val="none" w:sz="0" w:space="0" w:color="auto"/>
            <w:right w:val="none" w:sz="0" w:space="0" w:color="auto"/>
          </w:divBdr>
        </w:div>
        <w:div w:id="1511918324">
          <w:marLeft w:val="547"/>
          <w:marRight w:val="0"/>
          <w:marTop w:val="96"/>
          <w:marBottom w:val="0"/>
          <w:divBdr>
            <w:top w:val="none" w:sz="0" w:space="0" w:color="auto"/>
            <w:left w:val="none" w:sz="0" w:space="0" w:color="auto"/>
            <w:bottom w:val="none" w:sz="0" w:space="0" w:color="auto"/>
            <w:right w:val="none" w:sz="0" w:space="0" w:color="auto"/>
          </w:divBdr>
        </w:div>
      </w:divsChild>
    </w:div>
    <w:div w:id="1404402663">
      <w:bodyDiv w:val="1"/>
      <w:marLeft w:val="0"/>
      <w:marRight w:val="0"/>
      <w:marTop w:val="0"/>
      <w:marBottom w:val="0"/>
      <w:divBdr>
        <w:top w:val="none" w:sz="0" w:space="0" w:color="auto"/>
        <w:left w:val="none" w:sz="0" w:space="0" w:color="auto"/>
        <w:bottom w:val="none" w:sz="0" w:space="0" w:color="auto"/>
        <w:right w:val="none" w:sz="0" w:space="0" w:color="auto"/>
      </w:divBdr>
    </w:div>
    <w:div w:id="1442802164">
      <w:bodyDiv w:val="1"/>
      <w:marLeft w:val="0"/>
      <w:marRight w:val="0"/>
      <w:marTop w:val="0"/>
      <w:marBottom w:val="0"/>
      <w:divBdr>
        <w:top w:val="none" w:sz="0" w:space="0" w:color="auto"/>
        <w:left w:val="none" w:sz="0" w:space="0" w:color="auto"/>
        <w:bottom w:val="none" w:sz="0" w:space="0" w:color="auto"/>
        <w:right w:val="none" w:sz="0" w:space="0" w:color="auto"/>
      </w:divBdr>
      <w:divsChild>
        <w:div w:id="849417484">
          <w:marLeft w:val="0"/>
          <w:marRight w:val="0"/>
          <w:marTop w:val="0"/>
          <w:marBottom w:val="0"/>
          <w:divBdr>
            <w:top w:val="none" w:sz="0" w:space="0" w:color="auto"/>
            <w:left w:val="none" w:sz="0" w:space="0" w:color="auto"/>
            <w:bottom w:val="none" w:sz="0" w:space="0" w:color="auto"/>
            <w:right w:val="none" w:sz="0" w:space="0" w:color="auto"/>
          </w:divBdr>
        </w:div>
        <w:div w:id="894580591">
          <w:marLeft w:val="0"/>
          <w:marRight w:val="0"/>
          <w:marTop w:val="0"/>
          <w:marBottom w:val="0"/>
          <w:divBdr>
            <w:top w:val="none" w:sz="0" w:space="0" w:color="auto"/>
            <w:left w:val="none" w:sz="0" w:space="0" w:color="auto"/>
            <w:bottom w:val="none" w:sz="0" w:space="0" w:color="auto"/>
            <w:right w:val="none" w:sz="0" w:space="0" w:color="auto"/>
          </w:divBdr>
        </w:div>
        <w:div w:id="1807046748">
          <w:marLeft w:val="0"/>
          <w:marRight w:val="0"/>
          <w:marTop w:val="0"/>
          <w:marBottom w:val="0"/>
          <w:divBdr>
            <w:top w:val="none" w:sz="0" w:space="0" w:color="auto"/>
            <w:left w:val="none" w:sz="0" w:space="0" w:color="auto"/>
            <w:bottom w:val="none" w:sz="0" w:space="0" w:color="auto"/>
            <w:right w:val="none" w:sz="0" w:space="0" w:color="auto"/>
          </w:divBdr>
          <w:divsChild>
            <w:div w:id="96409201">
              <w:marLeft w:val="0"/>
              <w:marRight w:val="0"/>
              <w:marTop w:val="0"/>
              <w:marBottom w:val="0"/>
              <w:divBdr>
                <w:top w:val="none" w:sz="0" w:space="0" w:color="auto"/>
                <w:left w:val="none" w:sz="0" w:space="0" w:color="auto"/>
                <w:bottom w:val="none" w:sz="0" w:space="0" w:color="auto"/>
                <w:right w:val="none" w:sz="0" w:space="0" w:color="auto"/>
              </w:divBdr>
            </w:div>
            <w:div w:id="302076616">
              <w:marLeft w:val="0"/>
              <w:marRight w:val="0"/>
              <w:marTop w:val="0"/>
              <w:marBottom w:val="0"/>
              <w:divBdr>
                <w:top w:val="none" w:sz="0" w:space="0" w:color="auto"/>
                <w:left w:val="none" w:sz="0" w:space="0" w:color="auto"/>
                <w:bottom w:val="none" w:sz="0" w:space="0" w:color="auto"/>
                <w:right w:val="none" w:sz="0" w:space="0" w:color="auto"/>
              </w:divBdr>
            </w:div>
            <w:div w:id="396050126">
              <w:marLeft w:val="0"/>
              <w:marRight w:val="0"/>
              <w:marTop w:val="0"/>
              <w:marBottom w:val="0"/>
              <w:divBdr>
                <w:top w:val="none" w:sz="0" w:space="0" w:color="auto"/>
                <w:left w:val="none" w:sz="0" w:space="0" w:color="auto"/>
                <w:bottom w:val="none" w:sz="0" w:space="0" w:color="auto"/>
                <w:right w:val="none" w:sz="0" w:space="0" w:color="auto"/>
              </w:divBdr>
            </w:div>
            <w:div w:id="434206665">
              <w:marLeft w:val="0"/>
              <w:marRight w:val="0"/>
              <w:marTop w:val="0"/>
              <w:marBottom w:val="0"/>
              <w:divBdr>
                <w:top w:val="none" w:sz="0" w:space="0" w:color="auto"/>
                <w:left w:val="none" w:sz="0" w:space="0" w:color="auto"/>
                <w:bottom w:val="none" w:sz="0" w:space="0" w:color="auto"/>
                <w:right w:val="none" w:sz="0" w:space="0" w:color="auto"/>
              </w:divBdr>
            </w:div>
            <w:div w:id="1034159134">
              <w:marLeft w:val="0"/>
              <w:marRight w:val="0"/>
              <w:marTop w:val="0"/>
              <w:marBottom w:val="0"/>
              <w:divBdr>
                <w:top w:val="none" w:sz="0" w:space="0" w:color="auto"/>
                <w:left w:val="none" w:sz="0" w:space="0" w:color="auto"/>
                <w:bottom w:val="none" w:sz="0" w:space="0" w:color="auto"/>
                <w:right w:val="none" w:sz="0" w:space="0" w:color="auto"/>
              </w:divBdr>
            </w:div>
            <w:div w:id="1492216117">
              <w:marLeft w:val="0"/>
              <w:marRight w:val="0"/>
              <w:marTop w:val="0"/>
              <w:marBottom w:val="0"/>
              <w:divBdr>
                <w:top w:val="none" w:sz="0" w:space="0" w:color="auto"/>
                <w:left w:val="none" w:sz="0" w:space="0" w:color="auto"/>
                <w:bottom w:val="none" w:sz="0" w:space="0" w:color="auto"/>
                <w:right w:val="none" w:sz="0" w:space="0" w:color="auto"/>
              </w:divBdr>
            </w:div>
            <w:div w:id="1765684948">
              <w:marLeft w:val="0"/>
              <w:marRight w:val="0"/>
              <w:marTop w:val="0"/>
              <w:marBottom w:val="0"/>
              <w:divBdr>
                <w:top w:val="none" w:sz="0" w:space="0" w:color="auto"/>
                <w:left w:val="none" w:sz="0" w:space="0" w:color="auto"/>
                <w:bottom w:val="none" w:sz="0" w:space="0" w:color="auto"/>
                <w:right w:val="none" w:sz="0" w:space="0" w:color="auto"/>
              </w:divBdr>
            </w:div>
            <w:div w:id="1804082836">
              <w:marLeft w:val="0"/>
              <w:marRight w:val="0"/>
              <w:marTop w:val="0"/>
              <w:marBottom w:val="0"/>
              <w:divBdr>
                <w:top w:val="none" w:sz="0" w:space="0" w:color="auto"/>
                <w:left w:val="none" w:sz="0" w:space="0" w:color="auto"/>
                <w:bottom w:val="none" w:sz="0" w:space="0" w:color="auto"/>
                <w:right w:val="none" w:sz="0" w:space="0" w:color="auto"/>
              </w:divBdr>
            </w:div>
            <w:div w:id="1812821876">
              <w:marLeft w:val="0"/>
              <w:marRight w:val="0"/>
              <w:marTop w:val="0"/>
              <w:marBottom w:val="0"/>
              <w:divBdr>
                <w:top w:val="none" w:sz="0" w:space="0" w:color="auto"/>
                <w:left w:val="none" w:sz="0" w:space="0" w:color="auto"/>
                <w:bottom w:val="none" w:sz="0" w:space="0" w:color="auto"/>
                <w:right w:val="none" w:sz="0" w:space="0" w:color="auto"/>
              </w:divBdr>
            </w:div>
            <w:div w:id="1818569447">
              <w:marLeft w:val="0"/>
              <w:marRight w:val="0"/>
              <w:marTop w:val="0"/>
              <w:marBottom w:val="0"/>
              <w:divBdr>
                <w:top w:val="none" w:sz="0" w:space="0" w:color="auto"/>
                <w:left w:val="none" w:sz="0" w:space="0" w:color="auto"/>
                <w:bottom w:val="none" w:sz="0" w:space="0" w:color="auto"/>
                <w:right w:val="none" w:sz="0" w:space="0" w:color="auto"/>
              </w:divBdr>
            </w:div>
            <w:div w:id="1831363541">
              <w:marLeft w:val="0"/>
              <w:marRight w:val="0"/>
              <w:marTop w:val="0"/>
              <w:marBottom w:val="0"/>
              <w:divBdr>
                <w:top w:val="none" w:sz="0" w:space="0" w:color="auto"/>
                <w:left w:val="none" w:sz="0" w:space="0" w:color="auto"/>
                <w:bottom w:val="none" w:sz="0" w:space="0" w:color="auto"/>
                <w:right w:val="none" w:sz="0" w:space="0" w:color="auto"/>
              </w:divBdr>
            </w:div>
            <w:div w:id="1861240379">
              <w:marLeft w:val="0"/>
              <w:marRight w:val="0"/>
              <w:marTop w:val="0"/>
              <w:marBottom w:val="0"/>
              <w:divBdr>
                <w:top w:val="none" w:sz="0" w:space="0" w:color="auto"/>
                <w:left w:val="none" w:sz="0" w:space="0" w:color="auto"/>
                <w:bottom w:val="none" w:sz="0" w:space="0" w:color="auto"/>
                <w:right w:val="none" w:sz="0" w:space="0" w:color="auto"/>
              </w:divBdr>
            </w:div>
            <w:div w:id="2099403769">
              <w:marLeft w:val="0"/>
              <w:marRight w:val="0"/>
              <w:marTop w:val="0"/>
              <w:marBottom w:val="0"/>
              <w:divBdr>
                <w:top w:val="none" w:sz="0" w:space="0" w:color="auto"/>
                <w:left w:val="none" w:sz="0" w:space="0" w:color="auto"/>
                <w:bottom w:val="none" w:sz="0" w:space="0" w:color="auto"/>
                <w:right w:val="none" w:sz="0" w:space="0" w:color="auto"/>
              </w:divBdr>
            </w:div>
            <w:div w:id="212180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8931">
      <w:bodyDiv w:val="1"/>
      <w:marLeft w:val="0"/>
      <w:marRight w:val="0"/>
      <w:marTop w:val="0"/>
      <w:marBottom w:val="0"/>
      <w:divBdr>
        <w:top w:val="none" w:sz="0" w:space="0" w:color="auto"/>
        <w:left w:val="none" w:sz="0" w:space="0" w:color="auto"/>
        <w:bottom w:val="none" w:sz="0" w:space="0" w:color="auto"/>
        <w:right w:val="none" w:sz="0" w:space="0" w:color="auto"/>
      </w:divBdr>
      <w:divsChild>
        <w:div w:id="1346249695">
          <w:marLeft w:val="-225"/>
          <w:marRight w:val="-225"/>
          <w:marTop w:val="0"/>
          <w:marBottom w:val="0"/>
          <w:divBdr>
            <w:top w:val="none" w:sz="0" w:space="0" w:color="auto"/>
            <w:left w:val="none" w:sz="0" w:space="0" w:color="auto"/>
            <w:bottom w:val="none" w:sz="0" w:space="0" w:color="auto"/>
            <w:right w:val="none" w:sz="0" w:space="0" w:color="auto"/>
          </w:divBdr>
        </w:div>
        <w:div w:id="18701177">
          <w:marLeft w:val="-225"/>
          <w:marRight w:val="-225"/>
          <w:marTop w:val="0"/>
          <w:marBottom w:val="0"/>
          <w:divBdr>
            <w:top w:val="none" w:sz="0" w:space="0" w:color="auto"/>
            <w:left w:val="none" w:sz="0" w:space="0" w:color="auto"/>
            <w:bottom w:val="none" w:sz="0" w:space="0" w:color="auto"/>
            <w:right w:val="none" w:sz="0" w:space="0" w:color="auto"/>
          </w:divBdr>
          <w:divsChild>
            <w:div w:id="1762095899">
              <w:marLeft w:val="75"/>
              <w:marRight w:val="0"/>
              <w:marTop w:val="0"/>
              <w:marBottom w:val="0"/>
              <w:divBdr>
                <w:top w:val="none" w:sz="0" w:space="0" w:color="auto"/>
                <w:left w:val="none" w:sz="0" w:space="0" w:color="auto"/>
                <w:bottom w:val="none" w:sz="0" w:space="0" w:color="auto"/>
                <w:right w:val="none" w:sz="0" w:space="0" w:color="auto"/>
              </w:divBdr>
              <w:divsChild>
                <w:div w:id="907497237">
                  <w:marLeft w:val="0"/>
                  <w:marRight w:val="0"/>
                  <w:marTop w:val="0"/>
                  <w:marBottom w:val="0"/>
                  <w:divBdr>
                    <w:top w:val="none" w:sz="0" w:space="0" w:color="auto"/>
                    <w:left w:val="none" w:sz="0" w:space="0" w:color="auto"/>
                    <w:bottom w:val="none" w:sz="0" w:space="0" w:color="auto"/>
                    <w:right w:val="none" w:sz="0" w:space="0" w:color="auto"/>
                  </w:divBdr>
                </w:div>
                <w:div w:id="19628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29886">
          <w:marLeft w:val="-225"/>
          <w:marRight w:val="-225"/>
          <w:marTop w:val="0"/>
          <w:marBottom w:val="0"/>
          <w:divBdr>
            <w:top w:val="none" w:sz="0" w:space="0" w:color="auto"/>
            <w:left w:val="none" w:sz="0" w:space="0" w:color="auto"/>
            <w:bottom w:val="none" w:sz="0" w:space="0" w:color="auto"/>
            <w:right w:val="none" w:sz="0" w:space="0" w:color="auto"/>
          </w:divBdr>
        </w:div>
        <w:div w:id="1285841697">
          <w:marLeft w:val="-225"/>
          <w:marRight w:val="-225"/>
          <w:marTop w:val="0"/>
          <w:marBottom w:val="0"/>
          <w:divBdr>
            <w:top w:val="none" w:sz="0" w:space="0" w:color="auto"/>
            <w:left w:val="none" w:sz="0" w:space="0" w:color="auto"/>
            <w:bottom w:val="none" w:sz="0" w:space="0" w:color="auto"/>
            <w:right w:val="none" w:sz="0" w:space="0" w:color="auto"/>
          </w:divBdr>
        </w:div>
        <w:div w:id="97214488">
          <w:marLeft w:val="-225"/>
          <w:marRight w:val="-225"/>
          <w:marTop w:val="0"/>
          <w:marBottom w:val="0"/>
          <w:divBdr>
            <w:top w:val="none" w:sz="0" w:space="0" w:color="auto"/>
            <w:left w:val="none" w:sz="0" w:space="0" w:color="auto"/>
            <w:bottom w:val="none" w:sz="0" w:space="0" w:color="auto"/>
            <w:right w:val="none" w:sz="0" w:space="0" w:color="auto"/>
          </w:divBdr>
        </w:div>
        <w:div w:id="664819313">
          <w:marLeft w:val="-225"/>
          <w:marRight w:val="-225"/>
          <w:marTop w:val="0"/>
          <w:marBottom w:val="0"/>
          <w:divBdr>
            <w:top w:val="none" w:sz="0" w:space="0" w:color="auto"/>
            <w:left w:val="none" w:sz="0" w:space="0" w:color="auto"/>
            <w:bottom w:val="none" w:sz="0" w:space="0" w:color="auto"/>
            <w:right w:val="none" w:sz="0" w:space="0" w:color="auto"/>
          </w:divBdr>
        </w:div>
      </w:divsChild>
    </w:div>
    <w:div w:id="1467817031">
      <w:bodyDiv w:val="1"/>
      <w:marLeft w:val="0"/>
      <w:marRight w:val="0"/>
      <w:marTop w:val="0"/>
      <w:marBottom w:val="0"/>
      <w:divBdr>
        <w:top w:val="none" w:sz="0" w:space="0" w:color="auto"/>
        <w:left w:val="none" w:sz="0" w:space="0" w:color="auto"/>
        <w:bottom w:val="none" w:sz="0" w:space="0" w:color="auto"/>
        <w:right w:val="none" w:sz="0" w:space="0" w:color="auto"/>
      </w:divBdr>
    </w:div>
    <w:div w:id="1515919042">
      <w:bodyDiv w:val="1"/>
      <w:marLeft w:val="0"/>
      <w:marRight w:val="0"/>
      <w:marTop w:val="0"/>
      <w:marBottom w:val="0"/>
      <w:divBdr>
        <w:top w:val="none" w:sz="0" w:space="0" w:color="auto"/>
        <w:left w:val="none" w:sz="0" w:space="0" w:color="auto"/>
        <w:bottom w:val="none" w:sz="0" w:space="0" w:color="auto"/>
        <w:right w:val="none" w:sz="0" w:space="0" w:color="auto"/>
      </w:divBdr>
      <w:divsChild>
        <w:div w:id="199131019">
          <w:marLeft w:val="-225"/>
          <w:marRight w:val="-225"/>
          <w:marTop w:val="0"/>
          <w:marBottom w:val="0"/>
          <w:divBdr>
            <w:top w:val="none" w:sz="0" w:space="0" w:color="auto"/>
            <w:left w:val="none" w:sz="0" w:space="0" w:color="auto"/>
            <w:bottom w:val="none" w:sz="0" w:space="0" w:color="auto"/>
            <w:right w:val="none" w:sz="0" w:space="0" w:color="auto"/>
          </w:divBdr>
          <w:divsChild>
            <w:div w:id="2044476490">
              <w:marLeft w:val="75"/>
              <w:marRight w:val="0"/>
              <w:marTop w:val="0"/>
              <w:marBottom w:val="0"/>
              <w:divBdr>
                <w:top w:val="none" w:sz="0" w:space="0" w:color="auto"/>
                <w:left w:val="none" w:sz="0" w:space="0" w:color="auto"/>
                <w:bottom w:val="none" w:sz="0" w:space="0" w:color="auto"/>
                <w:right w:val="none" w:sz="0" w:space="0" w:color="auto"/>
              </w:divBdr>
              <w:divsChild>
                <w:div w:id="1124883836">
                  <w:marLeft w:val="0"/>
                  <w:marRight w:val="0"/>
                  <w:marTop w:val="0"/>
                  <w:marBottom w:val="0"/>
                  <w:divBdr>
                    <w:top w:val="none" w:sz="0" w:space="0" w:color="auto"/>
                    <w:left w:val="none" w:sz="0" w:space="0" w:color="auto"/>
                    <w:bottom w:val="none" w:sz="0" w:space="0" w:color="auto"/>
                    <w:right w:val="none" w:sz="0" w:space="0" w:color="auto"/>
                  </w:divBdr>
                </w:div>
                <w:div w:id="209959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9919">
          <w:marLeft w:val="-225"/>
          <w:marRight w:val="-225"/>
          <w:marTop w:val="0"/>
          <w:marBottom w:val="0"/>
          <w:divBdr>
            <w:top w:val="none" w:sz="0" w:space="0" w:color="auto"/>
            <w:left w:val="none" w:sz="0" w:space="0" w:color="auto"/>
            <w:bottom w:val="none" w:sz="0" w:space="0" w:color="auto"/>
            <w:right w:val="none" w:sz="0" w:space="0" w:color="auto"/>
          </w:divBdr>
        </w:div>
        <w:div w:id="919758496">
          <w:marLeft w:val="-225"/>
          <w:marRight w:val="-225"/>
          <w:marTop w:val="0"/>
          <w:marBottom w:val="0"/>
          <w:divBdr>
            <w:top w:val="none" w:sz="0" w:space="0" w:color="auto"/>
            <w:left w:val="none" w:sz="0" w:space="0" w:color="auto"/>
            <w:bottom w:val="none" w:sz="0" w:space="0" w:color="auto"/>
            <w:right w:val="none" w:sz="0" w:space="0" w:color="auto"/>
          </w:divBdr>
        </w:div>
        <w:div w:id="1031568061">
          <w:marLeft w:val="-225"/>
          <w:marRight w:val="-225"/>
          <w:marTop w:val="0"/>
          <w:marBottom w:val="0"/>
          <w:divBdr>
            <w:top w:val="none" w:sz="0" w:space="0" w:color="auto"/>
            <w:left w:val="none" w:sz="0" w:space="0" w:color="auto"/>
            <w:bottom w:val="none" w:sz="0" w:space="0" w:color="auto"/>
            <w:right w:val="none" w:sz="0" w:space="0" w:color="auto"/>
          </w:divBdr>
        </w:div>
        <w:div w:id="1180267737">
          <w:marLeft w:val="-225"/>
          <w:marRight w:val="-225"/>
          <w:marTop w:val="0"/>
          <w:marBottom w:val="0"/>
          <w:divBdr>
            <w:top w:val="none" w:sz="0" w:space="0" w:color="auto"/>
            <w:left w:val="none" w:sz="0" w:space="0" w:color="auto"/>
            <w:bottom w:val="none" w:sz="0" w:space="0" w:color="auto"/>
            <w:right w:val="none" w:sz="0" w:space="0" w:color="auto"/>
          </w:divBdr>
        </w:div>
        <w:div w:id="1266039260">
          <w:marLeft w:val="-225"/>
          <w:marRight w:val="-225"/>
          <w:marTop w:val="0"/>
          <w:marBottom w:val="0"/>
          <w:divBdr>
            <w:top w:val="none" w:sz="0" w:space="0" w:color="auto"/>
            <w:left w:val="none" w:sz="0" w:space="0" w:color="auto"/>
            <w:bottom w:val="none" w:sz="0" w:space="0" w:color="auto"/>
            <w:right w:val="none" w:sz="0" w:space="0" w:color="auto"/>
          </w:divBdr>
        </w:div>
        <w:div w:id="1645353287">
          <w:marLeft w:val="-225"/>
          <w:marRight w:val="-225"/>
          <w:marTop w:val="0"/>
          <w:marBottom w:val="0"/>
          <w:divBdr>
            <w:top w:val="none" w:sz="0" w:space="0" w:color="auto"/>
            <w:left w:val="none" w:sz="0" w:space="0" w:color="auto"/>
            <w:bottom w:val="none" w:sz="0" w:space="0" w:color="auto"/>
            <w:right w:val="none" w:sz="0" w:space="0" w:color="auto"/>
          </w:divBdr>
        </w:div>
      </w:divsChild>
    </w:div>
    <w:div w:id="1541553510">
      <w:bodyDiv w:val="1"/>
      <w:marLeft w:val="0"/>
      <w:marRight w:val="0"/>
      <w:marTop w:val="0"/>
      <w:marBottom w:val="0"/>
      <w:divBdr>
        <w:top w:val="none" w:sz="0" w:space="0" w:color="auto"/>
        <w:left w:val="none" w:sz="0" w:space="0" w:color="auto"/>
        <w:bottom w:val="none" w:sz="0" w:space="0" w:color="auto"/>
        <w:right w:val="none" w:sz="0" w:space="0" w:color="auto"/>
      </w:divBdr>
      <w:divsChild>
        <w:div w:id="61832488">
          <w:marLeft w:val="0"/>
          <w:marRight w:val="0"/>
          <w:marTop w:val="0"/>
          <w:marBottom w:val="0"/>
          <w:divBdr>
            <w:top w:val="none" w:sz="0" w:space="0" w:color="auto"/>
            <w:left w:val="none" w:sz="0" w:space="0" w:color="auto"/>
            <w:bottom w:val="none" w:sz="0" w:space="0" w:color="auto"/>
            <w:right w:val="none" w:sz="0" w:space="0" w:color="auto"/>
          </w:divBdr>
        </w:div>
        <w:div w:id="609818294">
          <w:marLeft w:val="0"/>
          <w:marRight w:val="0"/>
          <w:marTop w:val="0"/>
          <w:marBottom w:val="0"/>
          <w:divBdr>
            <w:top w:val="none" w:sz="0" w:space="0" w:color="auto"/>
            <w:left w:val="none" w:sz="0" w:space="0" w:color="auto"/>
            <w:bottom w:val="none" w:sz="0" w:space="0" w:color="auto"/>
            <w:right w:val="none" w:sz="0" w:space="0" w:color="auto"/>
          </w:divBdr>
        </w:div>
        <w:div w:id="872691082">
          <w:marLeft w:val="0"/>
          <w:marRight w:val="0"/>
          <w:marTop w:val="0"/>
          <w:marBottom w:val="0"/>
          <w:divBdr>
            <w:top w:val="none" w:sz="0" w:space="0" w:color="auto"/>
            <w:left w:val="none" w:sz="0" w:space="0" w:color="auto"/>
            <w:bottom w:val="none" w:sz="0" w:space="0" w:color="auto"/>
            <w:right w:val="none" w:sz="0" w:space="0" w:color="auto"/>
          </w:divBdr>
        </w:div>
        <w:div w:id="1648124223">
          <w:marLeft w:val="0"/>
          <w:marRight w:val="0"/>
          <w:marTop w:val="0"/>
          <w:marBottom w:val="0"/>
          <w:divBdr>
            <w:top w:val="none" w:sz="0" w:space="0" w:color="auto"/>
            <w:left w:val="none" w:sz="0" w:space="0" w:color="auto"/>
            <w:bottom w:val="none" w:sz="0" w:space="0" w:color="auto"/>
            <w:right w:val="none" w:sz="0" w:space="0" w:color="auto"/>
          </w:divBdr>
        </w:div>
      </w:divsChild>
    </w:div>
    <w:div w:id="1564213646">
      <w:bodyDiv w:val="1"/>
      <w:marLeft w:val="0"/>
      <w:marRight w:val="0"/>
      <w:marTop w:val="0"/>
      <w:marBottom w:val="0"/>
      <w:divBdr>
        <w:top w:val="none" w:sz="0" w:space="0" w:color="auto"/>
        <w:left w:val="none" w:sz="0" w:space="0" w:color="auto"/>
        <w:bottom w:val="none" w:sz="0" w:space="0" w:color="auto"/>
        <w:right w:val="none" w:sz="0" w:space="0" w:color="auto"/>
      </w:divBdr>
      <w:divsChild>
        <w:div w:id="356779424">
          <w:marLeft w:val="-225"/>
          <w:marRight w:val="-225"/>
          <w:marTop w:val="0"/>
          <w:marBottom w:val="0"/>
          <w:divBdr>
            <w:top w:val="none" w:sz="0" w:space="0" w:color="auto"/>
            <w:left w:val="none" w:sz="0" w:space="0" w:color="auto"/>
            <w:bottom w:val="none" w:sz="0" w:space="0" w:color="auto"/>
            <w:right w:val="none" w:sz="0" w:space="0" w:color="auto"/>
          </w:divBdr>
        </w:div>
        <w:div w:id="1423145809">
          <w:marLeft w:val="-225"/>
          <w:marRight w:val="-225"/>
          <w:marTop w:val="0"/>
          <w:marBottom w:val="0"/>
          <w:divBdr>
            <w:top w:val="none" w:sz="0" w:space="0" w:color="auto"/>
            <w:left w:val="none" w:sz="0" w:space="0" w:color="auto"/>
            <w:bottom w:val="none" w:sz="0" w:space="0" w:color="auto"/>
            <w:right w:val="none" w:sz="0" w:space="0" w:color="auto"/>
          </w:divBdr>
        </w:div>
        <w:div w:id="951084123">
          <w:marLeft w:val="-225"/>
          <w:marRight w:val="-225"/>
          <w:marTop w:val="0"/>
          <w:marBottom w:val="0"/>
          <w:divBdr>
            <w:top w:val="none" w:sz="0" w:space="0" w:color="auto"/>
            <w:left w:val="none" w:sz="0" w:space="0" w:color="auto"/>
            <w:bottom w:val="none" w:sz="0" w:space="0" w:color="auto"/>
            <w:right w:val="none" w:sz="0" w:space="0" w:color="auto"/>
          </w:divBdr>
          <w:divsChild>
            <w:div w:id="2009014252">
              <w:marLeft w:val="75"/>
              <w:marRight w:val="0"/>
              <w:marTop w:val="0"/>
              <w:marBottom w:val="0"/>
              <w:divBdr>
                <w:top w:val="none" w:sz="0" w:space="0" w:color="auto"/>
                <w:left w:val="none" w:sz="0" w:space="0" w:color="auto"/>
                <w:bottom w:val="none" w:sz="0" w:space="0" w:color="auto"/>
                <w:right w:val="none" w:sz="0" w:space="0" w:color="auto"/>
              </w:divBdr>
              <w:divsChild>
                <w:div w:id="2134009120">
                  <w:marLeft w:val="0"/>
                  <w:marRight w:val="0"/>
                  <w:marTop w:val="0"/>
                  <w:marBottom w:val="0"/>
                  <w:divBdr>
                    <w:top w:val="single" w:sz="18" w:space="0" w:color="484848"/>
                    <w:left w:val="single" w:sz="18" w:space="0" w:color="484848"/>
                    <w:bottom w:val="single" w:sz="18" w:space="0" w:color="484848"/>
                    <w:right w:val="single" w:sz="18" w:space="0" w:color="484848"/>
                  </w:divBdr>
                </w:div>
                <w:div w:id="498739628">
                  <w:marLeft w:val="0"/>
                  <w:marRight w:val="0"/>
                  <w:marTop w:val="0"/>
                  <w:marBottom w:val="0"/>
                  <w:divBdr>
                    <w:top w:val="none" w:sz="0" w:space="0" w:color="auto"/>
                    <w:left w:val="none" w:sz="0" w:space="0" w:color="auto"/>
                    <w:bottom w:val="none" w:sz="0" w:space="0" w:color="auto"/>
                    <w:right w:val="none" w:sz="0" w:space="0" w:color="auto"/>
                  </w:divBdr>
                </w:div>
                <w:div w:id="10766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267516">
          <w:marLeft w:val="-225"/>
          <w:marRight w:val="-225"/>
          <w:marTop w:val="0"/>
          <w:marBottom w:val="0"/>
          <w:divBdr>
            <w:top w:val="none" w:sz="0" w:space="0" w:color="auto"/>
            <w:left w:val="none" w:sz="0" w:space="0" w:color="auto"/>
            <w:bottom w:val="none" w:sz="0" w:space="0" w:color="auto"/>
            <w:right w:val="none" w:sz="0" w:space="0" w:color="auto"/>
          </w:divBdr>
        </w:div>
        <w:div w:id="551619702">
          <w:marLeft w:val="-225"/>
          <w:marRight w:val="-225"/>
          <w:marTop w:val="0"/>
          <w:marBottom w:val="0"/>
          <w:divBdr>
            <w:top w:val="none" w:sz="0" w:space="0" w:color="auto"/>
            <w:left w:val="none" w:sz="0" w:space="0" w:color="auto"/>
            <w:bottom w:val="none" w:sz="0" w:space="0" w:color="auto"/>
            <w:right w:val="none" w:sz="0" w:space="0" w:color="auto"/>
          </w:divBdr>
        </w:div>
        <w:div w:id="431973456">
          <w:marLeft w:val="-225"/>
          <w:marRight w:val="-225"/>
          <w:marTop w:val="0"/>
          <w:marBottom w:val="0"/>
          <w:divBdr>
            <w:top w:val="none" w:sz="0" w:space="0" w:color="auto"/>
            <w:left w:val="none" w:sz="0" w:space="0" w:color="auto"/>
            <w:bottom w:val="none" w:sz="0" w:space="0" w:color="auto"/>
            <w:right w:val="none" w:sz="0" w:space="0" w:color="auto"/>
          </w:divBdr>
        </w:div>
        <w:div w:id="68618420">
          <w:marLeft w:val="-225"/>
          <w:marRight w:val="-225"/>
          <w:marTop w:val="0"/>
          <w:marBottom w:val="0"/>
          <w:divBdr>
            <w:top w:val="none" w:sz="0" w:space="0" w:color="auto"/>
            <w:left w:val="none" w:sz="0" w:space="0" w:color="auto"/>
            <w:bottom w:val="none" w:sz="0" w:space="0" w:color="auto"/>
            <w:right w:val="none" w:sz="0" w:space="0" w:color="auto"/>
          </w:divBdr>
        </w:div>
        <w:div w:id="1846627386">
          <w:marLeft w:val="-225"/>
          <w:marRight w:val="-225"/>
          <w:marTop w:val="0"/>
          <w:marBottom w:val="0"/>
          <w:divBdr>
            <w:top w:val="none" w:sz="0" w:space="0" w:color="auto"/>
            <w:left w:val="none" w:sz="0" w:space="0" w:color="auto"/>
            <w:bottom w:val="none" w:sz="0" w:space="0" w:color="auto"/>
            <w:right w:val="none" w:sz="0" w:space="0" w:color="auto"/>
          </w:divBdr>
        </w:div>
        <w:div w:id="2011328932">
          <w:marLeft w:val="-225"/>
          <w:marRight w:val="-225"/>
          <w:marTop w:val="0"/>
          <w:marBottom w:val="0"/>
          <w:divBdr>
            <w:top w:val="none" w:sz="0" w:space="0" w:color="auto"/>
            <w:left w:val="none" w:sz="0" w:space="0" w:color="auto"/>
            <w:bottom w:val="none" w:sz="0" w:space="0" w:color="auto"/>
            <w:right w:val="none" w:sz="0" w:space="0" w:color="auto"/>
          </w:divBdr>
        </w:div>
        <w:div w:id="1293369924">
          <w:marLeft w:val="-225"/>
          <w:marRight w:val="-225"/>
          <w:marTop w:val="0"/>
          <w:marBottom w:val="0"/>
          <w:divBdr>
            <w:top w:val="none" w:sz="0" w:space="0" w:color="auto"/>
            <w:left w:val="none" w:sz="0" w:space="0" w:color="auto"/>
            <w:bottom w:val="none" w:sz="0" w:space="0" w:color="auto"/>
            <w:right w:val="none" w:sz="0" w:space="0" w:color="auto"/>
          </w:divBdr>
        </w:div>
        <w:div w:id="1312443271">
          <w:marLeft w:val="-225"/>
          <w:marRight w:val="-225"/>
          <w:marTop w:val="0"/>
          <w:marBottom w:val="0"/>
          <w:divBdr>
            <w:top w:val="none" w:sz="0" w:space="0" w:color="auto"/>
            <w:left w:val="none" w:sz="0" w:space="0" w:color="auto"/>
            <w:bottom w:val="none" w:sz="0" w:space="0" w:color="auto"/>
            <w:right w:val="none" w:sz="0" w:space="0" w:color="auto"/>
          </w:divBdr>
        </w:div>
        <w:div w:id="155147825">
          <w:marLeft w:val="-225"/>
          <w:marRight w:val="-225"/>
          <w:marTop w:val="0"/>
          <w:marBottom w:val="0"/>
          <w:divBdr>
            <w:top w:val="none" w:sz="0" w:space="0" w:color="auto"/>
            <w:left w:val="none" w:sz="0" w:space="0" w:color="auto"/>
            <w:bottom w:val="none" w:sz="0" w:space="0" w:color="auto"/>
            <w:right w:val="none" w:sz="0" w:space="0" w:color="auto"/>
          </w:divBdr>
        </w:div>
        <w:div w:id="632684911">
          <w:marLeft w:val="-225"/>
          <w:marRight w:val="-225"/>
          <w:marTop w:val="0"/>
          <w:marBottom w:val="0"/>
          <w:divBdr>
            <w:top w:val="none" w:sz="0" w:space="0" w:color="auto"/>
            <w:left w:val="none" w:sz="0" w:space="0" w:color="auto"/>
            <w:bottom w:val="none" w:sz="0" w:space="0" w:color="auto"/>
            <w:right w:val="none" w:sz="0" w:space="0" w:color="auto"/>
          </w:divBdr>
        </w:div>
        <w:div w:id="207424326">
          <w:marLeft w:val="-225"/>
          <w:marRight w:val="-225"/>
          <w:marTop w:val="0"/>
          <w:marBottom w:val="0"/>
          <w:divBdr>
            <w:top w:val="none" w:sz="0" w:space="0" w:color="auto"/>
            <w:left w:val="none" w:sz="0" w:space="0" w:color="auto"/>
            <w:bottom w:val="none" w:sz="0" w:space="0" w:color="auto"/>
            <w:right w:val="none" w:sz="0" w:space="0" w:color="auto"/>
          </w:divBdr>
        </w:div>
        <w:div w:id="389886113">
          <w:marLeft w:val="-225"/>
          <w:marRight w:val="-225"/>
          <w:marTop w:val="0"/>
          <w:marBottom w:val="0"/>
          <w:divBdr>
            <w:top w:val="none" w:sz="0" w:space="0" w:color="auto"/>
            <w:left w:val="none" w:sz="0" w:space="0" w:color="auto"/>
            <w:bottom w:val="none" w:sz="0" w:space="0" w:color="auto"/>
            <w:right w:val="none" w:sz="0" w:space="0" w:color="auto"/>
          </w:divBdr>
        </w:div>
        <w:div w:id="443114595">
          <w:marLeft w:val="-225"/>
          <w:marRight w:val="-225"/>
          <w:marTop w:val="0"/>
          <w:marBottom w:val="0"/>
          <w:divBdr>
            <w:top w:val="none" w:sz="0" w:space="0" w:color="auto"/>
            <w:left w:val="none" w:sz="0" w:space="0" w:color="auto"/>
            <w:bottom w:val="none" w:sz="0" w:space="0" w:color="auto"/>
            <w:right w:val="none" w:sz="0" w:space="0" w:color="auto"/>
          </w:divBdr>
        </w:div>
        <w:div w:id="1200626987">
          <w:marLeft w:val="-225"/>
          <w:marRight w:val="-225"/>
          <w:marTop w:val="0"/>
          <w:marBottom w:val="0"/>
          <w:divBdr>
            <w:top w:val="none" w:sz="0" w:space="0" w:color="auto"/>
            <w:left w:val="none" w:sz="0" w:space="0" w:color="auto"/>
            <w:bottom w:val="none" w:sz="0" w:space="0" w:color="auto"/>
            <w:right w:val="none" w:sz="0" w:space="0" w:color="auto"/>
          </w:divBdr>
        </w:div>
        <w:div w:id="450708412">
          <w:marLeft w:val="-225"/>
          <w:marRight w:val="-225"/>
          <w:marTop w:val="0"/>
          <w:marBottom w:val="0"/>
          <w:divBdr>
            <w:top w:val="none" w:sz="0" w:space="0" w:color="auto"/>
            <w:left w:val="none" w:sz="0" w:space="0" w:color="auto"/>
            <w:bottom w:val="none" w:sz="0" w:space="0" w:color="auto"/>
            <w:right w:val="none" w:sz="0" w:space="0" w:color="auto"/>
          </w:divBdr>
        </w:div>
        <w:div w:id="295137871">
          <w:marLeft w:val="-225"/>
          <w:marRight w:val="-225"/>
          <w:marTop w:val="0"/>
          <w:marBottom w:val="0"/>
          <w:divBdr>
            <w:top w:val="none" w:sz="0" w:space="0" w:color="auto"/>
            <w:left w:val="none" w:sz="0" w:space="0" w:color="auto"/>
            <w:bottom w:val="none" w:sz="0" w:space="0" w:color="auto"/>
            <w:right w:val="none" w:sz="0" w:space="0" w:color="auto"/>
          </w:divBdr>
        </w:div>
        <w:div w:id="1565336971">
          <w:marLeft w:val="-225"/>
          <w:marRight w:val="-225"/>
          <w:marTop w:val="0"/>
          <w:marBottom w:val="0"/>
          <w:divBdr>
            <w:top w:val="none" w:sz="0" w:space="0" w:color="auto"/>
            <w:left w:val="none" w:sz="0" w:space="0" w:color="auto"/>
            <w:bottom w:val="none" w:sz="0" w:space="0" w:color="auto"/>
            <w:right w:val="none" w:sz="0" w:space="0" w:color="auto"/>
          </w:divBdr>
        </w:div>
        <w:div w:id="1230535078">
          <w:marLeft w:val="-225"/>
          <w:marRight w:val="-225"/>
          <w:marTop w:val="0"/>
          <w:marBottom w:val="0"/>
          <w:divBdr>
            <w:top w:val="none" w:sz="0" w:space="0" w:color="auto"/>
            <w:left w:val="none" w:sz="0" w:space="0" w:color="auto"/>
            <w:bottom w:val="none" w:sz="0" w:space="0" w:color="auto"/>
            <w:right w:val="none" w:sz="0" w:space="0" w:color="auto"/>
          </w:divBdr>
        </w:div>
        <w:div w:id="237600703">
          <w:marLeft w:val="-225"/>
          <w:marRight w:val="-225"/>
          <w:marTop w:val="0"/>
          <w:marBottom w:val="0"/>
          <w:divBdr>
            <w:top w:val="none" w:sz="0" w:space="0" w:color="auto"/>
            <w:left w:val="none" w:sz="0" w:space="0" w:color="auto"/>
            <w:bottom w:val="none" w:sz="0" w:space="0" w:color="auto"/>
            <w:right w:val="none" w:sz="0" w:space="0" w:color="auto"/>
          </w:divBdr>
        </w:div>
        <w:div w:id="2058511202">
          <w:marLeft w:val="-225"/>
          <w:marRight w:val="-225"/>
          <w:marTop w:val="0"/>
          <w:marBottom w:val="0"/>
          <w:divBdr>
            <w:top w:val="none" w:sz="0" w:space="0" w:color="auto"/>
            <w:left w:val="none" w:sz="0" w:space="0" w:color="auto"/>
            <w:bottom w:val="none" w:sz="0" w:space="0" w:color="auto"/>
            <w:right w:val="none" w:sz="0" w:space="0" w:color="auto"/>
          </w:divBdr>
        </w:div>
      </w:divsChild>
    </w:div>
    <w:div w:id="1571040177">
      <w:bodyDiv w:val="1"/>
      <w:marLeft w:val="0"/>
      <w:marRight w:val="0"/>
      <w:marTop w:val="0"/>
      <w:marBottom w:val="0"/>
      <w:divBdr>
        <w:top w:val="none" w:sz="0" w:space="0" w:color="auto"/>
        <w:left w:val="none" w:sz="0" w:space="0" w:color="auto"/>
        <w:bottom w:val="none" w:sz="0" w:space="0" w:color="auto"/>
        <w:right w:val="none" w:sz="0" w:space="0" w:color="auto"/>
      </w:divBdr>
      <w:divsChild>
        <w:div w:id="749276421">
          <w:marLeft w:val="-225"/>
          <w:marRight w:val="-225"/>
          <w:marTop w:val="0"/>
          <w:marBottom w:val="0"/>
          <w:divBdr>
            <w:top w:val="none" w:sz="0" w:space="0" w:color="auto"/>
            <w:left w:val="none" w:sz="0" w:space="0" w:color="auto"/>
            <w:bottom w:val="none" w:sz="0" w:space="0" w:color="auto"/>
            <w:right w:val="none" w:sz="0" w:space="0" w:color="auto"/>
          </w:divBdr>
        </w:div>
        <w:div w:id="1583446497">
          <w:marLeft w:val="-225"/>
          <w:marRight w:val="-225"/>
          <w:marTop w:val="0"/>
          <w:marBottom w:val="0"/>
          <w:divBdr>
            <w:top w:val="none" w:sz="0" w:space="0" w:color="auto"/>
            <w:left w:val="none" w:sz="0" w:space="0" w:color="auto"/>
            <w:bottom w:val="none" w:sz="0" w:space="0" w:color="auto"/>
            <w:right w:val="none" w:sz="0" w:space="0" w:color="auto"/>
          </w:divBdr>
          <w:divsChild>
            <w:div w:id="1959558719">
              <w:marLeft w:val="75"/>
              <w:marRight w:val="0"/>
              <w:marTop w:val="0"/>
              <w:marBottom w:val="0"/>
              <w:divBdr>
                <w:top w:val="none" w:sz="0" w:space="0" w:color="auto"/>
                <w:left w:val="none" w:sz="0" w:space="0" w:color="auto"/>
                <w:bottom w:val="none" w:sz="0" w:space="0" w:color="auto"/>
                <w:right w:val="none" w:sz="0" w:space="0" w:color="auto"/>
              </w:divBdr>
              <w:divsChild>
                <w:div w:id="1939868988">
                  <w:marLeft w:val="0"/>
                  <w:marRight w:val="0"/>
                  <w:marTop w:val="0"/>
                  <w:marBottom w:val="0"/>
                  <w:divBdr>
                    <w:top w:val="none" w:sz="0" w:space="0" w:color="auto"/>
                    <w:left w:val="none" w:sz="0" w:space="0" w:color="auto"/>
                    <w:bottom w:val="none" w:sz="0" w:space="0" w:color="auto"/>
                    <w:right w:val="none" w:sz="0" w:space="0" w:color="auto"/>
                  </w:divBdr>
                </w:div>
                <w:div w:id="98450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96635">
          <w:marLeft w:val="-225"/>
          <w:marRight w:val="-225"/>
          <w:marTop w:val="0"/>
          <w:marBottom w:val="0"/>
          <w:divBdr>
            <w:top w:val="none" w:sz="0" w:space="0" w:color="auto"/>
            <w:left w:val="none" w:sz="0" w:space="0" w:color="auto"/>
            <w:bottom w:val="none" w:sz="0" w:space="0" w:color="auto"/>
            <w:right w:val="none" w:sz="0" w:space="0" w:color="auto"/>
          </w:divBdr>
        </w:div>
        <w:div w:id="1767577248">
          <w:marLeft w:val="-225"/>
          <w:marRight w:val="-225"/>
          <w:marTop w:val="0"/>
          <w:marBottom w:val="0"/>
          <w:divBdr>
            <w:top w:val="none" w:sz="0" w:space="0" w:color="auto"/>
            <w:left w:val="none" w:sz="0" w:space="0" w:color="auto"/>
            <w:bottom w:val="none" w:sz="0" w:space="0" w:color="auto"/>
            <w:right w:val="none" w:sz="0" w:space="0" w:color="auto"/>
          </w:divBdr>
        </w:div>
        <w:div w:id="372073208">
          <w:marLeft w:val="-225"/>
          <w:marRight w:val="-225"/>
          <w:marTop w:val="0"/>
          <w:marBottom w:val="0"/>
          <w:divBdr>
            <w:top w:val="none" w:sz="0" w:space="0" w:color="auto"/>
            <w:left w:val="none" w:sz="0" w:space="0" w:color="auto"/>
            <w:bottom w:val="none" w:sz="0" w:space="0" w:color="auto"/>
            <w:right w:val="none" w:sz="0" w:space="0" w:color="auto"/>
          </w:divBdr>
        </w:div>
        <w:div w:id="1855459984">
          <w:marLeft w:val="-225"/>
          <w:marRight w:val="-225"/>
          <w:marTop w:val="0"/>
          <w:marBottom w:val="0"/>
          <w:divBdr>
            <w:top w:val="none" w:sz="0" w:space="0" w:color="auto"/>
            <w:left w:val="none" w:sz="0" w:space="0" w:color="auto"/>
            <w:bottom w:val="none" w:sz="0" w:space="0" w:color="auto"/>
            <w:right w:val="none" w:sz="0" w:space="0" w:color="auto"/>
          </w:divBdr>
        </w:div>
        <w:div w:id="514343595">
          <w:marLeft w:val="-225"/>
          <w:marRight w:val="-225"/>
          <w:marTop w:val="0"/>
          <w:marBottom w:val="0"/>
          <w:divBdr>
            <w:top w:val="none" w:sz="0" w:space="0" w:color="auto"/>
            <w:left w:val="none" w:sz="0" w:space="0" w:color="auto"/>
            <w:bottom w:val="none" w:sz="0" w:space="0" w:color="auto"/>
            <w:right w:val="none" w:sz="0" w:space="0" w:color="auto"/>
          </w:divBdr>
        </w:div>
        <w:div w:id="613177726">
          <w:marLeft w:val="-225"/>
          <w:marRight w:val="-225"/>
          <w:marTop w:val="0"/>
          <w:marBottom w:val="0"/>
          <w:divBdr>
            <w:top w:val="none" w:sz="0" w:space="0" w:color="auto"/>
            <w:left w:val="none" w:sz="0" w:space="0" w:color="auto"/>
            <w:bottom w:val="none" w:sz="0" w:space="0" w:color="auto"/>
            <w:right w:val="none" w:sz="0" w:space="0" w:color="auto"/>
          </w:divBdr>
        </w:div>
      </w:divsChild>
    </w:div>
    <w:div w:id="1582908805">
      <w:bodyDiv w:val="1"/>
      <w:marLeft w:val="0"/>
      <w:marRight w:val="0"/>
      <w:marTop w:val="0"/>
      <w:marBottom w:val="0"/>
      <w:divBdr>
        <w:top w:val="none" w:sz="0" w:space="0" w:color="auto"/>
        <w:left w:val="none" w:sz="0" w:space="0" w:color="auto"/>
        <w:bottom w:val="none" w:sz="0" w:space="0" w:color="auto"/>
        <w:right w:val="none" w:sz="0" w:space="0" w:color="auto"/>
      </w:divBdr>
    </w:div>
    <w:div w:id="1596089301">
      <w:bodyDiv w:val="1"/>
      <w:marLeft w:val="0"/>
      <w:marRight w:val="0"/>
      <w:marTop w:val="0"/>
      <w:marBottom w:val="0"/>
      <w:divBdr>
        <w:top w:val="none" w:sz="0" w:space="0" w:color="auto"/>
        <w:left w:val="none" w:sz="0" w:space="0" w:color="auto"/>
        <w:bottom w:val="none" w:sz="0" w:space="0" w:color="auto"/>
        <w:right w:val="none" w:sz="0" w:space="0" w:color="auto"/>
      </w:divBdr>
      <w:divsChild>
        <w:div w:id="1865242671">
          <w:marLeft w:val="-225"/>
          <w:marRight w:val="-225"/>
          <w:marTop w:val="0"/>
          <w:marBottom w:val="0"/>
          <w:divBdr>
            <w:top w:val="none" w:sz="0" w:space="0" w:color="auto"/>
            <w:left w:val="none" w:sz="0" w:space="0" w:color="auto"/>
            <w:bottom w:val="none" w:sz="0" w:space="0" w:color="auto"/>
            <w:right w:val="none" w:sz="0" w:space="0" w:color="auto"/>
          </w:divBdr>
        </w:div>
        <w:div w:id="984700011">
          <w:marLeft w:val="-225"/>
          <w:marRight w:val="-225"/>
          <w:marTop w:val="0"/>
          <w:marBottom w:val="0"/>
          <w:divBdr>
            <w:top w:val="none" w:sz="0" w:space="0" w:color="auto"/>
            <w:left w:val="none" w:sz="0" w:space="0" w:color="auto"/>
            <w:bottom w:val="none" w:sz="0" w:space="0" w:color="auto"/>
            <w:right w:val="none" w:sz="0" w:space="0" w:color="auto"/>
          </w:divBdr>
          <w:divsChild>
            <w:div w:id="1481338996">
              <w:marLeft w:val="75"/>
              <w:marRight w:val="0"/>
              <w:marTop w:val="0"/>
              <w:marBottom w:val="0"/>
              <w:divBdr>
                <w:top w:val="none" w:sz="0" w:space="0" w:color="auto"/>
                <w:left w:val="none" w:sz="0" w:space="0" w:color="auto"/>
                <w:bottom w:val="none" w:sz="0" w:space="0" w:color="auto"/>
                <w:right w:val="none" w:sz="0" w:space="0" w:color="auto"/>
              </w:divBdr>
              <w:divsChild>
                <w:div w:id="431242451">
                  <w:marLeft w:val="0"/>
                  <w:marRight w:val="0"/>
                  <w:marTop w:val="0"/>
                  <w:marBottom w:val="0"/>
                  <w:divBdr>
                    <w:top w:val="single" w:sz="18" w:space="0" w:color="484848"/>
                    <w:left w:val="single" w:sz="18" w:space="0" w:color="484848"/>
                    <w:bottom w:val="single" w:sz="18" w:space="0" w:color="484848"/>
                    <w:right w:val="single" w:sz="18" w:space="0" w:color="484848"/>
                  </w:divBdr>
                </w:div>
                <w:div w:id="139151672">
                  <w:marLeft w:val="0"/>
                  <w:marRight w:val="0"/>
                  <w:marTop w:val="0"/>
                  <w:marBottom w:val="0"/>
                  <w:divBdr>
                    <w:top w:val="none" w:sz="0" w:space="0" w:color="auto"/>
                    <w:left w:val="none" w:sz="0" w:space="0" w:color="auto"/>
                    <w:bottom w:val="none" w:sz="0" w:space="0" w:color="auto"/>
                    <w:right w:val="none" w:sz="0" w:space="0" w:color="auto"/>
                  </w:divBdr>
                </w:div>
                <w:div w:id="15522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42813">
          <w:marLeft w:val="-225"/>
          <w:marRight w:val="-225"/>
          <w:marTop w:val="0"/>
          <w:marBottom w:val="0"/>
          <w:divBdr>
            <w:top w:val="none" w:sz="0" w:space="0" w:color="auto"/>
            <w:left w:val="none" w:sz="0" w:space="0" w:color="auto"/>
            <w:bottom w:val="none" w:sz="0" w:space="0" w:color="auto"/>
            <w:right w:val="none" w:sz="0" w:space="0" w:color="auto"/>
          </w:divBdr>
        </w:div>
        <w:div w:id="800804830">
          <w:marLeft w:val="-225"/>
          <w:marRight w:val="-225"/>
          <w:marTop w:val="0"/>
          <w:marBottom w:val="0"/>
          <w:divBdr>
            <w:top w:val="none" w:sz="0" w:space="0" w:color="auto"/>
            <w:left w:val="none" w:sz="0" w:space="0" w:color="auto"/>
            <w:bottom w:val="none" w:sz="0" w:space="0" w:color="auto"/>
            <w:right w:val="none" w:sz="0" w:space="0" w:color="auto"/>
          </w:divBdr>
        </w:div>
        <w:div w:id="289828019">
          <w:marLeft w:val="-225"/>
          <w:marRight w:val="-225"/>
          <w:marTop w:val="0"/>
          <w:marBottom w:val="0"/>
          <w:divBdr>
            <w:top w:val="none" w:sz="0" w:space="0" w:color="auto"/>
            <w:left w:val="none" w:sz="0" w:space="0" w:color="auto"/>
            <w:bottom w:val="none" w:sz="0" w:space="0" w:color="auto"/>
            <w:right w:val="none" w:sz="0" w:space="0" w:color="auto"/>
          </w:divBdr>
        </w:div>
        <w:div w:id="681247045">
          <w:marLeft w:val="-225"/>
          <w:marRight w:val="-225"/>
          <w:marTop w:val="0"/>
          <w:marBottom w:val="0"/>
          <w:divBdr>
            <w:top w:val="none" w:sz="0" w:space="0" w:color="auto"/>
            <w:left w:val="none" w:sz="0" w:space="0" w:color="auto"/>
            <w:bottom w:val="none" w:sz="0" w:space="0" w:color="auto"/>
            <w:right w:val="none" w:sz="0" w:space="0" w:color="auto"/>
          </w:divBdr>
        </w:div>
        <w:div w:id="1052196473">
          <w:marLeft w:val="-225"/>
          <w:marRight w:val="-225"/>
          <w:marTop w:val="0"/>
          <w:marBottom w:val="0"/>
          <w:divBdr>
            <w:top w:val="none" w:sz="0" w:space="0" w:color="auto"/>
            <w:left w:val="none" w:sz="0" w:space="0" w:color="auto"/>
            <w:bottom w:val="none" w:sz="0" w:space="0" w:color="auto"/>
            <w:right w:val="none" w:sz="0" w:space="0" w:color="auto"/>
          </w:divBdr>
        </w:div>
        <w:div w:id="796148161">
          <w:marLeft w:val="-225"/>
          <w:marRight w:val="-225"/>
          <w:marTop w:val="0"/>
          <w:marBottom w:val="0"/>
          <w:divBdr>
            <w:top w:val="none" w:sz="0" w:space="0" w:color="auto"/>
            <w:left w:val="none" w:sz="0" w:space="0" w:color="auto"/>
            <w:bottom w:val="none" w:sz="0" w:space="0" w:color="auto"/>
            <w:right w:val="none" w:sz="0" w:space="0" w:color="auto"/>
          </w:divBdr>
        </w:div>
        <w:div w:id="584538131">
          <w:marLeft w:val="-225"/>
          <w:marRight w:val="-225"/>
          <w:marTop w:val="0"/>
          <w:marBottom w:val="0"/>
          <w:divBdr>
            <w:top w:val="none" w:sz="0" w:space="0" w:color="auto"/>
            <w:left w:val="none" w:sz="0" w:space="0" w:color="auto"/>
            <w:bottom w:val="none" w:sz="0" w:space="0" w:color="auto"/>
            <w:right w:val="none" w:sz="0" w:space="0" w:color="auto"/>
          </w:divBdr>
        </w:div>
        <w:div w:id="1678802529">
          <w:marLeft w:val="-225"/>
          <w:marRight w:val="-225"/>
          <w:marTop w:val="0"/>
          <w:marBottom w:val="0"/>
          <w:divBdr>
            <w:top w:val="none" w:sz="0" w:space="0" w:color="auto"/>
            <w:left w:val="none" w:sz="0" w:space="0" w:color="auto"/>
            <w:bottom w:val="none" w:sz="0" w:space="0" w:color="auto"/>
            <w:right w:val="none" w:sz="0" w:space="0" w:color="auto"/>
          </w:divBdr>
        </w:div>
        <w:div w:id="1786803648">
          <w:marLeft w:val="-225"/>
          <w:marRight w:val="-225"/>
          <w:marTop w:val="0"/>
          <w:marBottom w:val="0"/>
          <w:divBdr>
            <w:top w:val="none" w:sz="0" w:space="0" w:color="auto"/>
            <w:left w:val="none" w:sz="0" w:space="0" w:color="auto"/>
            <w:bottom w:val="none" w:sz="0" w:space="0" w:color="auto"/>
            <w:right w:val="none" w:sz="0" w:space="0" w:color="auto"/>
          </w:divBdr>
        </w:div>
        <w:div w:id="1647709341">
          <w:marLeft w:val="-225"/>
          <w:marRight w:val="-225"/>
          <w:marTop w:val="0"/>
          <w:marBottom w:val="0"/>
          <w:divBdr>
            <w:top w:val="none" w:sz="0" w:space="0" w:color="auto"/>
            <w:left w:val="none" w:sz="0" w:space="0" w:color="auto"/>
            <w:bottom w:val="none" w:sz="0" w:space="0" w:color="auto"/>
            <w:right w:val="none" w:sz="0" w:space="0" w:color="auto"/>
          </w:divBdr>
        </w:div>
        <w:div w:id="1556772194">
          <w:marLeft w:val="-225"/>
          <w:marRight w:val="-225"/>
          <w:marTop w:val="0"/>
          <w:marBottom w:val="0"/>
          <w:divBdr>
            <w:top w:val="none" w:sz="0" w:space="0" w:color="auto"/>
            <w:left w:val="none" w:sz="0" w:space="0" w:color="auto"/>
            <w:bottom w:val="none" w:sz="0" w:space="0" w:color="auto"/>
            <w:right w:val="none" w:sz="0" w:space="0" w:color="auto"/>
          </w:divBdr>
        </w:div>
        <w:div w:id="1449154949">
          <w:marLeft w:val="-225"/>
          <w:marRight w:val="-225"/>
          <w:marTop w:val="0"/>
          <w:marBottom w:val="0"/>
          <w:divBdr>
            <w:top w:val="none" w:sz="0" w:space="0" w:color="auto"/>
            <w:left w:val="none" w:sz="0" w:space="0" w:color="auto"/>
            <w:bottom w:val="none" w:sz="0" w:space="0" w:color="auto"/>
            <w:right w:val="none" w:sz="0" w:space="0" w:color="auto"/>
          </w:divBdr>
        </w:div>
        <w:div w:id="1775780657">
          <w:marLeft w:val="-225"/>
          <w:marRight w:val="-225"/>
          <w:marTop w:val="0"/>
          <w:marBottom w:val="0"/>
          <w:divBdr>
            <w:top w:val="none" w:sz="0" w:space="0" w:color="auto"/>
            <w:left w:val="none" w:sz="0" w:space="0" w:color="auto"/>
            <w:bottom w:val="none" w:sz="0" w:space="0" w:color="auto"/>
            <w:right w:val="none" w:sz="0" w:space="0" w:color="auto"/>
          </w:divBdr>
        </w:div>
        <w:div w:id="990409243">
          <w:marLeft w:val="-225"/>
          <w:marRight w:val="-225"/>
          <w:marTop w:val="0"/>
          <w:marBottom w:val="0"/>
          <w:divBdr>
            <w:top w:val="none" w:sz="0" w:space="0" w:color="auto"/>
            <w:left w:val="none" w:sz="0" w:space="0" w:color="auto"/>
            <w:bottom w:val="none" w:sz="0" w:space="0" w:color="auto"/>
            <w:right w:val="none" w:sz="0" w:space="0" w:color="auto"/>
          </w:divBdr>
        </w:div>
        <w:div w:id="297607592">
          <w:marLeft w:val="-225"/>
          <w:marRight w:val="-225"/>
          <w:marTop w:val="0"/>
          <w:marBottom w:val="0"/>
          <w:divBdr>
            <w:top w:val="none" w:sz="0" w:space="0" w:color="auto"/>
            <w:left w:val="none" w:sz="0" w:space="0" w:color="auto"/>
            <w:bottom w:val="none" w:sz="0" w:space="0" w:color="auto"/>
            <w:right w:val="none" w:sz="0" w:space="0" w:color="auto"/>
          </w:divBdr>
        </w:div>
        <w:div w:id="1208563110">
          <w:marLeft w:val="-225"/>
          <w:marRight w:val="-225"/>
          <w:marTop w:val="0"/>
          <w:marBottom w:val="0"/>
          <w:divBdr>
            <w:top w:val="none" w:sz="0" w:space="0" w:color="auto"/>
            <w:left w:val="none" w:sz="0" w:space="0" w:color="auto"/>
            <w:bottom w:val="none" w:sz="0" w:space="0" w:color="auto"/>
            <w:right w:val="none" w:sz="0" w:space="0" w:color="auto"/>
          </w:divBdr>
        </w:div>
        <w:div w:id="1170825602">
          <w:marLeft w:val="-225"/>
          <w:marRight w:val="-225"/>
          <w:marTop w:val="0"/>
          <w:marBottom w:val="0"/>
          <w:divBdr>
            <w:top w:val="none" w:sz="0" w:space="0" w:color="auto"/>
            <w:left w:val="none" w:sz="0" w:space="0" w:color="auto"/>
            <w:bottom w:val="none" w:sz="0" w:space="0" w:color="auto"/>
            <w:right w:val="none" w:sz="0" w:space="0" w:color="auto"/>
          </w:divBdr>
        </w:div>
        <w:div w:id="1671059040">
          <w:marLeft w:val="-225"/>
          <w:marRight w:val="-225"/>
          <w:marTop w:val="0"/>
          <w:marBottom w:val="0"/>
          <w:divBdr>
            <w:top w:val="none" w:sz="0" w:space="0" w:color="auto"/>
            <w:left w:val="none" w:sz="0" w:space="0" w:color="auto"/>
            <w:bottom w:val="none" w:sz="0" w:space="0" w:color="auto"/>
            <w:right w:val="none" w:sz="0" w:space="0" w:color="auto"/>
          </w:divBdr>
        </w:div>
        <w:div w:id="1408727237">
          <w:marLeft w:val="-225"/>
          <w:marRight w:val="-225"/>
          <w:marTop w:val="0"/>
          <w:marBottom w:val="0"/>
          <w:divBdr>
            <w:top w:val="none" w:sz="0" w:space="0" w:color="auto"/>
            <w:left w:val="none" w:sz="0" w:space="0" w:color="auto"/>
            <w:bottom w:val="none" w:sz="0" w:space="0" w:color="auto"/>
            <w:right w:val="none" w:sz="0" w:space="0" w:color="auto"/>
          </w:divBdr>
        </w:div>
        <w:div w:id="1219248656">
          <w:marLeft w:val="-225"/>
          <w:marRight w:val="-225"/>
          <w:marTop w:val="0"/>
          <w:marBottom w:val="0"/>
          <w:divBdr>
            <w:top w:val="none" w:sz="0" w:space="0" w:color="auto"/>
            <w:left w:val="none" w:sz="0" w:space="0" w:color="auto"/>
            <w:bottom w:val="none" w:sz="0" w:space="0" w:color="auto"/>
            <w:right w:val="none" w:sz="0" w:space="0" w:color="auto"/>
          </w:divBdr>
        </w:div>
        <w:div w:id="1967618263">
          <w:marLeft w:val="-225"/>
          <w:marRight w:val="-225"/>
          <w:marTop w:val="0"/>
          <w:marBottom w:val="0"/>
          <w:divBdr>
            <w:top w:val="none" w:sz="0" w:space="0" w:color="auto"/>
            <w:left w:val="none" w:sz="0" w:space="0" w:color="auto"/>
            <w:bottom w:val="none" w:sz="0" w:space="0" w:color="auto"/>
            <w:right w:val="none" w:sz="0" w:space="0" w:color="auto"/>
          </w:divBdr>
        </w:div>
        <w:div w:id="2020961320">
          <w:marLeft w:val="-225"/>
          <w:marRight w:val="-225"/>
          <w:marTop w:val="0"/>
          <w:marBottom w:val="0"/>
          <w:divBdr>
            <w:top w:val="none" w:sz="0" w:space="0" w:color="auto"/>
            <w:left w:val="none" w:sz="0" w:space="0" w:color="auto"/>
            <w:bottom w:val="none" w:sz="0" w:space="0" w:color="auto"/>
            <w:right w:val="none" w:sz="0" w:space="0" w:color="auto"/>
          </w:divBdr>
        </w:div>
        <w:div w:id="1540387417">
          <w:marLeft w:val="-225"/>
          <w:marRight w:val="-225"/>
          <w:marTop w:val="0"/>
          <w:marBottom w:val="0"/>
          <w:divBdr>
            <w:top w:val="none" w:sz="0" w:space="0" w:color="auto"/>
            <w:left w:val="none" w:sz="0" w:space="0" w:color="auto"/>
            <w:bottom w:val="none" w:sz="0" w:space="0" w:color="auto"/>
            <w:right w:val="none" w:sz="0" w:space="0" w:color="auto"/>
          </w:divBdr>
        </w:div>
        <w:div w:id="1602491945">
          <w:marLeft w:val="-225"/>
          <w:marRight w:val="-225"/>
          <w:marTop w:val="0"/>
          <w:marBottom w:val="0"/>
          <w:divBdr>
            <w:top w:val="none" w:sz="0" w:space="0" w:color="auto"/>
            <w:left w:val="none" w:sz="0" w:space="0" w:color="auto"/>
            <w:bottom w:val="none" w:sz="0" w:space="0" w:color="auto"/>
            <w:right w:val="none" w:sz="0" w:space="0" w:color="auto"/>
          </w:divBdr>
        </w:div>
        <w:div w:id="536164163">
          <w:marLeft w:val="-225"/>
          <w:marRight w:val="-225"/>
          <w:marTop w:val="0"/>
          <w:marBottom w:val="0"/>
          <w:divBdr>
            <w:top w:val="none" w:sz="0" w:space="0" w:color="auto"/>
            <w:left w:val="none" w:sz="0" w:space="0" w:color="auto"/>
            <w:bottom w:val="none" w:sz="0" w:space="0" w:color="auto"/>
            <w:right w:val="none" w:sz="0" w:space="0" w:color="auto"/>
          </w:divBdr>
        </w:div>
        <w:div w:id="649554468">
          <w:marLeft w:val="-225"/>
          <w:marRight w:val="-225"/>
          <w:marTop w:val="0"/>
          <w:marBottom w:val="0"/>
          <w:divBdr>
            <w:top w:val="none" w:sz="0" w:space="0" w:color="auto"/>
            <w:left w:val="none" w:sz="0" w:space="0" w:color="auto"/>
            <w:bottom w:val="none" w:sz="0" w:space="0" w:color="auto"/>
            <w:right w:val="none" w:sz="0" w:space="0" w:color="auto"/>
          </w:divBdr>
        </w:div>
        <w:div w:id="469592807">
          <w:marLeft w:val="-225"/>
          <w:marRight w:val="-225"/>
          <w:marTop w:val="0"/>
          <w:marBottom w:val="0"/>
          <w:divBdr>
            <w:top w:val="none" w:sz="0" w:space="0" w:color="auto"/>
            <w:left w:val="none" w:sz="0" w:space="0" w:color="auto"/>
            <w:bottom w:val="none" w:sz="0" w:space="0" w:color="auto"/>
            <w:right w:val="none" w:sz="0" w:space="0" w:color="auto"/>
          </w:divBdr>
        </w:div>
        <w:div w:id="1386176577">
          <w:marLeft w:val="-225"/>
          <w:marRight w:val="-225"/>
          <w:marTop w:val="0"/>
          <w:marBottom w:val="0"/>
          <w:divBdr>
            <w:top w:val="none" w:sz="0" w:space="0" w:color="auto"/>
            <w:left w:val="none" w:sz="0" w:space="0" w:color="auto"/>
            <w:bottom w:val="none" w:sz="0" w:space="0" w:color="auto"/>
            <w:right w:val="none" w:sz="0" w:space="0" w:color="auto"/>
          </w:divBdr>
        </w:div>
        <w:div w:id="829516979">
          <w:marLeft w:val="-225"/>
          <w:marRight w:val="-225"/>
          <w:marTop w:val="0"/>
          <w:marBottom w:val="0"/>
          <w:divBdr>
            <w:top w:val="none" w:sz="0" w:space="0" w:color="auto"/>
            <w:left w:val="none" w:sz="0" w:space="0" w:color="auto"/>
            <w:bottom w:val="none" w:sz="0" w:space="0" w:color="auto"/>
            <w:right w:val="none" w:sz="0" w:space="0" w:color="auto"/>
          </w:divBdr>
        </w:div>
        <w:div w:id="1112287340">
          <w:marLeft w:val="-225"/>
          <w:marRight w:val="-225"/>
          <w:marTop w:val="0"/>
          <w:marBottom w:val="0"/>
          <w:divBdr>
            <w:top w:val="none" w:sz="0" w:space="0" w:color="auto"/>
            <w:left w:val="none" w:sz="0" w:space="0" w:color="auto"/>
            <w:bottom w:val="none" w:sz="0" w:space="0" w:color="auto"/>
            <w:right w:val="none" w:sz="0" w:space="0" w:color="auto"/>
          </w:divBdr>
        </w:div>
        <w:div w:id="1166897502">
          <w:marLeft w:val="-225"/>
          <w:marRight w:val="-225"/>
          <w:marTop w:val="0"/>
          <w:marBottom w:val="0"/>
          <w:divBdr>
            <w:top w:val="none" w:sz="0" w:space="0" w:color="auto"/>
            <w:left w:val="none" w:sz="0" w:space="0" w:color="auto"/>
            <w:bottom w:val="none" w:sz="0" w:space="0" w:color="auto"/>
            <w:right w:val="none" w:sz="0" w:space="0" w:color="auto"/>
          </w:divBdr>
        </w:div>
      </w:divsChild>
    </w:div>
    <w:div w:id="1618101233">
      <w:bodyDiv w:val="1"/>
      <w:marLeft w:val="0"/>
      <w:marRight w:val="0"/>
      <w:marTop w:val="0"/>
      <w:marBottom w:val="0"/>
      <w:divBdr>
        <w:top w:val="none" w:sz="0" w:space="0" w:color="auto"/>
        <w:left w:val="none" w:sz="0" w:space="0" w:color="auto"/>
        <w:bottom w:val="none" w:sz="0" w:space="0" w:color="auto"/>
        <w:right w:val="none" w:sz="0" w:space="0" w:color="auto"/>
      </w:divBdr>
    </w:div>
    <w:div w:id="1652320318">
      <w:bodyDiv w:val="1"/>
      <w:marLeft w:val="0"/>
      <w:marRight w:val="0"/>
      <w:marTop w:val="0"/>
      <w:marBottom w:val="0"/>
      <w:divBdr>
        <w:top w:val="none" w:sz="0" w:space="0" w:color="auto"/>
        <w:left w:val="none" w:sz="0" w:space="0" w:color="auto"/>
        <w:bottom w:val="none" w:sz="0" w:space="0" w:color="auto"/>
        <w:right w:val="none" w:sz="0" w:space="0" w:color="auto"/>
      </w:divBdr>
      <w:divsChild>
        <w:div w:id="36590442">
          <w:marLeft w:val="-225"/>
          <w:marRight w:val="-225"/>
          <w:marTop w:val="0"/>
          <w:marBottom w:val="0"/>
          <w:divBdr>
            <w:top w:val="none" w:sz="0" w:space="0" w:color="auto"/>
            <w:left w:val="none" w:sz="0" w:space="0" w:color="auto"/>
            <w:bottom w:val="none" w:sz="0" w:space="0" w:color="auto"/>
            <w:right w:val="none" w:sz="0" w:space="0" w:color="auto"/>
          </w:divBdr>
        </w:div>
        <w:div w:id="642736934">
          <w:marLeft w:val="-225"/>
          <w:marRight w:val="-225"/>
          <w:marTop w:val="0"/>
          <w:marBottom w:val="0"/>
          <w:divBdr>
            <w:top w:val="none" w:sz="0" w:space="0" w:color="auto"/>
            <w:left w:val="none" w:sz="0" w:space="0" w:color="auto"/>
            <w:bottom w:val="none" w:sz="0" w:space="0" w:color="auto"/>
            <w:right w:val="none" w:sz="0" w:space="0" w:color="auto"/>
          </w:divBdr>
        </w:div>
        <w:div w:id="877014356">
          <w:marLeft w:val="-225"/>
          <w:marRight w:val="-225"/>
          <w:marTop w:val="0"/>
          <w:marBottom w:val="0"/>
          <w:divBdr>
            <w:top w:val="none" w:sz="0" w:space="0" w:color="auto"/>
            <w:left w:val="none" w:sz="0" w:space="0" w:color="auto"/>
            <w:bottom w:val="none" w:sz="0" w:space="0" w:color="auto"/>
            <w:right w:val="none" w:sz="0" w:space="0" w:color="auto"/>
          </w:divBdr>
        </w:div>
        <w:div w:id="1182011913">
          <w:marLeft w:val="-225"/>
          <w:marRight w:val="-225"/>
          <w:marTop w:val="0"/>
          <w:marBottom w:val="0"/>
          <w:divBdr>
            <w:top w:val="none" w:sz="0" w:space="0" w:color="auto"/>
            <w:left w:val="none" w:sz="0" w:space="0" w:color="auto"/>
            <w:bottom w:val="none" w:sz="0" w:space="0" w:color="auto"/>
            <w:right w:val="none" w:sz="0" w:space="0" w:color="auto"/>
          </w:divBdr>
          <w:divsChild>
            <w:div w:id="1022852380">
              <w:marLeft w:val="75"/>
              <w:marRight w:val="0"/>
              <w:marTop w:val="0"/>
              <w:marBottom w:val="0"/>
              <w:divBdr>
                <w:top w:val="none" w:sz="0" w:space="0" w:color="auto"/>
                <w:left w:val="none" w:sz="0" w:space="0" w:color="auto"/>
                <w:bottom w:val="none" w:sz="0" w:space="0" w:color="auto"/>
                <w:right w:val="none" w:sz="0" w:space="0" w:color="auto"/>
              </w:divBdr>
              <w:divsChild>
                <w:div w:id="411316281">
                  <w:marLeft w:val="0"/>
                  <w:marRight w:val="0"/>
                  <w:marTop w:val="0"/>
                  <w:marBottom w:val="0"/>
                  <w:divBdr>
                    <w:top w:val="none" w:sz="0" w:space="0" w:color="auto"/>
                    <w:left w:val="none" w:sz="0" w:space="0" w:color="auto"/>
                    <w:bottom w:val="none" w:sz="0" w:space="0" w:color="auto"/>
                    <w:right w:val="none" w:sz="0" w:space="0" w:color="auto"/>
                  </w:divBdr>
                </w:div>
                <w:div w:id="5710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8445">
          <w:marLeft w:val="-225"/>
          <w:marRight w:val="-225"/>
          <w:marTop w:val="0"/>
          <w:marBottom w:val="0"/>
          <w:divBdr>
            <w:top w:val="none" w:sz="0" w:space="0" w:color="auto"/>
            <w:left w:val="none" w:sz="0" w:space="0" w:color="auto"/>
            <w:bottom w:val="none" w:sz="0" w:space="0" w:color="auto"/>
            <w:right w:val="none" w:sz="0" w:space="0" w:color="auto"/>
          </w:divBdr>
        </w:div>
        <w:div w:id="1620335367">
          <w:marLeft w:val="-225"/>
          <w:marRight w:val="-225"/>
          <w:marTop w:val="0"/>
          <w:marBottom w:val="0"/>
          <w:divBdr>
            <w:top w:val="none" w:sz="0" w:space="0" w:color="auto"/>
            <w:left w:val="none" w:sz="0" w:space="0" w:color="auto"/>
            <w:bottom w:val="none" w:sz="0" w:space="0" w:color="auto"/>
            <w:right w:val="none" w:sz="0" w:space="0" w:color="auto"/>
          </w:divBdr>
        </w:div>
        <w:div w:id="1784838952">
          <w:marLeft w:val="-225"/>
          <w:marRight w:val="-225"/>
          <w:marTop w:val="0"/>
          <w:marBottom w:val="0"/>
          <w:divBdr>
            <w:top w:val="none" w:sz="0" w:space="0" w:color="auto"/>
            <w:left w:val="none" w:sz="0" w:space="0" w:color="auto"/>
            <w:bottom w:val="none" w:sz="0" w:space="0" w:color="auto"/>
            <w:right w:val="none" w:sz="0" w:space="0" w:color="auto"/>
          </w:divBdr>
        </w:div>
      </w:divsChild>
    </w:div>
    <w:div w:id="1661082682">
      <w:bodyDiv w:val="1"/>
      <w:marLeft w:val="0"/>
      <w:marRight w:val="0"/>
      <w:marTop w:val="0"/>
      <w:marBottom w:val="0"/>
      <w:divBdr>
        <w:top w:val="none" w:sz="0" w:space="0" w:color="auto"/>
        <w:left w:val="none" w:sz="0" w:space="0" w:color="auto"/>
        <w:bottom w:val="none" w:sz="0" w:space="0" w:color="auto"/>
        <w:right w:val="none" w:sz="0" w:space="0" w:color="auto"/>
      </w:divBdr>
      <w:divsChild>
        <w:div w:id="407465651">
          <w:marLeft w:val="-225"/>
          <w:marRight w:val="-225"/>
          <w:marTop w:val="0"/>
          <w:marBottom w:val="0"/>
          <w:divBdr>
            <w:top w:val="none" w:sz="0" w:space="0" w:color="auto"/>
            <w:left w:val="none" w:sz="0" w:space="0" w:color="auto"/>
            <w:bottom w:val="none" w:sz="0" w:space="0" w:color="auto"/>
            <w:right w:val="none" w:sz="0" w:space="0" w:color="auto"/>
          </w:divBdr>
        </w:div>
        <w:div w:id="1486505363">
          <w:marLeft w:val="-225"/>
          <w:marRight w:val="-225"/>
          <w:marTop w:val="0"/>
          <w:marBottom w:val="0"/>
          <w:divBdr>
            <w:top w:val="none" w:sz="0" w:space="0" w:color="auto"/>
            <w:left w:val="none" w:sz="0" w:space="0" w:color="auto"/>
            <w:bottom w:val="none" w:sz="0" w:space="0" w:color="auto"/>
            <w:right w:val="none" w:sz="0" w:space="0" w:color="auto"/>
          </w:divBdr>
          <w:divsChild>
            <w:div w:id="1920824607">
              <w:marLeft w:val="75"/>
              <w:marRight w:val="0"/>
              <w:marTop w:val="0"/>
              <w:marBottom w:val="0"/>
              <w:divBdr>
                <w:top w:val="none" w:sz="0" w:space="0" w:color="auto"/>
                <w:left w:val="none" w:sz="0" w:space="0" w:color="auto"/>
                <w:bottom w:val="none" w:sz="0" w:space="0" w:color="auto"/>
                <w:right w:val="none" w:sz="0" w:space="0" w:color="auto"/>
              </w:divBdr>
              <w:divsChild>
                <w:div w:id="59986104">
                  <w:marLeft w:val="0"/>
                  <w:marRight w:val="0"/>
                  <w:marTop w:val="0"/>
                  <w:marBottom w:val="0"/>
                  <w:divBdr>
                    <w:top w:val="single" w:sz="18" w:space="0" w:color="484848"/>
                    <w:left w:val="single" w:sz="18" w:space="0" w:color="484848"/>
                    <w:bottom w:val="single" w:sz="18" w:space="0" w:color="484848"/>
                    <w:right w:val="single" w:sz="18" w:space="0" w:color="484848"/>
                  </w:divBdr>
                </w:div>
                <w:div w:id="1113134822">
                  <w:marLeft w:val="0"/>
                  <w:marRight w:val="0"/>
                  <w:marTop w:val="0"/>
                  <w:marBottom w:val="0"/>
                  <w:divBdr>
                    <w:top w:val="none" w:sz="0" w:space="0" w:color="auto"/>
                    <w:left w:val="none" w:sz="0" w:space="0" w:color="auto"/>
                    <w:bottom w:val="none" w:sz="0" w:space="0" w:color="auto"/>
                    <w:right w:val="none" w:sz="0" w:space="0" w:color="auto"/>
                  </w:divBdr>
                </w:div>
                <w:div w:id="203692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84933">
          <w:marLeft w:val="-225"/>
          <w:marRight w:val="-225"/>
          <w:marTop w:val="0"/>
          <w:marBottom w:val="0"/>
          <w:divBdr>
            <w:top w:val="none" w:sz="0" w:space="0" w:color="auto"/>
            <w:left w:val="none" w:sz="0" w:space="0" w:color="auto"/>
            <w:bottom w:val="none" w:sz="0" w:space="0" w:color="auto"/>
            <w:right w:val="none" w:sz="0" w:space="0" w:color="auto"/>
          </w:divBdr>
        </w:div>
        <w:div w:id="2072460757">
          <w:marLeft w:val="-225"/>
          <w:marRight w:val="-225"/>
          <w:marTop w:val="0"/>
          <w:marBottom w:val="0"/>
          <w:divBdr>
            <w:top w:val="none" w:sz="0" w:space="0" w:color="auto"/>
            <w:left w:val="none" w:sz="0" w:space="0" w:color="auto"/>
            <w:bottom w:val="none" w:sz="0" w:space="0" w:color="auto"/>
            <w:right w:val="none" w:sz="0" w:space="0" w:color="auto"/>
          </w:divBdr>
        </w:div>
        <w:div w:id="707998691">
          <w:marLeft w:val="-225"/>
          <w:marRight w:val="-225"/>
          <w:marTop w:val="0"/>
          <w:marBottom w:val="0"/>
          <w:divBdr>
            <w:top w:val="none" w:sz="0" w:space="0" w:color="auto"/>
            <w:left w:val="none" w:sz="0" w:space="0" w:color="auto"/>
            <w:bottom w:val="none" w:sz="0" w:space="0" w:color="auto"/>
            <w:right w:val="none" w:sz="0" w:space="0" w:color="auto"/>
          </w:divBdr>
        </w:div>
        <w:div w:id="779490434">
          <w:marLeft w:val="-225"/>
          <w:marRight w:val="-225"/>
          <w:marTop w:val="0"/>
          <w:marBottom w:val="0"/>
          <w:divBdr>
            <w:top w:val="none" w:sz="0" w:space="0" w:color="auto"/>
            <w:left w:val="none" w:sz="0" w:space="0" w:color="auto"/>
            <w:bottom w:val="none" w:sz="0" w:space="0" w:color="auto"/>
            <w:right w:val="none" w:sz="0" w:space="0" w:color="auto"/>
          </w:divBdr>
        </w:div>
        <w:div w:id="1200583920">
          <w:marLeft w:val="-225"/>
          <w:marRight w:val="-225"/>
          <w:marTop w:val="0"/>
          <w:marBottom w:val="0"/>
          <w:divBdr>
            <w:top w:val="none" w:sz="0" w:space="0" w:color="auto"/>
            <w:left w:val="none" w:sz="0" w:space="0" w:color="auto"/>
            <w:bottom w:val="none" w:sz="0" w:space="0" w:color="auto"/>
            <w:right w:val="none" w:sz="0" w:space="0" w:color="auto"/>
          </w:divBdr>
        </w:div>
        <w:div w:id="1135490756">
          <w:marLeft w:val="-225"/>
          <w:marRight w:val="-225"/>
          <w:marTop w:val="0"/>
          <w:marBottom w:val="0"/>
          <w:divBdr>
            <w:top w:val="none" w:sz="0" w:space="0" w:color="auto"/>
            <w:left w:val="none" w:sz="0" w:space="0" w:color="auto"/>
            <w:bottom w:val="none" w:sz="0" w:space="0" w:color="auto"/>
            <w:right w:val="none" w:sz="0" w:space="0" w:color="auto"/>
          </w:divBdr>
        </w:div>
        <w:div w:id="558789926">
          <w:marLeft w:val="-225"/>
          <w:marRight w:val="-225"/>
          <w:marTop w:val="0"/>
          <w:marBottom w:val="0"/>
          <w:divBdr>
            <w:top w:val="none" w:sz="0" w:space="0" w:color="auto"/>
            <w:left w:val="none" w:sz="0" w:space="0" w:color="auto"/>
            <w:bottom w:val="none" w:sz="0" w:space="0" w:color="auto"/>
            <w:right w:val="none" w:sz="0" w:space="0" w:color="auto"/>
          </w:divBdr>
        </w:div>
        <w:div w:id="1687637905">
          <w:marLeft w:val="-225"/>
          <w:marRight w:val="-225"/>
          <w:marTop w:val="0"/>
          <w:marBottom w:val="0"/>
          <w:divBdr>
            <w:top w:val="none" w:sz="0" w:space="0" w:color="auto"/>
            <w:left w:val="none" w:sz="0" w:space="0" w:color="auto"/>
            <w:bottom w:val="none" w:sz="0" w:space="0" w:color="auto"/>
            <w:right w:val="none" w:sz="0" w:space="0" w:color="auto"/>
          </w:divBdr>
        </w:div>
        <w:div w:id="359431759">
          <w:marLeft w:val="-225"/>
          <w:marRight w:val="-225"/>
          <w:marTop w:val="0"/>
          <w:marBottom w:val="0"/>
          <w:divBdr>
            <w:top w:val="none" w:sz="0" w:space="0" w:color="auto"/>
            <w:left w:val="none" w:sz="0" w:space="0" w:color="auto"/>
            <w:bottom w:val="none" w:sz="0" w:space="0" w:color="auto"/>
            <w:right w:val="none" w:sz="0" w:space="0" w:color="auto"/>
          </w:divBdr>
        </w:div>
        <w:div w:id="1512644774">
          <w:marLeft w:val="-225"/>
          <w:marRight w:val="-225"/>
          <w:marTop w:val="0"/>
          <w:marBottom w:val="0"/>
          <w:divBdr>
            <w:top w:val="none" w:sz="0" w:space="0" w:color="auto"/>
            <w:left w:val="none" w:sz="0" w:space="0" w:color="auto"/>
            <w:bottom w:val="none" w:sz="0" w:space="0" w:color="auto"/>
            <w:right w:val="none" w:sz="0" w:space="0" w:color="auto"/>
          </w:divBdr>
        </w:div>
        <w:div w:id="197593999">
          <w:marLeft w:val="-225"/>
          <w:marRight w:val="-225"/>
          <w:marTop w:val="0"/>
          <w:marBottom w:val="0"/>
          <w:divBdr>
            <w:top w:val="none" w:sz="0" w:space="0" w:color="auto"/>
            <w:left w:val="none" w:sz="0" w:space="0" w:color="auto"/>
            <w:bottom w:val="none" w:sz="0" w:space="0" w:color="auto"/>
            <w:right w:val="none" w:sz="0" w:space="0" w:color="auto"/>
          </w:divBdr>
        </w:div>
        <w:div w:id="2026051289">
          <w:marLeft w:val="-225"/>
          <w:marRight w:val="-225"/>
          <w:marTop w:val="0"/>
          <w:marBottom w:val="0"/>
          <w:divBdr>
            <w:top w:val="none" w:sz="0" w:space="0" w:color="auto"/>
            <w:left w:val="none" w:sz="0" w:space="0" w:color="auto"/>
            <w:bottom w:val="none" w:sz="0" w:space="0" w:color="auto"/>
            <w:right w:val="none" w:sz="0" w:space="0" w:color="auto"/>
          </w:divBdr>
        </w:div>
        <w:div w:id="284429305">
          <w:marLeft w:val="-225"/>
          <w:marRight w:val="-225"/>
          <w:marTop w:val="0"/>
          <w:marBottom w:val="0"/>
          <w:divBdr>
            <w:top w:val="none" w:sz="0" w:space="0" w:color="auto"/>
            <w:left w:val="none" w:sz="0" w:space="0" w:color="auto"/>
            <w:bottom w:val="none" w:sz="0" w:space="0" w:color="auto"/>
            <w:right w:val="none" w:sz="0" w:space="0" w:color="auto"/>
          </w:divBdr>
        </w:div>
        <w:div w:id="1416778358">
          <w:marLeft w:val="-225"/>
          <w:marRight w:val="-225"/>
          <w:marTop w:val="0"/>
          <w:marBottom w:val="0"/>
          <w:divBdr>
            <w:top w:val="none" w:sz="0" w:space="0" w:color="auto"/>
            <w:left w:val="none" w:sz="0" w:space="0" w:color="auto"/>
            <w:bottom w:val="none" w:sz="0" w:space="0" w:color="auto"/>
            <w:right w:val="none" w:sz="0" w:space="0" w:color="auto"/>
          </w:divBdr>
        </w:div>
        <w:div w:id="292252440">
          <w:marLeft w:val="-225"/>
          <w:marRight w:val="-225"/>
          <w:marTop w:val="0"/>
          <w:marBottom w:val="0"/>
          <w:divBdr>
            <w:top w:val="none" w:sz="0" w:space="0" w:color="auto"/>
            <w:left w:val="none" w:sz="0" w:space="0" w:color="auto"/>
            <w:bottom w:val="none" w:sz="0" w:space="0" w:color="auto"/>
            <w:right w:val="none" w:sz="0" w:space="0" w:color="auto"/>
          </w:divBdr>
        </w:div>
        <w:div w:id="361444550">
          <w:marLeft w:val="-225"/>
          <w:marRight w:val="-225"/>
          <w:marTop w:val="0"/>
          <w:marBottom w:val="0"/>
          <w:divBdr>
            <w:top w:val="none" w:sz="0" w:space="0" w:color="auto"/>
            <w:left w:val="none" w:sz="0" w:space="0" w:color="auto"/>
            <w:bottom w:val="none" w:sz="0" w:space="0" w:color="auto"/>
            <w:right w:val="none" w:sz="0" w:space="0" w:color="auto"/>
          </w:divBdr>
        </w:div>
        <w:div w:id="899092551">
          <w:marLeft w:val="-225"/>
          <w:marRight w:val="-225"/>
          <w:marTop w:val="0"/>
          <w:marBottom w:val="0"/>
          <w:divBdr>
            <w:top w:val="none" w:sz="0" w:space="0" w:color="auto"/>
            <w:left w:val="none" w:sz="0" w:space="0" w:color="auto"/>
            <w:bottom w:val="none" w:sz="0" w:space="0" w:color="auto"/>
            <w:right w:val="none" w:sz="0" w:space="0" w:color="auto"/>
          </w:divBdr>
        </w:div>
        <w:div w:id="128714838">
          <w:marLeft w:val="-225"/>
          <w:marRight w:val="-225"/>
          <w:marTop w:val="0"/>
          <w:marBottom w:val="0"/>
          <w:divBdr>
            <w:top w:val="none" w:sz="0" w:space="0" w:color="auto"/>
            <w:left w:val="none" w:sz="0" w:space="0" w:color="auto"/>
            <w:bottom w:val="none" w:sz="0" w:space="0" w:color="auto"/>
            <w:right w:val="none" w:sz="0" w:space="0" w:color="auto"/>
          </w:divBdr>
        </w:div>
      </w:divsChild>
    </w:div>
    <w:div w:id="1695308928">
      <w:bodyDiv w:val="1"/>
      <w:marLeft w:val="0"/>
      <w:marRight w:val="0"/>
      <w:marTop w:val="0"/>
      <w:marBottom w:val="0"/>
      <w:divBdr>
        <w:top w:val="none" w:sz="0" w:space="0" w:color="auto"/>
        <w:left w:val="none" w:sz="0" w:space="0" w:color="auto"/>
        <w:bottom w:val="none" w:sz="0" w:space="0" w:color="auto"/>
        <w:right w:val="none" w:sz="0" w:space="0" w:color="auto"/>
      </w:divBdr>
    </w:div>
    <w:div w:id="1696349030">
      <w:bodyDiv w:val="1"/>
      <w:marLeft w:val="0"/>
      <w:marRight w:val="0"/>
      <w:marTop w:val="0"/>
      <w:marBottom w:val="0"/>
      <w:divBdr>
        <w:top w:val="none" w:sz="0" w:space="0" w:color="auto"/>
        <w:left w:val="none" w:sz="0" w:space="0" w:color="auto"/>
        <w:bottom w:val="none" w:sz="0" w:space="0" w:color="auto"/>
        <w:right w:val="none" w:sz="0" w:space="0" w:color="auto"/>
      </w:divBdr>
    </w:div>
    <w:div w:id="1727141762">
      <w:bodyDiv w:val="1"/>
      <w:marLeft w:val="0"/>
      <w:marRight w:val="0"/>
      <w:marTop w:val="0"/>
      <w:marBottom w:val="0"/>
      <w:divBdr>
        <w:top w:val="none" w:sz="0" w:space="0" w:color="auto"/>
        <w:left w:val="none" w:sz="0" w:space="0" w:color="auto"/>
        <w:bottom w:val="none" w:sz="0" w:space="0" w:color="auto"/>
        <w:right w:val="none" w:sz="0" w:space="0" w:color="auto"/>
      </w:divBdr>
      <w:divsChild>
        <w:div w:id="605618765">
          <w:marLeft w:val="0"/>
          <w:marRight w:val="0"/>
          <w:marTop w:val="0"/>
          <w:marBottom w:val="0"/>
          <w:divBdr>
            <w:top w:val="none" w:sz="0" w:space="0" w:color="auto"/>
            <w:left w:val="none" w:sz="0" w:space="0" w:color="auto"/>
            <w:bottom w:val="none" w:sz="0" w:space="0" w:color="auto"/>
            <w:right w:val="none" w:sz="0" w:space="0" w:color="auto"/>
          </w:divBdr>
        </w:div>
        <w:div w:id="1098212942">
          <w:marLeft w:val="0"/>
          <w:marRight w:val="0"/>
          <w:marTop w:val="0"/>
          <w:marBottom w:val="0"/>
          <w:divBdr>
            <w:top w:val="none" w:sz="0" w:space="0" w:color="auto"/>
            <w:left w:val="none" w:sz="0" w:space="0" w:color="auto"/>
            <w:bottom w:val="none" w:sz="0" w:space="0" w:color="auto"/>
            <w:right w:val="none" w:sz="0" w:space="0" w:color="auto"/>
          </w:divBdr>
        </w:div>
      </w:divsChild>
    </w:div>
    <w:div w:id="1758941223">
      <w:bodyDiv w:val="1"/>
      <w:marLeft w:val="0"/>
      <w:marRight w:val="0"/>
      <w:marTop w:val="0"/>
      <w:marBottom w:val="0"/>
      <w:divBdr>
        <w:top w:val="none" w:sz="0" w:space="0" w:color="auto"/>
        <w:left w:val="none" w:sz="0" w:space="0" w:color="auto"/>
        <w:bottom w:val="none" w:sz="0" w:space="0" w:color="auto"/>
        <w:right w:val="none" w:sz="0" w:space="0" w:color="auto"/>
      </w:divBdr>
      <w:divsChild>
        <w:div w:id="2112822264">
          <w:marLeft w:val="-225"/>
          <w:marRight w:val="-225"/>
          <w:marTop w:val="0"/>
          <w:marBottom w:val="0"/>
          <w:divBdr>
            <w:top w:val="none" w:sz="0" w:space="0" w:color="auto"/>
            <w:left w:val="none" w:sz="0" w:space="0" w:color="auto"/>
            <w:bottom w:val="none" w:sz="0" w:space="0" w:color="auto"/>
            <w:right w:val="none" w:sz="0" w:space="0" w:color="auto"/>
          </w:divBdr>
        </w:div>
        <w:div w:id="1500123732">
          <w:marLeft w:val="-225"/>
          <w:marRight w:val="-225"/>
          <w:marTop w:val="0"/>
          <w:marBottom w:val="0"/>
          <w:divBdr>
            <w:top w:val="none" w:sz="0" w:space="0" w:color="auto"/>
            <w:left w:val="none" w:sz="0" w:space="0" w:color="auto"/>
            <w:bottom w:val="none" w:sz="0" w:space="0" w:color="auto"/>
            <w:right w:val="none" w:sz="0" w:space="0" w:color="auto"/>
          </w:divBdr>
          <w:divsChild>
            <w:div w:id="1888682427">
              <w:marLeft w:val="75"/>
              <w:marRight w:val="0"/>
              <w:marTop w:val="0"/>
              <w:marBottom w:val="0"/>
              <w:divBdr>
                <w:top w:val="none" w:sz="0" w:space="0" w:color="auto"/>
                <w:left w:val="none" w:sz="0" w:space="0" w:color="auto"/>
                <w:bottom w:val="none" w:sz="0" w:space="0" w:color="auto"/>
                <w:right w:val="none" w:sz="0" w:space="0" w:color="auto"/>
              </w:divBdr>
              <w:divsChild>
                <w:div w:id="195506616">
                  <w:marLeft w:val="0"/>
                  <w:marRight w:val="0"/>
                  <w:marTop w:val="0"/>
                  <w:marBottom w:val="0"/>
                  <w:divBdr>
                    <w:top w:val="single" w:sz="18" w:space="0" w:color="484848"/>
                    <w:left w:val="single" w:sz="18" w:space="0" w:color="484848"/>
                    <w:bottom w:val="single" w:sz="18" w:space="0" w:color="484848"/>
                    <w:right w:val="single" w:sz="18" w:space="0" w:color="484848"/>
                  </w:divBdr>
                </w:div>
                <w:div w:id="1683312944">
                  <w:marLeft w:val="0"/>
                  <w:marRight w:val="0"/>
                  <w:marTop w:val="0"/>
                  <w:marBottom w:val="0"/>
                  <w:divBdr>
                    <w:top w:val="none" w:sz="0" w:space="0" w:color="auto"/>
                    <w:left w:val="none" w:sz="0" w:space="0" w:color="auto"/>
                    <w:bottom w:val="none" w:sz="0" w:space="0" w:color="auto"/>
                    <w:right w:val="none" w:sz="0" w:space="0" w:color="auto"/>
                  </w:divBdr>
                </w:div>
                <w:div w:id="114820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57537">
          <w:marLeft w:val="-225"/>
          <w:marRight w:val="-225"/>
          <w:marTop w:val="0"/>
          <w:marBottom w:val="0"/>
          <w:divBdr>
            <w:top w:val="none" w:sz="0" w:space="0" w:color="auto"/>
            <w:left w:val="none" w:sz="0" w:space="0" w:color="auto"/>
            <w:bottom w:val="none" w:sz="0" w:space="0" w:color="auto"/>
            <w:right w:val="none" w:sz="0" w:space="0" w:color="auto"/>
          </w:divBdr>
        </w:div>
        <w:div w:id="1248341393">
          <w:marLeft w:val="-225"/>
          <w:marRight w:val="-225"/>
          <w:marTop w:val="0"/>
          <w:marBottom w:val="0"/>
          <w:divBdr>
            <w:top w:val="none" w:sz="0" w:space="0" w:color="auto"/>
            <w:left w:val="none" w:sz="0" w:space="0" w:color="auto"/>
            <w:bottom w:val="none" w:sz="0" w:space="0" w:color="auto"/>
            <w:right w:val="none" w:sz="0" w:space="0" w:color="auto"/>
          </w:divBdr>
        </w:div>
        <w:div w:id="398797062">
          <w:marLeft w:val="-225"/>
          <w:marRight w:val="-225"/>
          <w:marTop w:val="0"/>
          <w:marBottom w:val="0"/>
          <w:divBdr>
            <w:top w:val="none" w:sz="0" w:space="0" w:color="auto"/>
            <w:left w:val="none" w:sz="0" w:space="0" w:color="auto"/>
            <w:bottom w:val="none" w:sz="0" w:space="0" w:color="auto"/>
            <w:right w:val="none" w:sz="0" w:space="0" w:color="auto"/>
          </w:divBdr>
        </w:div>
        <w:div w:id="1791973730">
          <w:marLeft w:val="-225"/>
          <w:marRight w:val="-225"/>
          <w:marTop w:val="0"/>
          <w:marBottom w:val="0"/>
          <w:divBdr>
            <w:top w:val="none" w:sz="0" w:space="0" w:color="auto"/>
            <w:left w:val="none" w:sz="0" w:space="0" w:color="auto"/>
            <w:bottom w:val="none" w:sz="0" w:space="0" w:color="auto"/>
            <w:right w:val="none" w:sz="0" w:space="0" w:color="auto"/>
          </w:divBdr>
        </w:div>
        <w:div w:id="460808198">
          <w:marLeft w:val="-225"/>
          <w:marRight w:val="-225"/>
          <w:marTop w:val="0"/>
          <w:marBottom w:val="0"/>
          <w:divBdr>
            <w:top w:val="none" w:sz="0" w:space="0" w:color="auto"/>
            <w:left w:val="none" w:sz="0" w:space="0" w:color="auto"/>
            <w:bottom w:val="none" w:sz="0" w:space="0" w:color="auto"/>
            <w:right w:val="none" w:sz="0" w:space="0" w:color="auto"/>
          </w:divBdr>
        </w:div>
        <w:div w:id="2053840552">
          <w:marLeft w:val="-225"/>
          <w:marRight w:val="-225"/>
          <w:marTop w:val="0"/>
          <w:marBottom w:val="0"/>
          <w:divBdr>
            <w:top w:val="none" w:sz="0" w:space="0" w:color="auto"/>
            <w:left w:val="none" w:sz="0" w:space="0" w:color="auto"/>
            <w:bottom w:val="none" w:sz="0" w:space="0" w:color="auto"/>
            <w:right w:val="none" w:sz="0" w:space="0" w:color="auto"/>
          </w:divBdr>
        </w:div>
        <w:div w:id="491525050">
          <w:marLeft w:val="-225"/>
          <w:marRight w:val="-225"/>
          <w:marTop w:val="0"/>
          <w:marBottom w:val="0"/>
          <w:divBdr>
            <w:top w:val="none" w:sz="0" w:space="0" w:color="auto"/>
            <w:left w:val="none" w:sz="0" w:space="0" w:color="auto"/>
            <w:bottom w:val="none" w:sz="0" w:space="0" w:color="auto"/>
            <w:right w:val="none" w:sz="0" w:space="0" w:color="auto"/>
          </w:divBdr>
        </w:div>
        <w:div w:id="1104879457">
          <w:marLeft w:val="-225"/>
          <w:marRight w:val="-225"/>
          <w:marTop w:val="0"/>
          <w:marBottom w:val="0"/>
          <w:divBdr>
            <w:top w:val="none" w:sz="0" w:space="0" w:color="auto"/>
            <w:left w:val="none" w:sz="0" w:space="0" w:color="auto"/>
            <w:bottom w:val="none" w:sz="0" w:space="0" w:color="auto"/>
            <w:right w:val="none" w:sz="0" w:space="0" w:color="auto"/>
          </w:divBdr>
        </w:div>
        <w:div w:id="1525244121">
          <w:marLeft w:val="-225"/>
          <w:marRight w:val="-225"/>
          <w:marTop w:val="0"/>
          <w:marBottom w:val="0"/>
          <w:divBdr>
            <w:top w:val="none" w:sz="0" w:space="0" w:color="auto"/>
            <w:left w:val="none" w:sz="0" w:space="0" w:color="auto"/>
            <w:bottom w:val="none" w:sz="0" w:space="0" w:color="auto"/>
            <w:right w:val="none" w:sz="0" w:space="0" w:color="auto"/>
          </w:divBdr>
        </w:div>
        <w:div w:id="281503793">
          <w:marLeft w:val="-225"/>
          <w:marRight w:val="-225"/>
          <w:marTop w:val="0"/>
          <w:marBottom w:val="0"/>
          <w:divBdr>
            <w:top w:val="none" w:sz="0" w:space="0" w:color="auto"/>
            <w:left w:val="none" w:sz="0" w:space="0" w:color="auto"/>
            <w:bottom w:val="none" w:sz="0" w:space="0" w:color="auto"/>
            <w:right w:val="none" w:sz="0" w:space="0" w:color="auto"/>
          </w:divBdr>
        </w:div>
        <w:div w:id="1312557228">
          <w:marLeft w:val="-225"/>
          <w:marRight w:val="-225"/>
          <w:marTop w:val="0"/>
          <w:marBottom w:val="0"/>
          <w:divBdr>
            <w:top w:val="none" w:sz="0" w:space="0" w:color="auto"/>
            <w:left w:val="none" w:sz="0" w:space="0" w:color="auto"/>
            <w:bottom w:val="none" w:sz="0" w:space="0" w:color="auto"/>
            <w:right w:val="none" w:sz="0" w:space="0" w:color="auto"/>
          </w:divBdr>
        </w:div>
        <w:div w:id="951980050">
          <w:marLeft w:val="-225"/>
          <w:marRight w:val="-225"/>
          <w:marTop w:val="0"/>
          <w:marBottom w:val="0"/>
          <w:divBdr>
            <w:top w:val="none" w:sz="0" w:space="0" w:color="auto"/>
            <w:left w:val="none" w:sz="0" w:space="0" w:color="auto"/>
            <w:bottom w:val="none" w:sz="0" w:space="0" w:color="auto"/>
            <w:right w:val="none" w:sz="0" w:space="0" w:color="auto"/>
          </w:divBdr>
        </w:div>
        <w:div w:id="44184828">
          <w:marLeft w:val="-225"/>
          <w:marRight w:val="-225"/>
          <w:marTop w:val="0"/>
          <w:marBottom w:val="0"/>
          <w:divBdr>
            <w:top w:val="none" w:sz="0" w:space="0" w:color="auto"/>
            <w:left w:val="none" w:sz="0" w:space="0" w:color="auto"/>
            <w:bottom w:val="none" w:sz="0" w:space="0" w:color="auto"/>
            <w:right w:val="none" w:sz="0" w:space="0" w:color="auto"/>
          </w:divBdr>
        </w:div>
        <w:div w:id="845755645">
          <w:marLeft w:val="-225"/>
          <w:marRight w:val="-225"/>
          <w:marTop w:val="0"/>
          <w:marBottom w:val="0"/>
          <w:divBdr>
            <w:top w:val="none" w:sz="0" w:space="0" w:color="auto"/>
            <w:left w:val="none" w:sz="0" w:space="0" w:color="auto"/>
            <w:bottom w:val="none" w:sz="0" w:space="0" w:color="auto"/>
            <w:right w:val="none" w:sz="0" w:space="0" w:color="auto"/>
          </w:divBdr>
        </w:div>
        <w:div w:id="1533806909">
          <w:marLeft w:val="-225"/>
          <w:marRight w:val="-225"/>
          <w:marTop w:val="0"/>
          <w:marBottom w:val="0"/>
          <w:divBdr>
            <w:top w:val="none" w:sz="0" w:space="0" w:color="auto"/>
            <w:left w:val="none" w:sz="0" w:space="0" w:color="auto"/>
            <w:bottom w:val="none" w:sz="0" w:space="0" w:color="auto"/>
            <w:right w:val="none" w:sz="0" w:space="0" w:color="auto"/>
          </w:divBdr>
        </w:div>
        <w:div w:id="1819223068">
          <w:marLeft w:val="-225"/>
          <w:marRight w:val="-225"/>
          <w:marTop w:val="0"/>
          <w:marBottom w:val="0"/>
          <w:divBdr>
            <w:top w:val="none" w:sz="0" w:space="0" w:color="auto"/>
            <w:left w:val="none" w:sz="0" w:space="0" w:color="auto"/>
            <w:bottom w:val="none" w:sz="0" w:space="0" w:color="auto"/>
            <w:right w:val="none" w:sz="0" w:space="0" w:color="auto"/>
          </w:divBdr>
        </w:div>
      </w:divsChild>
    </w:div>
    <w:div w:id="1782072389">
      <w:bodyDiv w:val="1"/>
      <w:marLeft w:val="0"/>
      <w:marRight w:val="0"/>
      <w:marTop w:val="0"/>
      <w:marBottom w:val="0"/>
      <w:divBdr>
        <w:top w:val="none" w:sz="0" w:space="0" w:color="auto"/>
        <w:left w:val="none" w:sz="0" w:space="0" w:color="auto"/>
        <w:bottom w:val="none" w:sz="0" w:space="0" w:color="auto"/>
        <w:right w:val="none" w:sz="0" w:space="0" w:color="auto"/>
      </w:divBdr>
    </w:div>
    <w:div w:id="1797990738">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225"/>
          <w:marRight w:val="-225"/>
          <w:marTop w:val="0"/>
          <w:marBottom w:val="0"/>
          <w:divBdr>
            <w:top w:val="none" w:sz="0" w:space="0" w:color="auto"/>
            <w:left w:val="none" w:sz="0" w:space="0" w:color="auto"/>
            <w:bottom w:val="none" w:sz="0" w:space="0" w:color="auto"/>
            <w:right w:val="none" w:sz="0" w:space="0" w:color="auto"/>
          </w:divBdr>
        </w:div>
        <w:div w:id="35204417">
          <w:marLeft w:val="-225"/>
          <w:marRight w:val="-225"/>
          <w:marTop w:val="0"/>
          <w:marBottom w:val="0"/>
          <w:divBdr>
            <w:top w:val="none" w:sz="0" w:space="0" w:color="auto"/>
            <w:left w:val="none" w:sz="0" w:space="0" w:color="auto"/>
            <w:bottom w:val="none" w:sz="0" w:space="0" w:color="auto"/>
            <w:right w:val="none" w:sz="0" w:space="0" w:color="auto"/>
          </w:divBdr>
        </w:div>
        <w:div w:id="1024137482">
          <w:marLeft w:val="-225"/>
          <w:marRight w:val="-225"/>
          <w:marTop w:val="0"/>
          <w:marBottom w:val="0"/>
          <w:divBdr>
            <w:top w:val="none" w:sz="0" w:space="0" w:color="auto"/>
            <w:left w:val="none" w:sz="0" w:space="0" w:color="auto"/>
            <w:bottom w:val="none" w:sz="0" w:space="0" w:color="auto"/>
            <w:right w:val="none" w:sz="0" w:space="0" w:color="auto"/>
          </w:divBdr>
        </w:div>
        <w:div w:id="2107532699">
          <w:marLeft w:val="-225"/>
          <w:marRight w:val="-225"/>
          <w:marTop w:val="0"/>
          <w:marBottom w:val="0"/>
          <w:divBdr>
            <w:top w:val="none" w:sz="0" w:space="0" w:color="auto"/>
            <w:left w:val="none" w:sz="0" w:space="0" w:color="auto"/>
            <w:bottom w:val="none" w:sz="0" w:space="0" w:color="auto"/>
            <w:right w:val="none" w:sz="0" w:space="0" w:color="auto"/>
          </w:divBdr>
          <w:divsChild>
            <w:div w:id="2143306867">
              <w:marLeft w:val="75"/>
              <w:marRight w:val="0"/>
              <w:marTop w:val="0"/>
              <w:marBottom w:val="0"/>
              <w:divBdr>
                <w:top w:val="none" w:sz="0" w:space="0" w:color="auto"/>
                <w:left w:val="none" w:sz="0" w:space="0" w:color="auto"/>
                <w:bottom w:val="none" w:sz="0" w:space="0" w:color="auto"/>
                <w:right w:val="none" w:sz="0" w:space="0" w:color="auto"/>
              </w:divBdr>
              <w:divsChild>
                <w:div w:id="406920416">
                  <w:marLeft w:val="0"/>
                  <w:marRight w:val="0"/>
                  <w:marTop w:val="0"/>
                  <w:marBottom w:val="0"/>
                  <w:divBdr>
                    <w:top w:val="single" w:sz="18" w:space="0" w:color="484848"/>
                    <w:left w:val="single" w:sz="18" w:space="0" w:color="484848"/>
                    <w:bottom w:val="single" w:sz="18" w:space="0" w:color="484848"/>
                    <w:right w:val="single" w:sz="18" w:space="0" w:color="484848"/>
                  </w:divBdr>
                </w:div>
                <w:div w:id="1537157443">
                  <w:marLeft w:val="0"/>
                  <w:marRight w:val="0"/>
                  <w:marTop w:val="0"/>
                  <w:marBottom w:val="0"/>
                  <w:divBdr>
                    <w:top w:val="none" w:sz="0" w:space="0" w:color="auto"/>
                    <w:left w:val="none" w:sz="0" w:space="0" w:color="auto"/>
                    <w:bottom w:val="none" w:sz="0" w:space="0" w:color="auto"/>
                    <w:right w:val="none" w:sz="0" w:space="0" w:color="auto"/>
                  </w:divBdr>
                </w:div>
                <w:div w:id="2025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7698">
          <w:marLeft w:val="-225"/>
          <w:marRight w:val="-225"/>
          <w:marTop w:val="0"/>
          <w:marBottom w:val="0"/>
          <w:divBdr>
            <w:top w:val="none" w:sz="0" w:space="0" w:color="auto"/>
            <w:left w:val="none" w:sz="0" w:space="0" w:color="auto"/>
            <w:bottom w:val="none" w:sz="0" w:space="0" w:color="auto"/>
            <w:right w:val="none" w:sz="0" w:space="0" w:color="auto"/>
          </w:divBdr>
        </w:div>
        <w:div w:id="966928698">
          <w:marLeft w:val="-225"/>
          <w:marRight w:val="-225"/>
          <w:marTop w:val="0"/>
          <w:marBottom w:val="0"/>
          <w:divBdr>
            <w:top w:val="none" w:sz="0" w:space="0" w:color="auto"/>
            <w:left w:val="none" w:sz="0" w:space="0" w:color="auto"/>
            <w:bottom w:val="none" w:sz="0" w:space="0" w:color="auto"/>
            <w:right w:val="none" w:sz="0" w:space="0" w:color="auto"/>
          </w:divBdr>
        </w:div>
        <w:div w:id="902524540">
          <w:marLeft w:val="-225"/>
          <w:marRight w:val="-225"/>
          <w:marTop w:val="0"/>
          <w:marBottom w:val="0"/>
          <w:divBdr>
            <w:top w:val="none" w:sz="0" w:space="0" w:color="auto"/>
            <w:left w:val="none" w:sz="0" w:space="0" w:color="auto"/>
            <w:bottom w:val="none" w:sz="0" w:space="0" w:color="auto"/>
            <w:right w:val="none" w:sz="0" w:space="0" w:color="auto"/>
          </w:divBdr>
        </w:div>
        <w:div w:id="933199758">
          <w:marLeft w:val="-225"/>
          <w:marRight w:val="-225"/>
          <w:marTop w:val="0"/>
          <w:marBottom w:val="0"/>
          <w:divBdr>
            <w:top w:val="none" w:sz="0" w:space="0" w:color="auto"/>
            <w:left w:val="none" w:sz="0" w:space="0" w:color="auto"/>
            <w:bottom w:val="none" w:sz="0" w:space="0" w:color="auto"/>
            <w:right w:val="none" w:sz="0" w:space="0" w:color="auto"/>
          </w:divBdr>
        </w:div>
        <w:div w:id="381097720">
          <w:marLeft w:val="-225"/>
          <w:marRight w:val="-225"/>
          <w:marTop w:val="0"/>
          <w:marBottom w:val="0"/>
          <w:divBdr>
            <w:top w:val="none" w:sz="0" w:space="0" w:color="auto"/>
            <w:left w:val="none" w:sz="0" w:space="0" w:color="auto"/>
            <w:bottom w:val="none" w:sz="0" w:space="0" w:color="auto"/>
            <w:right w:val="none" w:sz="0" w:space="0" w:color="auto"/>
          </w:divBdr>
        </w:div>
        <w:div w:id="1063676697">
          <w:marLeft w:val="-225"/>
          <w:marRight w:val="-225"/>
          <w:marTop w:val="0"/>
          <w:marBottom w:val="0"/>
          <w:divBdr>
            <w:top w:val="none" w:sz="0" w:space="0" w:color="auto"/>
            <w:left w:val="none" w:sz="0" w:space="0" w:color="auto"/>
            <w:bottom w:val="none" w:sz="0" w:space="0" w:color="auto"/>
            <w:right w:val="none" w:sz="0" w:space="0" w:color="auto"/>
          </w:divBdr>
        </w:div>
        <w:div w:id="860708366">
          <w:marLeft w:val="-225"/>
          <w:marRight w:val="-225"/>
          <w:marTop w:val="0"/>
          <w:marBottom w:val="0"/>
          <w:divBdr>
            <w:top w:val="none" w:sz="0" w:space="0" w:color="auto"/>
            <w:left w:val="none" w:sz="0" w:space="0" w:color="auto"/>
            <w:bottom w:val="none" w:sz="0" w:space="0" w:color="auto"/>
            <w:right w:val="none" w:sz="0" w:space="0" w:color="auto"/>
          </w:divBdr>
        </w:div>
        <w:div w:id="1929117722">
          <w:marLeft w:val="-225"/>
          <w:marRight w:val="-225"/>
          <w:marTop w:val="0"/>
          <w:marBottom w:val="0"/>
          <w:divBdr>
            <w:top w:val="none" w:sz="0" w:space="0" w:color="auto"/>
            <w:left w:val="none" w:sz="0" w:space="0" w:color="auto"/>
            <w:bottom w:val="none" w:sz="0" w:space="0" w:color="auto"/>
            <w:right w:val="none" w:sz="0" w:space="0" w:color="auto"/>
          </w:divBdr>
        </w:div>
        <w:div w:id="1630940458">
          <w:marLeft w:val="-225"/>
          <w:marRight w:val="-225"/>
          <w:marTop w:val="0"/>
          <w:marBottom w:val="0"/>
          <w:divBdr>
            <w:top w:val="none" w:sz="0" w:space="0" w:color="auto"/>
            <w:left w:val="none" w:sz="0" w:space="0" w:color="auto"/>
            <w:bottom w:val="none" w:sz="0" w:space="0" w:color="auto"/>
            <w:right w:val="none" w:sz="0" w:space="0" w:color="auto"/>
          </w:divBdr>
        </w:div>
        <w:div w:id="1121722772">
          <w:marLeft w:val="-225"/>
          <w:marRight w:val="-225"/>
          <w:marTop w:val="0"/>
          <w:marBottom w:val="0"/>
          <w:divBdr>
            <w:top w:val="none" w:sz="0" w:space="0" w:color="auto"/>
            <w:left w:val="none" w:sz="0" w:space="0" w:color="auto"/>
            <w:bottom w:val="none" w:sz="0" w:space="0" w:color="auto"/>
            <w:right w:val="none" w:sz="0" w:space="0" w:color="auto"/>
          </w:divBdr>
        </w:div>
        <w:div w:id="853424207">
          <w:marLeft w:val="-225"/>
          <w:marRight w:val="-225"/>
          <w:marTop w:val="0"/>
          <w:marBottom w:val="0"/>
          <w:divBdr>
            <w:top w:val="none" w:sz="0" w:space="0" w:color="auto"/>
            <w:left w:val="none" w:sz="0" w:space="0" w:color="auto"/>
            <w:bottom w:val="none" w:sz="0" w:space="0" w:color="auto"/>
            <w:right w:val="none" w:sz="0" w:space="0" w:color="auto"/>
          </w:divBdr>
        </w:div>
        <w:div w:id="1120883402">
          <w:marLeft w:val="-225"/>
          <w:marRight w:val="-225"/>
          <w:marTop w:val="0"/>
          <w:marBottom w:val="0"/>
          <w:divBdr>
            <w:top w:val="none" w:sz="0" w:space="0" w:color="auto"/>
            <w:left w:val="none" w:sz="0" w:space="0" w:color="auto"/>
            <w:bottom w:val="none" w:sz="0" w:space="0" w:color="auto"/>
            <w:right w:val="none" w:sz="0" w:space="0" w:color="auto"/>
          </w:divBdr>
        </w:div>
        <w:div w:id="977566040">
          <w:marLeft w:val="-225"/>
          <w:marRight w:val="-225"/>
          <w:marTop w:val="0"/>
          <w:marBottom w:val="0"/>
          <w:divBdr>
            <w:top w:val="none" w:sz="0" w:space="0" w:color="auto"/>
            <w:left w:val="none" w:sz="0" w:space="0" w:color="auto"/>
            <w:bottom w:val="none" w:sz="0" w:space="0" w:color="auto"/>
            <w:right w:val="none" w:sz="0" w:space="0" w:color="auto"/>
          </w:divBdr>
        </w:div>
        <w:div w:id="1661302431">
          <w:marLeft w:val="-225"/>
          <w:marRight w:val="-225"/>
          <w:marTop w:val="0"/>
          <w:marBottom w:val="0"/>
          <w:divBdr>
            <w:top w:val="none" w:sz="0" w:space="0" w:color="auto"/>
            <w:left w:val="none" w:sz="0" w:space="0" w:color="auto"/>
            <w:bottom w:val="none" w:sz="0" w:space="0" w:color="auto"/>
            <w:right w:val="none" w:sz="0" w:space="0" w:color="auto"/>
          </w:divBdr>
        </w:div>
      </w:divsChild>
    </w:div>
    <w:div w:id="1802916853">
      <w:bodyDiv w:val="1"/>
      <w:marLeft w:val="0"/>
      <w:marRight w:val="0"/>
      <w:marTop w:val="0"/>
      <w:marBottom w:val="0"/>
      <w:divBdr>
        <w:top w:val="none" w:sz="0" w:space="0" w:color="auto"/>
        <w:left w:val="none" w:sz="0" w:space="0" w:color="auto"/>
        <w:bottom w:val="none" w:sz="0" w:space="0" w:color="auto"/>
        <w:right w:val="none" w:sz="0" w:space="0" w:color="auto"/>
      </w:divBdr>
      <w:divsChild>
        <w:div w:id="100927646">
          <w:marLeft w:val="0"/>
          <w:marRight w:val="0"/>
          <w:marTop w:val="0"/>
          <w:marBottom w:val="0"/>
          <w:divBdr>
            <w:top w:val="none" w:sz="0" w:space="0" w:color="auto"/>
            <w:left w:val="none" w:sz="0" w:space="0" w:color="auto"/>
            <w:bottom w:val="none" w:sz="0" w:space="0" w:color="auto"/>
            <w:right w:val="none" w:sz="0" w:space="0" w:color="auto"/>
          </w:divBdr>
        </w:div>
        <w:div w:id="218440378">
          <w:marLeft w:val="0"/>
          <w:marRight w:val="0"/>
          <w:marTop w:val="0"/>
          <w:marBottom w:val="0"/>
          <w:divBdr>
            <w:top w:val="none" w:sz="0" w:space="0" w:color="auto"/>
            <w:left w:val="none" w:sz="0" w:space="0" w:color="auto"/>
            <w:bottom w:val="none" w:sz="0" w:space="0" w:color="auto"/>
            <w:right w:val="none" w:sz="0" w:space="0" w:color="auto"/>
          </w:divBdr>
        </w:div>
        <w:div w:id="512912213">
          <w:marLeft w:val="0"/>
          <w:marRight w:val="0"/>
          <w:marTop w:val="0"/>
          <w:marBottom w:val="0"/>
          <w:divBdr>
            <w:top w:val="none" w:sz="0" w:space="0" w:color="auto"/>
            <w:left w:val="none" w:sz="0" w:space="0" w:color="auto"/>
            <w:bottom w:val="none" w:sz="0" w:space="0" w:color="auto"/>
            <w:right w:val="none" w:sz="0" w:space="0" w:color="auto"/>
          </w:divBdr>
        </w:div>
        <w:div w:id="522136573">
          <w:marLeft w:val="0"/>
          <w:marRight w:val="0"/>
          <w:marTop w:val="0"/>
          <w:marBottom w:val="0"/>
          <w:divBdr>
            <w:top w:val="none" w:sz="0" w:space="0" w:color="auto"/>
            <w:left w:val="none" w:sz="0" w:space="0" w:color="auto"/>
            <w:bottom w:val="none" w:sz="0" w:space="0" w:color="auto"/>
            <w:right w:val="none" w:sz="0" w:space="0" w:color="auto"/>
          </w:divBdr>
        </w:div>
        <w:div w:id="534581839">
          <w:marLeft w:val="0"/>
          <w:marRight w:val="0"/>
          <w:marTop w:val="0"/>
          <w:marBottom w:val="0"/>
          <w:divBdr>
            <w:top w:val="none" w:sz="0" w:space="0" w:color="auto"/>
            <w:left w:val="none" w:sz="0" w:space="0" w:color="auto"/>
            <w:bottom w:val="none" w:sz="0" w:space="0" w:color="auto"/>
            <w:right w:val="none" w:sz="0" w:space="0" w:color="auto"/>
          </w:divBdr>
        </w:div>
        <w:div w:id="700935345">
          <w:marLeft w:val="0"/>
          <w:marRight w:val="0"/>
          <w:marTop w:val="0"/>
          <w:marBottom w:val="0"/>
          <w:divBdr>
            <w:top w:val="none" w:sz="0" w:space="0" w:color="auto"/>
            <w:left w:val="none" w:sz="0" w:space="0" w:color="auto"/>
            <w:bottom w:val="none" w:sz="0" w:space="0" w:color="auto"/>
            <w:right w:val="none" w:sz="0" w:space="0" w:color="auto"/>
          </w:divBdr>
        </w:div>
        <w:div w:id="797071917">
          <w:marLeft w:val="0"/>
          <w:marRight w:val="0"/>
          <w:marTop w:val="0"/>
          <w:marBottom w:val="0"/>
          <w:divBdr>
            <w:top w:val="none" w:sz="0" w:space="0" w:color="auto"/>
            <w:left w:val="none" w:sz="0" w:space="0" w:color="auto"/>
            <w:bottom w:val="none" w:sz="0" w:space="0" w:color="auto"/>
            <w:right w:val="none" w:sz="0" w:space="0" w:color="auto"/>
          </w:divBdr>
        </w:div>
        <w:div w:id="917062123">
          <w:marLeft w:val="0"/>
          <w:marRight w:val="0"/>
          <w:marTop w:val="0"/>
          <w:marBottom w:val="0"/>
          <w:divBdr>
            <w:top w:val="none" w:sz="0" w:space="0" w:color="auto"/>
            <w:left w:val="none" w:sz="0" w:space="0" w:color="auto"/>
            <w:bottom w:val="none" w:sz="0" w:space="0" w:color="auto"/>
            <w:right w:val="none" w:sz="0" w:space="0" w:color="auto"/>
          </w:divBdr>
        </w:div>
        <w:div w:id="969434580">
          <w:marLeft w:val="0"/>
          <w:marRight w:val="0"/>
          <w:marTop w:val="0"/>
          <w:marBottom w:val="0"/>
          <w:divBdr>
            <w:top w:val="none" w:sz="0" w:space="0" w:color="auto"/>
            <w:left w:val="none" w:sz="0" w:space="0" w:color="auto"/>
            <w:bottom w:val="none" w:sz="0" w:space="0" w:color="auto"/>
            <w:right w:val="none" w:sz="0" w:space="0" w:color="auto"/>
          </w:divBdr>
        </w:div>
        <w:div w:id="1009718650">
          <w:marLeft w:val="0"/>
          <w:marRight w:val="0"/>
          <w:marTop w:val="0"/>
          <w:marBottom w:val="0"/>
          <w:divBdr>
            <w:top w:val="none" w:sz="0" w:space="0" w:color="auto"/>
            <w:left w:val="none" w:sz="0" w:space="0" w:color="auto"/>
            <w:bottom w:val="none" w:sz="0" w:space="0" w:color="auto"/>
            <w:right w:val="none" w:sz="0" w:space="0" w:color="auto"/>
          </w:divBdr>
        </w:div>
        <w:div w:id="1433357764">
          <w:marLeft w:val="0"/>
          <w:marRight w:val="0"/>
          <w:marTop w:val="0"/>
          <w:marBottom w:val="0"/>
          <w:divBdr>
            <w:top w:val="none" w:sz="0" w:space="0" w:color="auto"/>
            <w:left w:val="none" w:sz="0" w:space="0" w:color="auto"/>
            <w:bottom w:val="none" w:sz="0" w:space="0" w:color="auto"/>
            <w:right w:val="none" w:sz="0" w:space="0" w:color="auto"/>
          </w:divBdr>
        </w:div>
        <w:div w:id="1717730592">
          <w:marLeft w:val="0"/>
          <w:marRight w:val="0"/>
          <w:marTop w:val="0"/>
          <w:marBottom w:val="0"/>
          <w:divBdr>
            <w:top w:val="none" w:sz="0" w:space="0" w:color="auto"/>
            <w:left w:val="none" w:sz="0" w:space="0" w:color="auto"/>
            <w:bottom w:val="none" w:sz="0" w:space="0" w:color="auto"/>
            <w:right w:val="none" w:sz="0" w:space="0" w:color="auto"/>
          </w:divBdr>
        </w:div>
        <w:div w:id="1805736466">
          <w:marLeft w:val="0"/>
          <w:marRight w:val="0"/>
          <w:marTop w:val="0"/>
          <w:marBottom w:val="0"/>
          <w:divBdr>
            <w:top w:val="none" w:sz="0" w:space="0" w:color="auto"/>
            <w:left w:val="none" w:sz="0" w:space="0" w:color="auto"/>
            <w:bottom w:val="none" w:sz="0" w:space="0" w:color="auto"/>
            <w:right w:val="none" w:sz="0" w:space="0" w:color="auto"/>
          </w:divBdr>
        </w:div>
        <w:div w:id="1856339484">
          <w:marLeft w:val="0"/>
          <w:marRight w:val="0"/>
          <w:marTop w:val="0"/>
          <w:marBottom w:val="0"/>
          <w:divBdr>
            <w:top w:val="none" w:sz="0" w:space="0" w:color="auto"/>
            <w:left w:val="none" w:sz="0" w:space="0" w:color="auto"/>
            <w:bottom w:val="none" w:sz="0" w:space="0" w:color="auto"/>
            <w:right w:val="none" w:sz="0" w:space="0" w:color="auto"/>
          </w:divBdr>
        </w:div>
        <w:div w:id="1997567262">
          <w:marLeft w:val="0"/>
          <w:marRight w:val="0"/>
          <w:marTop w:val="0"/>
          <w:marBottom w:val="0"/>
          <w:divBdr>
            <w:top w:val="none" w:sz="0" w:space="0" w:color="auto"/>
            <w:left w:val="none" w:sz="0" w:space="0" w:color="auto"/>
            <w:bottom w:val="none" w:sz="0" w:space="0" w:color="auto"/>
            <w:right w:val="none" w:sz="0" w:space="0" w:color="auto"/>
          </w:divBdr>
        </w:div>
        <w:div w:id="2010671415">
          <w:marLeft w:val="0"/>
          <w:marRight w:val="0"/>
          <w:marTop w:val="0"/>
          <w:marBottom w:val="0"/>
          <w:divBdr>
            <w:top w:val="none" w:sz="0" w:space="0" w:color="auto"/>
            <w:left w:val="none" w:sz="0" w:space="0" w:color="auto"/>
            <w:bottom w:val="none" w:sz="0" w:space="0" w:color="auto"/>
            <w:right w:val="none" w:sz="0" w:space="0" w:color="auto"/>
          </w:divBdr>
        </w:div>
        <w:div w:id="2015917924">
          <w:marLeft w:val="0"/>
          <w:marRight w:val="0"/>
          <w:marTop w:val="0"/>
          <w:marBottom w:val="0"/>
          <w:divBdr>
            <w:top w:val="none" w:sz="0" w:space="0" w:color="auto"/>
            <w:left w:val="none" w:sz="0" w:space="0" w:color="auto"/>
            <w:bottom w:val="none" w:sz="0" w:space="0" w:color="auto"/>
            <w:right w:val="none" w:sz="0" w:space="0" w:color="auto"/>
          </w:divBdr>
        </w:div>
      </w:divsChild>
    </w:div>
    <w:div w:id="1803573110">
      <w:bodyDiv w:val="1"/>
      <w:marLeft w:val="0"/>
      <w:marRight w:val="0"/>
      <w:marTop w:val="0"/>
      <w:marBottom w:val="0"/>
      <w:divBdr>
        <w:top w:val="none" w:sz="0" w:space="0" w:color="auto"/>
        <w:left w:val="none" w:sz="0" w:space="0" w:color="auto"/>
        <w:bottom w:val="none" w:sz="0" w:space="0" w:color="auto"/>
        <w:right w:val="none" w:sz="0" w:space="0" w:color="auto"/>
      </w:divBdr>
    </w:div>
    <w:div w:id="1807695803">
      <w:bodyDiv w:val="1"/>
      <w:marLeft w:val="0"/>
      <w:marRight w:val="0"/>
      <w:marTop w:val="0"/>
      <w:marBottom w:val="0"/>
      <w:divBdr>
        <w:top w:val="none" w:sz="0" w:space="0" w:color="auto"/>
        <w:left w:val="none" w:sz="0" w:space="0" w:color="auto"/>
        <w:bottom w:val="none" w:sz="0" w:space="0" w:color="auto"/>
        <w:right w:val="none" w:sz="0" w:space="0" w:color="auto"/>
      </w:divBdr>
    </w:div>
    <w:div w:id="1808158293">
      <w:bodyDiv w:val="1"/>
      <w:marLeft w:val="0"/>
      <w:marRight w:val="0"/>
      <w:marTop w:val="0"/>
      <w:marBottom w:val="0"/>
      <w:divBdr>
        <w:top w:val="none" w:sz="0" w:space="0" w:color="auto"/>
        <w:left w:val="none" w:sz="0" w:space="0" w:color="auto"/>
        <w:bottom w:val="none" w:sz="0" w:space="0" w:color="auto"/>
        <w:right w:val="none" w:sz="0" w:space="0" w:color="auto"/>
      </w:divBdr>
      <w:divsChild>
        <w:div w:id="1765615776">
          <w:marLeft w:val="-225"/>
          <w:marRight w:val="-225"/>
          <w:marTop w:val="0"/>
          <w:marBottom w:val="0"/>
          <w:divBdr>
            <w:top w:val="none" w:sz="0" w:space="0" w:color="auto"/>
            <w:left w:val="none" w:sz="0" w:space="0" w:color="auto"/>
            <w:bottom w:val="none" w:sz="0" w:space="0" w:color="auto"/>
            <w:right w:val="none" w:sz="0" w:space="0" w:color="auto"/>
          </w:divBdr>
        </w:div>
        <w:div w:id="2075155375">
          <w:marLeft w:val="-225"/>
          <w:marRight w:val="-225"/>
          <w:marTop w:val="0"/>
          <w:marBottom w:val="0"/>
          <w:divBdr>
            <w:top w:val="none" w:sz="0" w:space="0" w:color="auto"/>
            <w:left w:val="none" w:sz="0" w:space="0" w:color="auto"/>
            <w:bottom w:val="none" w:sz="0" w:space="0" w:color="auto"/>
            <w:right w:val="none" w:sz="0" w:space="0" w:color="auto"/>
          </w:divBdr>
          <w:divsChild>
            <w:div w:id="623925167">
              <w:marLeft w:val="75"/>
              <w:marRight w:val="0"/>
              <w:marTop w:val="0"/>
              <w:marBottom w:val="0"/>
              <w:divBdr>
                <w:top w:val="none" w:sz="0" w:space="0" w:color="auto"/>
                <w:left w:val="none" w:sz="0" w:space="0" w:color="auto"/>
                <w:bottom w:val="none" w:sz="0" w:space="0" w:color="auto"/>
                <w:right w:val="none" w:sz="0" w:space="0" w:color="auto"/>
              </w:divBdr>
              <w:divsChild>
                <w:div w:id="596869003">
                  <w:marLeft w:val="0"/>
                  <w:marRight w:val="0"/>
                  <w:marTop w:val="0"/>
                  <w:marBottom w:val="0"/>
                  <w:divBdr>
                    <w:top w:val="none" w:sz="0" w:space="0" w:color="auto"/>
                    <w:left w:val="none" w:sz="0" w:space="0" w:color="auto"/>
                    <w:bottom w:val="none" w:sz="0" w:space="0" w:color="auto"/>
                    <w:right w:val="none" w:sz="0" w:space="0" w:color="auto"/>
                  </w:divBdr>
                </w:div>
                <w:div w:id="37154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99834">
          <w:marLeft w:val="-225"/>
          <w:marRight w:val="-225"/>
          <w:marTop w:val="0"/>
          <w:marBottom w:val="0"/>
          <w:divBdr>
            <w:top w:val="none" w:sz="0" w:space="0" w:color="auto"/>
            <w:left w:val="none" w:sz="0" w:space="0" w:color="auto"/>
            <w:bottom w:val="none" w:sz="0" w:space="0" w:color="auto"/>
            <w:right w:val="none" w:sz="0" w:space="0" w:color="auto"/>
          </w:divBdr>
        </w:div>
        <w:div w:id="1881285855">
          <w:marLeft w:val="-225"/>
          <w:marRight w:val="-225"/>
          <w:marTop w:val="0"/>
          <w:marBottom w:val="0"/>
          <w:divBdr>
            <w:top w:val="none" w:sz="0" w:space="0" w:color="auto"/>
            <w:left w:val="none" w:sz="0" w:space="0" w:color="auto"/>
            <w:bottom w:val="none" w:sz="0" w:space="0" w:color="auto"/>
            <w:right w:val="none" w:sz="0" w:space="0" w:color="auto"/>
          </w:divBdr>
        </w:div>
        <w:div w:id="118107113">
          <w:marLeft w:val="-225"/>
          <w:marRight w:val="-225"/>
          <w:marTop w:val="0"/>
          <w:marBottom w:val="0"/>
          <w:divBdr>
            <w:top w:val="none" w:sz="0" w:space="0" w:color="auto"/>
            <w:left w:val="none" w:sz="0" w:space="0" w:color="auto"/>
            <w:bottom w:val="none" w:sz="0" w:space="0" w:color="auto"/>
            <w:right w:val="none" w:sz="0" w:space="0" w:color="auto"/>
          </w:divBdr>
        </w:div>
        <w:div w:id="248776878">
          <w:marLeft w:val="-225"/>
          <w:marRight w:val="-225"/>
          <w:marTop w:val="0"/>
          <w:marBottom w:val="0"/>
          <w:divBdr>
            <w:top w:val="none" w:sz="0" w:space="0" w:color="auto"/>
            <w:left w:val="none" w:sz="0" w:space="0" w:color="auto"/>
            <w:bottom w:val="none" w:sz="0" w:space="0" w:color="auto"/>
            <w:right w:val="none" w:sz="0" w:space="0" w:color="auto"/>
          </w:divBdr>
        </w:div>
        <w:div w:id="1972130810">
          <w:marLeft w:val="-225"/>
          <w:marRight w:val="-225"/>
          <w:marTop w:val="0"/>
          <w:marBottom w:val="0"/>
          <w:divBdr>
            <w:top w:val="none" w:sz="0" w:space="0" w:color="auto"/>
            <w:left w:val="none" w:sz="0" w:space="0" w:color="auto"/>
            <w:bottom w:val="none" w:sz="0" w:space="0" w:color="auto"/>
            <w:right w:val="none" w:sz="0" w:space="0" w:color="auto"/>
          </w:divBdr>
        </w:div>
        <w:div w:id="1003163050">
          <w:marLeft w:val="-225"/>
          <w:marRight w:val="-225"/>
          <w:marTop w:val="0"/>
          <w:marBottom w:val="0"/>
          <w:divBdr>
            <w:top w:val="none" w:sz="0" w:space="0" w:color="auto"/>
            <w:left w:val="none" w:sz="0" w:space="0" w:color="auto"/>
            <w:bottom w:val="none" w:sz="0" w:space="0" w:color="auto"/>
            <w:right w:val="none" w:sz="0" w:space="0" w:color="auto"/>
          </w:divBdr>
        </w:div>
        <w:div w:id="1301882053">
          <w:marLeft w:val="-225"/>
          <w:marRight w:val="-225"/>
          <w:marTop w:val="0"/>
          <w:marBottom w:val="0"/>
          <w:divBdr>
            <w:top w:val="none" w:sz="0" w:space="0" w:color="auto"/>
            <w:left w:val="none" w:sz="0" w:space="0" w:color="auto"/>
            <w:bottom w:val="none" w:sz="0" w:space="0" w:color="auto"/>
            <w:right w:val="none" w:sz="0" w:space="0" w:color="auto"/>
          </w:divBdr>
        </w:div>
        <w:div w:id="551816719">
          <w:marLeft w:val="-225"/>
          <w:marRight w:val="-225"/>
          <w:marTop w:val="0"/>
          <w:marBottom w:val="0"/>
          <w:divBdr>
            <w:top w:val="none" w:sz="0" w:space="0" w:color="auto"/>
            <w:left w:val="none" w:sz="0" w:space="0" w:color="auto"/>
            <w:bottom w:val="none" w:sz="0" w:space="0" w:color="auto"/>
            <w:right w:val="none" w:sz="0" w:space="0" w:color="auto"/>
          </w:divBdr>
        </w:div>
        <w:div w:id="1939828663">
          <w:marLeft w:val="-225"/>
          <w:marRight w:val="-225"/>
          <w:marTop w:val="0"/>
          <w:marBottom w:val="0"/>
          <w:divBdr>
            <w:top w:val="none" w:sz="0" w:space="0" w:color="auto"/>
            <w:left w:val="none" w:sz="0" w:space="0" w:color="auto"/>
            <w:bottom w:val="none" w:sz="0" w:space="0" w:color="auto"/>
            <w:right w:val="none" w:sz="0" w:space="0" w:color="auto"/>
          </w:divBdr>
        </w:div>
        <w:div w:id="1961257797">
          <w:marLeft w:val="-225"/>
          <w:marRight w:val="-225"/>
          <w:marTop w:val="0"/>
          <w:marBottom w:val="0"/>
          <w:divBdr>
            <w:top w:val="none" w:sz="0" w:space="0" w:color="auto"/>
            <w:left w:val="none" w:sz="0" w:space="0" w:color="auto"/>
            <w:bottom w:val="none" w:sz="0" w:space="0" w:color="auto"/>
            <w:right w:val="none" w:sz="0" w:space="0" w:color="auto"/>
          </w:divBdr>
        </w:div>
        <w:div w:id="1538082709">
          <w:marLeft w:val="-225"/>
          <w:marRight w:val="-225"/>
          <w:marTop w:val="0"/>
          <w:marBottom w:val="0"/>
          <w:divBdr>
            <w:top w:val="none" w:sz="0" w:space="0" w:color="auto"/>
            <w:left w:val="none" w:sz="0" w:space="0" w:color="auto"/>
            <w:bottom w:val="none" w:sz="0" w:space="0" w:color="auto"/>
            <w:right w:val="none" w:sz="0" w:space="0" w:color="auto"/>
          </w:divBdr>
        </w:div>
        <w:div w:id="1334802502">
          <w:marLeft w:val="-225"/>
          <w:marRight w:val="-225"/>
          <w:marTop w:val="0"/>
          <w:marBottom w:val="0"/>
          <w:divBdr>
            <w:top w:val="none" w:sz="0" w:space="0" w:color="auto"/>
            <w:left w:val="none" w:sz="0" w:space="0" w:color="auto"/>
            <w:bottom w:val="none" w:sz="0" w:space="0" w:color="auto"/>
            <w:right w:val="none" w:sz="0" w:space="0" w:color="auto"/>
          </w:divBdr>
        </w:div>
        <w:div w:id="912277990">
          <w:marLeft w:val="-225"/>
          <w:marRight w:val="-225"/>
          <w:marTop w:val="0"/>
          <w:marBottom w:val="0"/>
          <w:divBdr>
            <w:top w:val="none" w:sz="0" w:space="0" w:color="auto"/>
            <w:left w:val="none" w:sz="0" w:space="0" w:color="auto"/>
            <w:bottom w:val="none" w:sz="0" w:space="0" w:color="auto"/>
            <w:right w:val="none" w:sz="0" w:space="0" w:color="auto"/>
          </w:divBdr>
        </w:div>
        <w:div w:id="639387376">
          <w:marLeft w:val="-225"/>
          <w:marRight w:val="-225"/>
          <w:marTop w:val="0"/>
          <w:marBottom w:val="0"/>
          <w:divBdr>
            <w:top w:val="none" w:sz="0" w:space="0" w:color="auto"/>
            <w:left w:val="none" w:sz="0" w:space="0" w:color="auto"/>
            <w:bottom w:val="none" w:sz="0" w:space="0" w:color="auto"/>
            <w:right w:val="none" w:sz="0" w:space="0" w:color="auto"/>
          </w:divBdr>
        </w:div>
        <w:div w:id="1936286784">
          <w:marLeft w:val="-225"/>
          <w:marRight w:val="-225"/>
          <w:marTop w:val="0"/>
          <w:marBottom w:val="0"/>
          <w:divBdr>
            <w:top w:val="none" w:sz="0" w:space="0" w:color="auto"/>
            <w:left w:val="none" w:sz="0" w:space="0" w:color="auto"/>
            <w:bottom w:val="none" w:sz="0" w:space="0" w:color="auto"/>
            <w:right w:val="none" w:sz="0" w:space="0" w:color="auto"/>
          </w:divBdr>
        </w:div>
        <w:div w:id="430471566">
          <w:marLeft w:val="-225"/>
          <w:marRight w:val="-225"/>
          <w:marTop w:val="0"/>
          <w:marBottom w:val="0"/>
          <w:divBdr>
            <w:top w:val="none" w:sz="0" w:space="0" w:color="auto"/>
            <w:left w:val="none" w:sz="0" w:space="0" w:color="auto"/>
            <w:bottom w:val="none" w:sz="0" w:space="0" w:color="auto"/>
            <w:right w:val="none" w:sz="0" w:space="0" w:color="auto"/>
          </w:divBdr>
        </w:div>
      </w:divsChild>
    </w:div>
    <w:div w:id="1809517030">
      <w:bodyDiv w:val="1"/>
      <w:marLeft w:val="0"/>
      <w:marRight w:val="0"/>
      <w:marTop w:val="0"/>
      <w:marBottom w:val="0"/>
      <w:divBdr>
        <w:top w:val="none" w:sz="0" w:space="0" w:color="auto"/>
        <w:left w:val="none" w:sz="0" w:space="0" w:color="auto"/>
        <w:bottom w:val="none" w:sz="0" w:space="0" w:color="auto"/>
        <w:right w:val="none" w:sz="0" w:space="0" w:color="auto"/>
      </w:divBdr>
    </w:div>
    <w:div w:id="1848321749">
      <w:bodyDiv w:val="1"/>
      <w:marLeft w:val="0"/>
      <w:marRight w:val="0"/>
      <w:marTop w:val="0"/>
      <w:marBottom w:val="0"/>
      <w:divBdr>
        <w:top w:val="none" w:sz="0" w:space="0" w:color="auto"/>
        <w:left w:val="none" w:sz="0" w:space="0" w:color="auto"/>
        <w:bottom w:val="none" w:sz="0" w:space="0" w:color="auto"/>
        <w:right w:val="none" w:sz="0" w:space="0" w:color="auto"/>
      </w:divBdr>
      <w:divsChild>
        <w:div w:id="460811439">
          <w:marLeft w:val="0"/>
          <w:marRight w:val="0"/>
          <w:marTop w:val="0"/>
          <w:marBottom w:val="0"/>
          <w:divBdr>
            <w:top w:val="none" w:sz="0" w:space="0" w:color="auto"/>
            <w:left w:val="none" w:sz="0" w:space="0" w:color="auto"/>
            <w:bottom w:val="none" w:sz="0" w:space="0" w:color="auto"/>
            <w:right w:val="none" w:sz="0" w:space="0" w:color="auto"/>
          </w:divBdr>
        </w:div>
        <w:div w:id="1186990263">
          <w:marLeft w:val="0"/>
          <w:marRight w:val="0"/>
          <w:marTop w:val="0"/>
          <w:marBottom w:val="0"/>
          <w:divBdr>
            <w:top w:val="none" w:sz="0" w:space="0" w:color="auto"/>
            <w:left w:val="none" w:sz="0" w:space="0" w:color="auto"/>
            <w:bottom w:val="none" w:sz="0" w:space="0" w:color="auto"/>
            <w:right w:val="none" w:sz="0" w:space="0" w:color="auto"/>
          </w:divBdr>
        </w:div>
        <w:div w:id="1998419349">
          <w:marLeft w:val="0"/>
          <w:marRight w:val="0"/>
          <w:marTop w:val="0"/>
          <w:marBottom w:val="0"/>
          <w:divBdr>
            <w:top w:val="none" w:sz="0" w:space="0" w:color="auto"/>
            <w:left w:val="none" w:sz="0" w:space="0" w:color="auto"/>
            <w:bottom w:val="none" w:sz="0" w:space="0" w:color="auto"/>
            <w:right w:val="none" w:sz="0" w:space="0" w:color="auto"/>
          </w:divBdr>
        </w:div>
      </w:divsChild>
    </w:div>
    <w:div w:id="1864056606">
      <w:bodyDiv w:val="1"/>
      <w:marLeft w:val="0"/>
      <w:marRight w:val="0"/>
      <w:marTop w:val="0"/>
      <w:marBottom w:val="0"/>
      <w:divBdr>
        <w:top w:val="none" w:sz="0" w:space="0" w:color="auto"/>
        <w:left w:val="none" w:sz="0" w:space="0" w:color="auto"/>
        <w:bottom w:val="none" w:sz="0" w:space="0" w:color="auto"/>
        <w:right w:val="none" w:sz="0" w:space="0" w:color="auto"/>
      </w:divBdr>
    </w:div>
    <w:div w:id="1886680107">
      <w:bodyDiv w:val="1"/>
      <w:marLeft w:val="0"/>
      <w:marRight w:val="0"/>
      <w:marTop w:val="0"/>
      <w:marBottom w:val="0"/>
      <w:divBdr>
        <w:top w:val="none" w:sz="0" w:space="0" w:color="auto"/>
        <w:left w:val="none" w:sz="0" w:space="0" w:color="auto"/>
        <w:bottom w:val="none" w:sz="0" w:space="0" w:color="auto"/>
        <w:right w:val="none" w:sz="0" w:space="0" w:color="auto"/>
      </w:divBdr>
      <w:divsChild>
        <w:div w:id="1421290021">
          <w:marLeft w:val="0"/>
          <w:marRight w:val="0"/>
          <w:marTop w:val="0"/>
          <w:marBottom w:val="0"/>
          <w:divBdr>
            <w:top w:val="none" w:sz="0" w:space="0" w:color="auto"/>
            <w:left w:val="none" w:sz="0" w:space="0" w:color="auto"/>
            <w:bottom w:val="none" w:sz="0" w:space="0" w:color="auto"/>
            <w:right w:val="none" w:sz="0" w:space="0" w:color="auto"/>
          </w:divBdr>
        </w:div>
        <w:div w:id="1503934987">
          <w:marLeft w:val="0"/>
          <w:marRight w:val="0"/>
          <w:marTop w:val="0"/>
          <w:marBottom w:val="0"/>
          <w:divBdr>
            <w:top w:val="none" w:sz="0" w:space="0" w:color="auto"/>
            <w:left w:val="none" w:sz="0" w:space="0" w:color="auto"/>
            <w:bottom w:val="none" w:sz="0" w:space="0" w:color="auto"/>
            <w:right w:val="none" w:sz="0" w:space="0" w:color="auto"/>
          </w:divBdr>
        </w:div>
        <w:div w:id="1582837045">
          <w:marLeft w:val="0"/>
          <w:marRight w:val="0"/>
          <w:marTop w:val="0"/>
          <w:marBottom w:val="0"/>
          <w:divBdr>
            <w:top w:val="none" w:sz="0" w:space="0" w:color="auto"/>
            <w:left w:val="none" w:sz="0" w:space="0" w:color="auto"/>
            <w:bottom w:val="none" w:sz="0" w:space="0" w:color="auto"/>
            <w:right w:val="none" w:sz="0" w:space="0" w:color="auto"/>
          </w:divBdr>
        </w:div>
      </w:divsChild>
    </w:div>
    <w:div w:id="1930691883">
      <w:bodyDiv w:val="1"/>
      <w:marLeft w:val="0"/>
      <w:marRight w:val="0"/>
      <w:marTop w:val="0"/>
      <w:marBottom w:val="0"/>
      <w:divBdr>
        <w:top w:val="none" w:sz="0" w:space="0" w:color="auto"/>
        <w:left w:val="none" w:sz="0" w:space="0" w:color="auto"/>
        <w:bottom w:val="none" w:sz="0" w:space="0" w:color="auto"/>
        <w:right w:val="none" w:sz="0" w:space="0" w:color="auto"/>
      </w:divBdr>
    </w:div>
    <w:div w:id="1932007578">
      <w:bodyDiv w:val="1"/>
      <w:marLeft w:val="0"/>
      <w:marRight w:val="0"/>
      <w:marTop w:val="0"/>
      <w:marBottom w:val="0"/>
      <w:divBdr>
        <w:top w:val="none" w:sz="0" w:space="0" w:color="auto"/>
        <w:left w:val="none" w:sz="0" w:space="0" w:color="auto"/>
        <w:bottom w:val="none" w:sz="0" w:space="0" w:color="auto"/>
        <w:right w:val="none" w:sz="0" w:space="0" w:color="auto"/>
      </w:divBdr>
      <w:divsChild>
        <w:div w:id="1835685693">
          <w:marLeft w:val="0"/>
          <w:marRight w:val="0"/>
          <w:marTop w:val="0"/>
          <w:marBottom w:val="0"/>
          <w:divBdr>
            <w:top w:val="none" w:sz="0" w:space="0" w:color="auto"/>
            <w:left w:val="none" w:sz="0" w:space="0" w:color="auto"/>
            <w:bottom w:val="none" w:sz="0" w:space="0" w:color="auto"/>
            <w:right w:val="none" w:sz="0" w:space="0" w:color="auto"/>
          </w:divBdr>
          <w:divsChild>
            <w:div w:id="134238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22775">
      <w:bodyDiv w:val="1"/>
      <w:marLeft w:val="0"/>
      <w:marRight w:val="0"/>
      <w:marTop w:val="0"/>
      <w:marBottom w:val="0"/>
      <w:divBdr>
        <w:top w:val="none" w:sz="0" w:space="0" w:color="auto"/>
        <w:left w:val="none" w:sz="0" w:space="0" w:color="auto"/>
        <w:bottom w:val="none" w:sz="0" w:space="0" w:color="auto"/>
        <w:right w:val="none" w:sz="0" w:space="0" w:color="auto"/>
      </w:divBdr>
      <w:divsChild>
        <w:div w:id="1205557498">
          <w:marLeft w:val="0"/>
          <w:marRight w:val="0"/>
          <w:marTop w:val="0"/>
          <w:marBottom w:val="0"/>
          <w:divBdr>
            <w:top w:val="none" w:sz="0" w:space="0" w:color="auto"/>
            <w:left w:val="none" w:sz="0" w:space="0" w:color="auto"/>
            <w:bottom w:val="none" w:sz="0" w:space="0" w:color="auto"/>
            <w:right w:val="none" w:sz="0" w:space="0" w:color="auto"/>
          </w:divBdr>
        </w:div>
        <w:div w:id="27991582">
          <w:marLeft w:val="0"/>
          <w:marRight w:val="0"/>
          <w:marTop w:val="0"/>
          <w:marBottom w:val="0"/>
          <w:divBdr>
            <w:top w:val="none" w:sz="0" w:space="0" w:color="auto"/>
            <w:left w:val="none" w:sz="0" w:space="0" w:color="auto"/>
            <w:bottom w:val="none" w:sz="0" w:space="0" w:color="auto"/>
            <w:right w:val="none" w:sz="0" w:space="0" w:color="auto"/>
          </w:divBdr>
        </w:div>
      </w:divsChild>
    </w:div>
    <w:div w:id="1947927187">
      <w:bodyDiv w:val="1"/>
      <w:marLeft w:val="0"/>
      <w:marRight w:val="0"/>
      <w:marTop w:val="0"/>
      <w:marBottom w:val="0"/>
      <w:divBdr>
        <w:top w:val="none" w:sz="0" w:space="0" w:color="auto"/>
        <w:left w:val="none" w:sz="0" w:space="0" w:color="auto"/>
        <w:bottom w:val="none" w:sz="0" w:space="0" w:color="auto"/>
        <w:right w:val="none" w:sz="0" w:space="0" w:color="auto"/>
      </w:divBdr>
    </w:div>
    <w:div w:id="1955092937">
      <w:bodyDiv w:val="1"/>
      <w:marLeft w:val="0"/>
      <w:marRight w:val="0"/>
      <w:marTop w:val="0"/>
      <w:marBottom w:val="0"/>
      <w:divBdr>
        <w:top w:val="none" w:sz="0" w:space="0" w:color="auto"/>
        <w:left w:val="none" w:sz="0" w:space="0" w:color="auto"/>
        <w:bottom w:val="none" w:sz="0" w:space="0" w:color="auto"/>
        <w:right w:val="none" w:sz="0" w:space="0" w:color="auto"/>
      </w:divBdr>
      <w:divsChild>
        <w:div w:id="716515026">
          <w:marLeft w:val="0"/>
          <w:marRight w:val="0"/>
          <w:marTop w:val="0"/>
          <w:marBottom w:val="0"/>
          <w:divBdr>
            <w:top w:val="none" w:sz="0" w:space="0" w:color="auto"/>
            <w:left w:val="none" w:sz="0" w:space="0" w:color="auto"/>
            <w:bottom w:val="none" w:sz="0" w:space="0" w:color="auto"/>
            <w:right w:val="none" w:sz="0" w:space="0" w:color="auto"/>
          </w:divBdr>
        </w:div>
        <w:div w:id="1205872292">
          <w:marLeft w:val="0"/>
          <w:marRight w:val="0"/>
          <w:marTop w:val="0"/>
          <w:marBottom w:val="0"/>
          <w:divBdr>
            <w:top w:val="none" w:sz="0" w:space="0" w:color="auto"/>
            <w:left w:val="none" w:sz="0" w:space="0" w:color="auto"/>
            <w:bottom w:val="none" w:sz="0" w:space="0" w:color="auto"/>
            <w:right w:val="none" w:sz="0" w:space="0" w:color="auto"/>
          </w:divBdr>
        </w:div>
        <w:div w:id="1327827884">
          <w:marLeft w:val="0"/>
          <w:marRight w:val="0"/>
          <w:marTop w:val="0"/>
          <w:marBottom w:val="0"/>
          <w:divBdr>
            <w:top w:val="none" w:sz="0" w:space="0" w:color="auto"/>
            <w:left w:val="none" w:sz="0" w:space="0" w:color="auto"/>
            <w:bottom w:val="none" w:sz="0" w:space="0" w:color="auto"/>
            <w:right w:val="none" w:sz="0" w:space="0" w:color="auto"/>
          </w:divBdr>
        </w:div>
        <w:div w:id="1377851064">
          <w:marLeft w:val="0"/>
          <w:marRight w:val="0"/>
          <w:marTop w:val="0"/>
          <w:marBottom w:val="0"/>
          <w:divBdr>
            <w:top w:val="none" w:sz="0" w:space="0" w:color="auto"/>
            <w:left w:val="none" w:sz="0" w:space="0" w:color="auto"/>
            <w:bottom w:val="none" w:sz="0" w:space="0" w:color="auto"/>
            <w:right w:val="none" w:sz="0" w:space="0" w:color="auto"/>
          </w:divBdr>
        </w:div>
        <w:div w:id="1470630272">
          <w:marLeft w:val="0"/>
          <w:marRight w:val="0"/>
          <w:marTop w:val="0"/>
          <w:marBottom w:val="0"/>
          <w:divBdr>
            <w:top w:val="none" w:sz="0" w:space="0" w:color="auto"/>
            <w:left w:val="none" w:sz="0" w:space="0" w:color="auto"/>
            <w:bottom w:val="none" w:sz="0" w:space="0" w:color="auto"/>
            <w:right w:val="none" w:sz="0" w:space="0" w:color="auto"/>
          </w:divBdr>
        </w:div>
        <w:div w:id="1667315998">
          <w:marLeft w:val="0"/>
          <w:marRight w:val="0"/>
          <w:marTop w:val="0"/>
          <w:marBottom w:val="0"/>
          <w:divBdr>
            <w:top w:val="none" w:sz="0" w:space="0" w:color="auto"/>
            <w:left w:val="none" w:sz="0" w:space="0" w:color="auto"/>
            <w:bottom w:val="none" w:sz="0" w:space="0" w:color="auto"/>
            <w:right w:val="none" w:sz="0" w:space="0" w:color="auto"/>
          </w:divBdr>
        </w:div>
        <w:div w:id="1917670454">
          <w:marLeft w:val="0"/>
          <w:marRight w:val="0"/>
          <w:marTop w:val="0"/>
          <w:marBottom w:val="0"/>
          <w:divBdr>
            <w:top w:val="none" w:sz="0" w:space="0" w:color="auto"/>
            <w:left w:val="none" w:sz="0" w:space="0" w:color="auto"/>
            <w:bottom w:val="none" w:sz="0" w:space="0" w:color="auto"/>
            <w:right w:val="none" w:sz="0" w:space="0" w:color="auto"/>
          </w:divBdr>
        </w:div>
        <w:div w:id="2020812359">
          <w:marLeft w:val="0"/>
          <w:marRight w:val="0"/>
          <w:marTop w:val="0"/>
          <w:marBottom w:val="0"/>
          <w:divBdr>
            <w:top w:val="none" w:sz="0" w:space="0" w:color="auto"/>
            <w:left w:val="none" w:sz="0" w:space="0" w:color="auto"/>
            <w:bottom w:val="none" w:sz="0" w:space="0" w:color="auto"/>
            <w:right w:val="none" w:sz="0" w:space="0" w:color="auto"/>
          </w:divBdr>
        </w:div>
      </w:divsChild>
    </w:div>
    <w:div w:id="1982222856">
      <w:bodyDiv w:val="1"/>
      <w:marLeft w:val="0"/>
      <w:marRight w:val="0"/>
      <w:marTop w:val="0"/>
      <w:marBottom w:val="0"/>
      <w:divBdr>
        <w:top w:val="none" w:sz="0" w:space="0" w:color="auto"/>
        <w:left w:val="none" w:sz="0" w:space="0" w:color="auto"/>
        <w:bottom w:val="none" w:sz="0" w:space="0" w:color="auto"/>
        <w:right w:val="none" w:sz="0" w:space="0" w:color="auto"/>
      </w:divBdr>
      <w:divsChild>
        <w:div w:id="12269316">
          <w:marLeft w:val="-225"/>
          <w:marRight w:val="-225"/>
          <w:marTop w:val="0"/>
          <w:marBottom w:val="0"/>
          <w:divBdr>
            <w:top w:val="none" w:sz="0" w:space="0" w:color="auto"/>
            <w:left w:val="none" w:sz="0" w:space="0" w:color="auto"/>
            <w:bottom w:val="none" w:sz="0" w:space="0" w:color="auto"/>
            <w:right w:val="none" w:sz="0" w:space="0" w:color="auto"/>
          </w:divBdr>
        </w:div>
        <w:div w:id="459423471">
          <w:marLeft w:val="-225"/>
          <w:marRight w:val="-225"/>
          <w:marTop w:val="0"/>
          <w:marBottom w:val="0"/>
          <w:divBdr>
            <w:top w:val="none" w:sz="0" w:space="0" w:color="auto"/>
            <w:left w:val="none" w:sz="0" w:space="0" w:color="auto"/>
            <w:bottom w:val="none" w:sz="0" w:space="0" w:color="auto"/>
            <w:right w:val="none" w:sz="0" w:space="0" w:color="auto"/>
          </w:divBdr>
        </w:div>
        <w:div w:id="649945801">
          <w:marLeft w:val="-225"/>
          <w:marRight w:val="-225"/>
          <w:marTop w:val="0"/>
          <w:marBottom w:val="0"/>
          <w:divBdr>
            <w:top w:val="none" w:sz="0" w:space="0" w:color="auto"/>
            <w:left w:val="none" w:sz="0" w:space="0" w:color="auto"/>
            <w:bottom w:val="none" w:sz="0" w:space="0" w:color="auto"/>
            <w:right w:val="none" w:sz="0" w:space="0" w:color="auto"/>
          </w:divBdr>
        </w:div>
        <w:div w:id="741024308">
          <w:marLeft w:val="-225"/>
          <w:marRight w:val="-225"/>
          <w:marTop w:val="0"/>
          <w:marBottom w:val="0"/>
          <w:divBdr>
            <w:top w:val="none" w:sz="0" w:space="0" w:color="auto"/>
            <w:left w:val="none" w:sz="0" w:space="0" w:color="auto"/>
            <w:bottom w:val="none" w:sz="0" w:space="0" w:color="auto"/>
            <w:right w:val="none" w:sz="0" w:space="0" w:color="auto"/>
          </w:divBdr>
        </w:div>
        <w:div w:id="815756267">
          <w:marLeft w:val="-225"/>
          <w:marRight w:val="-225"/>
          <w:marTop w:val="0"/>
          <w:marBottom w:val="0"/>
          <w:divBdr>
            <w:top w:val="none" w:sz="0" w:space="0" w:color="auto"/>
            <w:left w:val="none" w:sz="0" w:space="0" w:color="auto"/>
            <w:bottom w:val="none" w:sz="0" w:space="0" w:color="auto"/>
            <w:right w:val="none" w:sz="0" w:space="0" w:color="auto"/>
          </w:divBdr>
        </w:div>
        <w:div w:id="1024551450">
          <w:marLeft w:val="-225"/>
          <w:marRight w:val="-225"/>
          <w:marTop w:val="0"/>
          <w:marBottom w:val="0"/>
          <w:divBdr>
            <w:top w:val="none" w:sz="0" w:space="0" w:color="auto"/>
            <w:left w:val="none" w:sz="0" w:space="0" w:color="auto"/>
            <w:bottom w:val="none" w:sz="0" w:space="0" w:color="auto"/>
            <w:right w:val="none" w:sz="0" w:space="0" w:color="auto"/>
          </w:divBdr>
        </w:div>
        <w:div w:id="1076171018">
          <w:marLeft w:val="-225"/>
          <w:marRight w:val="-225"/>
          <w:marTop w:val="0"/>
          <w:marBottom w:val="0"/>
          <w:divBdr>
            <w:top w:val="none" w:sz="0" w:space="0" w:color="auto"/>
            <w:left w:val="none" w:sz="0" w:space="0" w:color="auto"/>
            <w:bottom w:val="none" w:sz="0" w:space="0" w:color="auto"/>
            <w:right w:val="none" w:sz="0" w:space="0" w:color="auto"/>
          </w:divBdr>
          <w:divsChild>
            <w:div w:id="640960332">
              <w:marLeft w:val="75"/>
              <w:marRight w:val="0"/>
              <w:marTop w:val="0"/>
              <w:marBottom w:val="0"/>
              <w:divBdr>
                <w:top w:val="none" w:sz="0" w:space="0" w:color="auto"/>
                <w:left w:val="none" w:sz="0" w:space="0" w:color="auto"/>
                <w:bottom w:val="none" w:sz="0" w:space="0" w:color="auto"/>
                <w:right w:val="none" w:sz="0" w:space="0" w:color="auto"/>
              </w:divBdr>
              <w:divsChild>
                <w:div w:id="62653528">
                  <w:marLeft w:val="0"/>
                  <w:marRight w:val="0"/>
                  <w:marTop w:val="0"/>
                  <w:marBottom w:val="0"/>
                  <w:divBdr>
                    <w:top w:val="single" w:sz="18" w:space="0" w:color="484848"/>
                    <w:left w:val="single" w:sz="18" w:space="0" w:color="484848"/>
                    <w:bottom w:val="single" w:sz="18" w:space="0" w:color="484848"/>
                    <w:right w:val="single" w:sz="18" w:space="0" w:color="484848"/>
                  </w:divBdr>
                </w:div>
                <w:div w:id="736632475">
                  <w:marLeft w:val="0"/>
                  <w:marRight w:val="0"/>
                  <w:marTop w:val="0"/>
                  <w:marBottom w:val="0"/>
                  <w:divBdr>
                    <w:top w:val="none" w:sz="0" w:space="0" w:color="auto"/>
                    <w:left w:val="none" w:sz="0" w:space="0" w:color="auto"/>
                    <w:bottom w:val="none" w:sz="0" w:space="0" w:color="auto"/>
                    <w:right w:val="none" w:sz="0" w:space="0" w:color="auto"/>
                  </w:divBdr>
                </w:div>
                <w:div w:id="8066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25051">
          <w:marLeft w:val="-225"/>
          <w:marRight w:val="-225"/>
          <w:marTop w:val="0"/>
          <w:marBottom w:val="0"/>
          <w:divBdr>
            <w:top w:val="none" w:sz="0" w:space="0" w:color="auto"/>
            <w:left w:val="none" w:sz="0" w:space="0" w:color="auto"/>
            <w:bottom w:val="none" w:sz="0" w:space="0" w:color="auto"/>
            <w:right w:val="none" w:sz="0" w:space="0" w:color="auto"/>
          </w:divBdr>
        </w:div>
        <w:div w:id="1270893114">
          <w:marLeft w:val="-225"/>
          <w:marRight w:val="-225"/>
          <w:marTop w:val="0"/>
          <w:marBottom w:val="0"/>
          <w:divBdr>
            <w:top w:val="none" w:sz="0" w:space="0" w:color="auto"/>
            <w:left w:val="none" w:sz="0" w:space="0" w:color="auto"/>
            <w:bottom w:val="none" w:sz="0" w:space="0" w:color="auto"/>
            <w:right w:val="none" w:sz="0" w:space="0" w:color="auto"/>
          </w:divBdr>
        </w:div>
      </w:divsChild>
    </w:div>
    <w:div w:id="2019303715">
      <w:bodyDiv w:val="1"/>
      <w:marLeft w:val="0"/>
      <w:marRight w:val="0"/>
      <w:marTop w:val="0"/>
      <w:marBottom w:val="0"/>
      <w:divBdr>
        <w:top w:val="none" w:sz="0" w:space="0" w:color="auto"/>
        <w:left w:val="none" w:sz="0" w:space="0" w:color="auto"/>
        <w:bottom w:val="none" w:sz="0" w:space="0" w:color="auto"/>
        <w:right w:val="none" w:sz="0" w:space="0" w:color="auto"/>
      </w:divBdr>
    </w:div>
    <w:div w:id="2085057858">
      <w:bodyDiv w:val="1"/>
      <w:marLeft w:val="0"/>
      <w:marRight w:val="0"/>
      <w:marTop w:val="0"/>
      <w:marBottom w:val="0"/>
      <w:divBdr>
        <w:top w:val="none" w:sz="0" w:space="0" w:color="auto"/>
        <w:left w:val="none" w:sz="0" w:space="0" w:color="auto"/>
        <w:bottom w:val="none" w:sz="0" w:space="0" w:color="auto"/>
        <w:right w:val="none" w:sz="0" w:space="0" w:color="auto"/>
      </w:divBdr>
      <w:divsChild>
        <w:div w:id="332029236">
          <w:marLeft w:val="-225"/>
          <w:marRight w:val="-225"/>
          <w:marTop w:val="0"/>
          <w:marBottom w:val="0"/>
          <w:divBdr>
            <w:top w:val="none" w:sz="0" w:space="0" w:color="auto"/>
            <w:left w:val="none" w:sz="0" w:space="0" w:color="auto"/>
            <w:bottom w:val="none" w:sz="0" w:space="0" w:color="auto"/>
            <w:right w:val="none" w:sz="0" w:space="0" w:color="auto"/>
          </w:divBdr>
          <w:divsChild>
            <w:div w:id="248543845">
              <w:marLeft w:val="75"/>
              <w:marRight w:val="0"/>
              <w:marTop w:val="0"/>
              <w:marBottom w:val="0"/>
              <w:divBdr>
                <w:top w:val="none" w:sz="0" w:space="0" w:color="auto"/>
                <w:left w:val="none" w:sz="0" w:space="0" w:color="auto"/>
                <w:bottom w:val="none" w:sz="0" w:space="0" w:color="auto"/>
                <w:right w:val="none" w:sz="0" w:space="0" w:color="auto"/>
              </w:divBdr>
              <w:divsChild>
                <w:div w:id="679890295">
                  <w:marLeft w:val="0"/>
                  <w:marRight w:val="0"/>
                  <w:marTop w:val="0"/>
                  <w:marBottom w:val="0"/>
                  <w:divBdr>
                    <w:top w:val="single" w:sz="18" w:space="0" w:color="484848"/>
                    <w:left w:val="single" w:sz="18" w:space="0" w:color="484848"/>
                    <w:bottom w:val="single" w:sz="18" w:space="0" w:color="484848"/>
                    <w:right w:val="single" w:sz="18" w:space="0" w:color="484848"/>
                  </w:divBdr>
                </w:div>
                <w:div w:id="1549684064">
                  <w:marLeft w:val="0"/>
                  <w:marRight w:val="0"/>
                  <w:marTop w:val="0"/>
                  <w:marBottom w:val="0"/>
                  <w:divBdr>
                    <w:top w:val="none" w:sz="0" w:space="0" w:color="auto"/>
                    <w:left w:val="none" w:sz="0" w:space="0" w:color="auto"/>
                    <w:bottom w:val="none" w:sz="0" w:space="0" w:color="auto"/>
                    <w:right w:val="none" w:sz="0" w:space="0" w:color="auto"/>
                  </w:divBdr>
                </w:div>
                <w:div w:id="180913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20052">
          <w:marLeft w:val="-225"/>
          <w:marRight w:val="-225"/>
          <w:marTop w:val="0"/>
          <w:marBottom w:val="0"/>
          <w:divBdr>
            <w:top w:val="none" w:sz="0" w:space="0" w:color="auto"/>
            <w:left w:val="none" w:sz="0" w:space="0" w:color="auto"/>
            <w:bottom w:val="none" w:sz="0" w:space="0" w:color="auto"/>
            <w:right w:val="none" w:sz="0" w:space="0" w:color="auto"/>
          </w:divBdr>
        </w:div>
        <w:div w:id="1837264364">
          <w:marLeft w:val="-225"/>
          <w:marRight w:val="-225"/>
          <w:marTop w:val="0"/>
          <w:marBottom w:val="0"/>
          <w:divBdr>
            <w:top w:val="none" w:sz="0" w:space="0" w:color="auto"/>
            <w:left w:val="none" w:sz="0" w:space="0" w:color="auto"/>
            <w:bottom w:val="none" w:sz="0" w:space="0" w:color="auto"/>
            <w:right w:val="none" w:sz="0" w:space="0" w:color="auto"/>
          </w:divBdr>
        </w:div>
        <w:div w:id="758911519">
          <w:marLeft w:val="-225"/>
          <w:marRight w:val="-225"/>
          <w:marTop w:val="0"/>
          <w:marBottom w:val="0"/>
          <w:divBdr>
            <w:top w:val="none" w:sz="0" w:space="0" w:color="auto"/>
            <w:left w:val="none" w:sz="0" w:space="0" w:color="auto"/>
            <w:bottom w:val="none" w:sz="0" w:space="0" w:color="auto"/>
            <w:right w:val="none" w:sz="0" w:space="0" w:color="auto"/>
          </w:divBdr>
        </w:div>
        <w:div w:id="823353497">
          <w:marLeft w:val="-225"/>
          <w:marRight w:val="-225"/>
          <w:marTop w:val="0"/>
          <w:marBottom w:val="0"/>
          <w:divBdr>
            <w:top w:val="none" w:sz="0" w:space="0" w:color="auto"/>
            <w:left w:val="none" w:sz="0" w:space="0" w:color="auto"/>
            <w:bottom w:val="none" w:sz="0" w:space="0" w:color="auto"/>
            <w:right w:val="none" w:sz="0" w:space="0" w:color="auto"/>
          </w:divBdr>
        </w:div>
        <w:div w:id="71238427">
          <w:marLeft w:val="-225"/>
          <w:marRight w:val="-225"/>
          <w:marTop w:val="0"/>
          <w:marBottom w:val="0"/>
          <w:divBdr>
            <w:top w:val="none" w:sz="0" w:space="0" w:color="auto"/>
            <w:left w:val="none" w:sz="0" w:space="0" w:color="auto"/>
            <w:bottom w:val="none" w:sz="0" w:space="0" w:color="auto"/>
            <w:right w:val="none" w:sz="0" w:space="0" w:color="auto"/>
          </w:divBdr>
        </w:div>
        <w:div w:id="416512812">
          <w:marLeft w:val="-225"/>
          <w:marRight w:val="-225"/>
          <w:marTop w:val="0"/>
          <w:marBottom w:val="0"/>
          <w:divBdr>
            <w:top w:val="none" w:sz="0" w:space="0" w:color="auto"/>
            <w:left w:val="none" w:sz="0" w:space="0" w:color="auto"/>
            <w:bottom w:val="none" w:sz="0" w:space="0" w:color="auto"/>
            <w:right w:val="none" w:sz="0" w:space="0" w:color="auto"/>
          </w:divBdr>
        </w:div>
        <w:div w:id="2110269569">
          <w:marLeft w:val="-225"/>
          <w:marRight w:val="-225"/>
          <w:marTop w:val="0"/>
          <w:marBottom w:val="0"/>
          <w:divBdr>
            <w:top w:val="none" w:sz="0" w:space="0" w:color="auto"/>
            <w:left w:val="none" w:sz="0" w:space="0" w:color="auto"/>
            <w:bottom w:val="none" w:sz="0" w:space="0" w:color="auto"/>
            <w:right w:val="none" w:sz="0" w:space="0" w:color="auto"/>
          </w:divBdr>
        </w:div>
        <w:div w:id="1785229476">
          <w:marLeft w:val="-225"/>
          <w:marRight w:val="-225"/>
          <w:marTop w:val="0"/>
          <w:marBottom w:val="0"/>
          <w:divBdr>
            <w:top w:val="none" w:sz="0" w:space="0" w:color="auto"/>
            <w:left w:val="none" w:sz="0" w:space="0" w:color="auto"/>
            <w:bottom w:val="none" w:sz="0" w:space="0" w:color="auto"/>
            <w:right w:val="none" w:sz="0" w:space="0" w:color="auto"/>
          </w:divBdr>
        </w:div>
        <w:div w:id="1635063722">
          <w:marLeft w:val="-225"/>
          <w:marRight w:val="-225"/>
          <w:marTop w:val="0"/>
          <w:marBottom w:val="0"/>
          <w:divBdr>
            <w:top w:val="none" w:sz="0" w:space="0" w:color="auto"/>
            <w:left w:val="none" w:sz="0" w:space="0" w:color="auto"/>
            <w:bottom w:val="none" w:sz="0" w:space="0" w:color="auto"/>
            <w:right w:val="none" w:sz="0" w:space="0" w:color="auto"/>
          </w:divBdr>
        </w:div>
        <w:div w:id="1884246435">
          <w:marLeft w:val="-225"/>
          <w:marRight w:val="-225"/>
          <w:marTop w:val="0"/>
          <w:marBottom w:val="0"/>
          <w:divBdr>
            <w:top w:val="none" w:sz="0" w:space="0" w:color="auto"/>
            <w:left w:val="none" w:sz="0" w:space="0" w:color="auto"/>
            <w:bottom w:val="none" w:sz="0" w:space="0" w:color="auto"/>
            <w:right w:val="none" w:sz="0" w:space="0" w:color="auto"/>
          </w:divBdr>
        </w:div>
        <w:div w:id="2067752397">
          <w:marLeft w:val="-225"/>
          <w:marRight w:val="-225"/>
          <w:marTop w:val="0"/>
          <w:marBottom w:val="0"/>
          <w:divBdr>
            <w:top w:val="none" w:sz="0" w:space="0" w:color="auto"/>
            <w:left w:val="none" w:sz="0" w:space="0" w:color="auto"/>
            <w:bottom w:val="none" w:sz="0" w:space="0" w:color="auto"/>
            <w:right w:val="none" w:sz="0" w:space="0" w:color="auto"/>
          </w:divBdr>
        </w:div>
        <w:div w:id="356196974">
          <w:marLeft w:val="-225"/>
          <w:marRight w:val="-225"/>
          <w:marTop w:val="0"/>
          <w:marBottom w:val="0"/>
          <w:divBdr>
            <w:top w:val="none" w:sz="0" w:space="0" w:color="auto"/>
            <w:left w:val="none" w:sz="0" w:space="0" w:color="auto"/>
            <w:bottom w:val="none" w:sz="0" w:space="0" w:color="auto"/>
            <w:right w:val="none" w:sz="0" w:space="0" w:color="auto"/>
          </w:divBdr>
        </w:div>
        <w:div w:id="1804889546">
          <w:marLeft w:val="-225"/>
          <w:marRight w:val="-225"/>
          <w:marTop w:val="0"/>
          <w:marBottom w:val="0"/>
          <w:divBdr>
            <w:top w:val="none" w:sz="0" w:space="0" w:color="auto"/>
            <w:left w:val="none" w:sz="0" w:space="0" w:color="auto"/>
            <w:bottom w:val="none" w:sz="0" w:space="0" w:color="auto"/>
            <w:right w:val="none" w:sz="0" w:space="0" w:color="auto"/>
          </w:divBdr>
        </w:div>
      </w:divsChild>
    </w:div>
    <w:div w:id="2091583424">
      <w:bodyDiv w:val="1"/>
      <w:marLeft w:val="0"/>
      <w:marRight w:val="0"/>
      <w:marTop w:val="0"/>
      <w:marBottom w:val="0"/>
      <w:divBdr>
        <w:top w:val="none" w:sz="0" w:space="0" w:color="auto"/>
        <w:left w:val="none" w:sz="0" w:space="0" w:color="auto"/>
        <w:bottom w:val="none" w:sz="0" w:space="0" w:color="auto"/>
        <w:right w:val="none" w:sz="0" w:space="0" w:color="auto"/>
      </w:divBdr>
      <w:divsChild>
        <w:div w:id="129791197">
          <w:marLeft w:val="0"/>
          <w:marRight w:val="0"/>
          <w:marTop w:val="0"/>
          <w:marBottom w:val="0"/>
          <w:divBdr>
            <w:top w:val="none" w:sz="0" w:space="0" w:color="auto"/>
            <w:left w:val="none" w:sz="0" w:space="0" w:color="auto"/>
            <w:bottom w:val="none" w:sz="0" w:space="0" w:color="auto"/>
            <w:right w:val="none" w:sz="0" w:space="0" w:color="auto"/>
          </w:divBdr>
          <w:divsChild>
            <w:div w:id="129606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AZJMDCZ6QSYZ-1849078857-58579</_dlc_DocId>
    <_dlc_DocIdUrl xmlns="a494813a-d0d8-4dad-94cb-0d196f36ba15">
      <Url>https://ekoordinacije.vlada.hr/koordinacija-gospodarstvo/_layouts/15/DocIdRedir.aspx?ID=AZJMDCZ6QSYZ-1849078857-58579</Url>
      <Description>AZJMDCZ6QSYZ-1849078857-58579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9B0585B2CC6B7498492DEAFE3511BDC" ma:contentTypeVersion="0" ma:contentTypeDescription="Stvaranje novog dokumenta." ma:contentTypeScope="" ma:versionID="031b15ee640d5b1e5bf656d975c724db">
  <xsd:schema xmlns:xsd="http://www.w3.org/2001/XMLSchema" xmlns:xs="http://www.w3.org/2001/XMLSchema" xmlns:p="http://schemas.microsoft.com/office/2006/metadata/properties" xmlns:ns2="a494813a-d0d8-4dad-94cb-0d196f36ba15" targetNamespace="http://schemas.microsoft.com/office/2006/metadata/properties" ma:root="true" ma:fieldsID="c4dd91abb1b66472ace8a8137ff32509" ns2:_="">
    <xsd:import namespace="a494813a-d0d8-4dad-94cb-0d196f36ba1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941BF-6917-4B7F-A3B5-ED0B098CD051}">
  <ds:schemaRefs>
    <ds:schemaRef ds:uri="http://schemas.microsoft.com/sharepoint/events"/>
  </ds:schemaRefs>
</ds:datastoreItem>
</file>

<file path=customXml/itemProps2.xml><?xml version="1.0" encoding="utf-8"?>
<ds:datastoreItem xmlns:ds="http://schemas.openxmlformats.org/officeDocument/2006/customXml" ds:itemID="{0687CBD3-D16E-4C84-879F-B2CB4470FEC9}">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a494813a-d0d8-4dad-94cb-0d196f36ba15"/>
    <ds:schemaRef ds:uri="http://www.w3.org/XML/1998/namespace"/>
  </ds:schemaRefs>
</ds:datastoreItem>
</file>

<file path=customXml/itemProps3.xml><?xml version="1.0" encoding="utf-8"?>
<ds:datastoreItem xmlns:ds="http://schemas.openxmlformats.org/officeDocument/2006/customXml" ds:itemID="{A4F89279-8BD0-4F9E-A2B2-0577C044E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4CDD6B-F670-448D-946C-2A1AA0E6B121}">
  <ds:schemaRefs>
    <ds:schemaRef ds:uri="http://schemas.microsoft.com/sharepoint/v3/contenttype/forms"/>
  </ds:schemaRefs>
</ds:datastoreItem>
</file>

<file path=customXml/itemProps5.xml><?xml version="1.0" encoding="utf-8"?>
<ds:datastoreItem xmlns:ds="http://schemas.openxmlformats.org/officeDocument/2006/customXml" ds:itemID="{8ECEF4E7-D240-4E2B-8497-083769753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280</Pages>
  <Words>138639</Words>
  <Characters>790243</Characters>
  <Application>Microsoft Office Word</Application>
  <DocSecurity>0</DocSecurity>
  <Lines>6585</Lines>
  <Paragraphs>1854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mfkor</dc:creator>
  <cp:keywords/>
  <dc:description/>
  <cp:lastModifiedBy>Maja Lebarović</cp:lastModifiedBy>
  <cp:revision>8</cp:revision>
  <cp:lastPrinted>2026-07-13T07:52:00Z</cp:lastPrinted>
  <dcterms:created xsi:type="dcterms:W3CDTF">2026-09-22T05:05:00Z</dcterms:created>
  <dcterms:modified xsi:type="dcterms:W3CDTF">2026-09-29T10:49:00Z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0x010100E9B0585B2CC6B7498492DEAFE3511BDC</vt:lpwstr>
  </property>
  <property fmtid="{D5CDD505-2E9C-101B-9397-08002B2CF9AE}" pid="3" name="_dlc_DocIdItemGuid">
    <vt:lpwstr>ac36fbbf-98d6-49e2-9df0-9c0c4076faf3</vt:lpwstr>
  </property>
</Properties>
</file>