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1645" w14:textId="77777777" w:rsidR="00BA19C0" w:rsidRPr="00BA19C0" w:rsidRDefault="00BA19C0" w:rsidP="00BA19C0">
      <w:pPr>
        <w:tabs>
          <w:tab w:val="center" w:pos="4230"/>
          <w:tab w:val="right" w:pos="775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5FE1646" w14:textId="77777777" w:rsidR="00BA19C0" w:rsidRPr="00BA19C0" w:rsidRDefault="00BA19C0" w:rsidP="00BA1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9C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FE168D" wp14:editId="65FE168E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9C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5FE1647" w14:textId="77777777" w:rsidR="00BA19C0" w:rsidRPr="00BA19C0" w:rsidRDefault="00BA19C0" w:rsidP="00BA19C0">
      <w:pPr>
        <w:spacing w:before="60" w:after="1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C0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65FE1648" w14:textId="77B12360" w:rsidR="00BA19C0" w:rsidRPr="00BA19C0" w:rsidRDefault="00BA19C0" w:rsidP="00BA19C0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A19C0">
        <w:rPr>
          <w:rFonts w:ascii="Times New Roman" w:hAnsi="Times New Roman" w:cs="Times New Roman"/>
          <w:sz w:val="24"/>
          <w:szCs w:val="24"/>
        </w:rPr>
        <w:t xml:space="preserve">Zagreb, </w:t>
      </w:r>
      <w:r w:rsidR="00632258">
        <w:rPr>
          <w:rFonts w:ascii="Times New Roman" w:hAnsi="Times New Roman" w:cs="Times New Roman"/>
          <w:sz w:val="24"/>
          <w:szCs w:val="24"/>
        </w:rPr>
        <w:t>2</w:t>
      </w:r>
      <w:r w:rsidR="00820440">
        <w:rPr>
          <w:rFonts w:ascii="Times New Roman" w:hAnsi="Times New Roman" w:cs="Times New Roman"/>
          <w:sz w:val="24"/>
          <w:szCs w:val="24"/>
        </w:rPr>
        <w:t>9</w:t>
      </w:r>
      <w:r w:rsidR="00632258">
        <w:rPr>
          <w:rFonts w:ascii="Times New Roman" w:hAnsi="Times New Roman" w:cs="Times New Roman"/>
          <w:sz w:val="24"/>
          <w:szCs w:val="24"/>
        </w:rPr>
        <w:t>.</w:t>
      </w:r>
      <w:r w:rsidRPr="00BA19C0">
        <w:rPr>
          <w:rFonts w:ascii="Times New Roman" w:hAnsi="Times New Roman" w:cs="Times New Roman"/>
          <w:sz w:val="24"/>
          <w:szCs w:val="24"/>
        </w:rPr>
        <w:t xml:space="preserve"> siječnja 2026.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A19C0" w:rsidRPr="00BA19C0" w14:paraId="65FE164B" w14:textId="77777777" w:rsidTr="00017FD1">
        <w:tc>
          <w:tcPr>
            <w:tcW w:w="1951" w:type="dxa"/>
            <w:hideMark/>
          </w:tcPr>
          <w:p w14:paraId="65FE1649" w14:textId="77777777" w:rsidR="00BA19C0" w:rsidRPr="00BA19C0" w:rsidRDefault="00BA19C0" w:rsidP="00BA19C0">
            <w:pPr>
              <w:spacing w:after="12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BA19C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A19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5FE164A" w14:textId="77777777" w:rsidR="00BA19C0" w:rsidRPr="00BA19C0" w:rsidRDefault="00BA19C0" w:rsidP="00BA19C0">
            <w:pPr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BA19C0">
              <w:rPr>
                <w:rFonts w:ascii="Times New Roman" w:hAnsi="Times New Roman" w:cs="Times New Roman"/>
                <w:sz w:val="24"/>
                <w:szCs w:val="24"/>
              </w:rPr>
              <w:t xml:space="preserve">Ministarstvo obrane </w:t>
            </w:r>
          </w:p>
        </w:tc>
      </w:tr>
    </w:tbl>
    <w:p w14:paraId="65FE164C" w14:textId="77777777" w:rsidR="00BA19C0" w:rsidRPr="00BA19C0" w:rsidRDefault="00BA19C0" w:rsidP="00BA19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hr-BA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A19C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A19C0" w:rsidRPr="00BA19C0" w14:paraId="65FE164F" w14:textId="77777777" w:rsidTr="00017FD1">
        <w:tc>
          <w:tcPr>
            <w:tcW w:w="1951" w:type="dxa"/>
            <w:hideMark/>
          </w:tcPr>
          <w:p w14:paraId="65FE164D" w14:textId="7254B404" w:rsidR="00BA19C0" w:rsidRPr="00BA19C0" w:rsidRDefault="00632258" w:rsidP="00632258">
            <w:pPr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BA19C0" w:rsidRPr="00BA19C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="00BA19C0" w:rsidRPr="00BA19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12A0A8F" w14:textId="77777777" w:rsidR="00632258" w:rsidRPr="00632258" w:rsidRDefault="00632258" w:rsidP="006322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 odluke o davanju prethodne suglasnosti za nabavu streljiva putem Europske obrambene agencije </w:t>
            </w:r>
          </w:p>
          <w:p w14:paraId="65FE164E" w14:textId="7B240D95" w:rsidR="00BA19C0" w:rsidRPr="00BA19C0" w:rsidRDefault="00BA19C0" w:rsidP="00BA19C0">
            <w:pPr>
              <w:spacing w:after="0" w:line="240" w:lineRule="auto"/>
              <w:jc w:val="both"/>
              <w:rPr>
                <w:rFonts w:ascii="Times New Roman" w:eastAsia="SimHe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</w:tbl>
    <w:p w14:paraId="65FE1650" w14:textId="77777777" w:rsidR="00BA19C0" w:rsidRPr="00BA19C0" w:rsidRDefault="00BA19C0" w:rsidP="00BA19C0">
      <w:pPr>
        <w:tabs>
          <w:tab w:val="left" w:pos="1843"/>
        </w:tabs>
        <w:spacing w:line="240" w:lineRule="auto"/>
        <w:ind w:left="1843" w:hanging="1843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A1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FE1651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2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3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4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5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6" w14:textId="77777777" w:rsidR="00BA19C0" w:rsidRP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7" w14:textId="77777777" w:rsidR="00BA19C0" w:rsidRDefault="00BA19C0" w:rsidP="00BA19C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65FE1658" w14:textId="77777777" w:rsidR="00BA19C0" w:rsidRPr="00BA19C0" w:rsidRDefault="00BA19C0" w:rsidP="00BA19C0">
      <w:pPr>
        <w:pBdr>
          <w:bottom w:val="single" w:sz="12" w:space="1" w:color="auto"/>
        </w:pBd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073CFAF2" w14:textId="77777777" w:rsidR="00632258" w:rsidRPr="00BA19C0" w:rsidRDefault="00632258" w:rsidP="00632258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  <w:r w:rsidRPr="00BA19C0">
        <w:rPr>
          <w:color w:val="404040"/>
          <w:spacing w:val="20"/>
        </w:rPr>
        <w:t>Banski dvori | Trg Sv. Marka 2  | 10000 Zagreb | tel. 01 4569 222 | vlada.gov.hr</w:t>
      </w:r>
    </w:p>
    <w:p w14:paraId="21B89F5B" w14:textId="77777777" w:rsidR="00632258" w:rsidRPr="00895D3B" w:rsidRDefault="00632258" w:rsidP="00BA19C0">
      <w:pPr>
        <w:tabs>
          <w:tab w:val="left" w:pos="1843"/>
        </w:tabs>
        <w:spacing w:line="360" w:lineRule="auto"/>
        <w:ind w:left="1843" w:hanging="1843"/>
        <w:rPr>
          <w:rFonts w:eastAsia="Arial Unicode MS"/>
          <w:color w:val="000000"/>
          <w:lang w:eastAsia="zh-CN"/>
        </w:rPr>
      </w:pPr>
    </w:p>
    <w:p w14:paraId="65FE165B" w14:textId="77777777" w:rsidR="00BA19C0" w:rsidRDefault="00BA19C0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65FE165C" w14:textId="77777777" w:rsidR="00BA19C0" w:rsidRDefault="00BA19C0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65FE165D" w14:textId="77777777" w:rsidR="00BA19C0" w:rsidRPr="007406D9" w:rsidRDefault="00BA19C0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65FE165E" w14:textId="77777777" w:rsidR="00FB3C9B" w:rsidRPr="007406D9" w:rsidRDefault="00FB3C9B" w:rsidP="00D23E5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2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pacing w:val="22"/>
          <w:sz w:val="24"/>
          <w:szCs w:val="24"/>
          <w:lang w:eastAsia="hr-HR"/>
        </w:rPr>
        <w:t xml:space="preserve">P r i j e d l o g </w:t>
      </w:r>
    </w:p>
    <w:p w14:paraId="65FE165F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0" w14:textId="77777777" w:rsidR="0021644B" w:rsidRDefault="0021644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1" w14:textId="77777777" w:rsid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5FE1662" w14:textId="77777777" w:rsidR="0021644B" w:rsidRPr="00A261CA" w:rsidRDefault="0021644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3" w14:textId="77777777" w:rsidR="00FB3C9B" w:rsidRPr="00A261CA" w:rsidRDefault="00FB3C9B" w:rsidP="00FB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4" w14:textId="71F6F90B" w:rsidR="00FB3C9B" w:rsidRPr="007406D9" w:rsidRDefault="00D23E51" w:rsidP="00AF5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OLE_LINK1"/>
      <w:bookmarkStart w:id="1" w:name="OLE_LINK2"/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48. stavka 2. Zakona </w:t>
      </w:r>
      <w:r w:rsidR="00EE1368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o proračunu (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E1368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</w:t>
      </w:r>
      <w:r w:rsidR="00632258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144/21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), a u vezi s člankom 2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stavkom 3. točkom 1. Zakona o izvršavanju Državnog proračuna Republike Hrvatske za 202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</w:t>
      </w:r>
      <w:r w:rsidR="00632258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1368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52</w:t>
      </w:r>
      <w:r w:rsidR="00EE1368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/25</w:t>
      </w:r>
      <w:r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>) Vlada Republike Hrvatske je na sjednici održanoj  _________</w:t>
      </w:r>
      <w:r w:rsidR="002164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="00FB3C9B" w:rsidRPr="00A26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bookmarkEnd w:id="0"/>
    <w:bookmarkEnd w:id="1"/>
    <w:p w14:paraId="65FE1665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6" w14:textId="77777777" w:rsidR="00D23E51" w:rsidRPr="007406D9" w:rsidRDefault="00D23E51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67" w14:textId="77777777" w:rsidR="00FB3C9B" w:rsidRPr="007406D9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  <w:t>ODLUKU</w:t>
      </w:r>
    </w:p>
    <w:p w14:paraId="65FE1668" w14:textId="77777777" w:rsidR="00FB3C9B" w:rsidRPr="007406D9" w:rsidRDefault="00FB3C9B" w:rsidP="00D23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0215A4" w14:textId="7D034196" w:rsidR="00C9662F" w:rsidRDefault="00C9662F" w:rsidP="00C966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9662F">
        <w:rPr>
          <w:rFonts w:ascii="Times New Roman" w:hAnsi="Times New Roman" w:cs="Times New Roman"/>
          <w:b/>
          <w:sz w:val="24"/>
          <w:szCs w:val="24"/>
        </w:rPr>
        <w:t xml:space="preserve">Prijedlog odluke o davanju prethodne suglasnosti za nabavu streljiva putem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293B1B1" w14:textId="71748A50" w:rsidR="00C9662F" w:rsidRPr="00C9662F" w:rsidRDefault="00C9662F" w:rsidP="00C9662F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9662F">
        <w:rPr>
          <w:rFonts w:ascii="Times New Roman" w:hAnsi="Times New Roman" w:cs="Times New Roman"/>
          <w:b/>
          <w:sz w:val="24"/>
          <w:szCs w:val="24"/>
        </w:rPr>
        <w:t xml:space="preserve">Europske obrambene agencije </w:t>
      </w:r>
    </w:p>
    <w:p w14:paraId="65FE166C" w14:textId="77777777" w:rsidR="0021644B" w:rsidRDefault="0021644B" w:rsidP="00FB3C9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FE166D" w14:textId="77777777" w:rsidR="0021644B" w:rsidRPr="007406D9" w:rsidRDefault="0021644B" w:rsidP="00FB3C9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FE166E" w14:textId="77777777" w:rsidR="00FB3C9B" w:rsidRPr="007406D9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5FE166F" w14:textId="77777777" w:rsidR="00FB3C9B" w:rsidRPr="007406D9" w:rsidRDefault="00FB3C9B" w:rsidP="00FB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0" w14:textId="77777777" w:rsidR="00FB3C9B" w:rsidRPr="007406D9" w:rsidRDefault="00FB3C9B" w:rsidP="00EE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23E51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</w:t>
      </w:r>
      <w:r w:rsidR="00265A25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prethodna </w:t>
      </w: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 Ministarstvu obrane za preuzimanje obveza na teret sredstava državn</w:t>
      </w:r>
      <w:r w:rsid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proračuna Republike Hrvatske </w:t>
      </w:r>
      <w:r w:rsidR="00EE1368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91387" w:rsidRP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B91387" w:rsidRP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za </w:t>
      </w:r>
      <w:r w:rsidR="0056145C" w:rsidRPr="00561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nabavu </w:t>
      </w:r>
      <w:r w:rsidR="00EF6FC1"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streljiva putem Europske obrambene agencije </w:t>
      </w: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C537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10.055.360,00 </w:t>
      </w:r>
      <w:r w:rsidR="00EE1368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FE1671" w14:textId="77777777" w:rsidR="00EE1368" w:rsidRPr="007406D9" w:rsidRDefault="00EE1368" w:rsidP="00EE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2" w14:textId="77777777" w:rsidR="00EE1368" w:rsidRPr="007406D9" w:rsidRDefault="00EE1368" w:rsidP="00EE1368">
      <w:pPr>
        <w:jc w:val="center"/>
        <w:rPr>
          <w:rFonts w:ascii="Times New Roman" w:hAnsi="Times New Roman"/>
          <w:b/>
          <w:sz w:val="24"/>
          <w:szCs w:val="24"/>
        </w:rPr>
      </w:pPr>
      <w:r w:rsidRPr="007406D9">
        <w:rPr>
          <w:rFonts w:ascii="Times New Roman" w:hAnsi="Times New Roman"/>
          <w:b/>
          <w:sz w:val="24"/>
          <w:szCs w:val="24"/>
        </w:rPr>
        <w:t>II.</w:t>
      </w:r>
    </w:p>
    <w:p w14:paraId="65FE1673" w14:textId="77777777" w:rsidR="00B91387" w:rsidRDefault="00EE1368" w:rsidP="00B91387">
      <w:pPr>
        <w:jc w:val="both"/>
        <w:rPr>
          <w:rFonts w:ascii="Times New Roman" w:hAnsi="Times New Roman"/>
          <w:sz w:val="24"/>
          <w:szCs w:val="24"/>
        </w:rPr>
      </w:pPr>
      <w:r w:rsidRPr="007406D9">
        <w:rPr>
          <w:rFonts w:ascii="Times New Roman" w:hAnsi="Times New Roman"/>
          <w:sz w:val="24"/>
          <w:szCs w:val="24"/>
        </w:rPr>
        <w:tab/>
      </w:r>
      <w:r w:rsidR="00D23E51" w:rsidRPr="007406D9">
        <w:rPr>
          <w:rFonts w:ascii="Times New Roman" w:hAnsi="Times New Roman"/>
          <w:sz w:val="24"/>
          <w:szCs w:val="24"/>
        </w:rPr>
        <w:tab/>
      </w:r>
      <w:r w:rsidR="00B91387" w:rsidRPr="007406D9">
        <w:rPr>
          <w:rFonts w:ascii="Times New Roman" w:hAnsi="Times New Roman"/>
          <w:sz w:val="24"/>
          <w:szCs w:val="24"/>
        </w:rPr>
        <w:t>Ova Odluka stupa na snagu danom donošenja.</w:t>
      </w:r>
    </w:p>
    <w:p w14:paraId="65FE1674" w14:textId="77777777" w:rsidR="00B91387" w:rsidRDefault="00B91387" w:rsidP="007406D9">
      <w:pPr>
        <w:jc w:val="both"/>
        <w:rPr>
          <w:rFonts w:ascii="Times New Roman" w:hAnsi="Times New Roman"/>
          <w:sz w:val="24"/>
          <w:szCs w:val="24"/>
        </w:rPr>
      </w:pPr>
    </w:p>
    <w:p w14:paraId="65FE1675" w14:textId="77777777" w:rsidR="00B91387" w:rsidRPr="007406D9" w:rsidRDefault="00B91387" w:rsidP="007406D9">
      <w:pPr>
        <w:jc w:val="both"/>
        <w:rPr>
          <w:rFonts w:ascii="Times New Roman" w:hAnsi="Times New Roman"/>
          <w:sz w:val="24"/>
          <w:szCs w:val="24"/>
        </w:rPr>
      </w:pPr>
    </w:p>
    <w:p w14:paraId="65FE1676" w14:textId="77777777" w:rsidR="00FB3C9B" w:rsidRPr="007406D9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P R E D S J E D N I K</w:t>
      </w:r>
    </w:p>
    <w:p w14:paraId="65FE1677" w14:textId="77777777" w:rsidR="00FB3C9B" w:rsidRPr="007406D9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8" w14:textId="77777777" w:rsidR="00FB3C9B" w:rsidRPr="007406D9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p w14:paraId="65FE1679" w14:textId="77777777" w:rsidR="0056145C" w:rsidRDefault="0056145C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A" w14:textId="77777777" w:rsidR="0056145C" w:rsidRDefault="0056145C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B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65FE167C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5FE167D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7E" w14:textId="77777777" w:rsidR="00FB3C9B" w:rsidRPr="007406D9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5FE167F" w14:textId="77777777" w:rsidR="00D23E51" w:rsidRPr="007406D9" w:rsidRDefault="00D23E51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65FE1680" w14:textId="77777777" w:rsidR="0056145C" w:rsidRDefault="0056145C">
      <w:pPr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  <w:br w:type="page"/>
      </w:r>
    </w:p>
    <w:p w14:paraId="65FE1681" w14:textId="77777777" w:rsidR="00B42B05" w:rsidRDefault="00B42B05">
      <w:pPr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65FE1682" w14:textId="77777777" w:rsidR="00FB3C9B" w:rsidRPr="007406D9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  <w:t>Obrazloženje</w:t>
      </w:r>
    </w:p>
    <w:p w14:paraId="65FE1683" w14:textId="77777777" w:rsidR="00FB3C9B" w:rsidRPr="007406D9" w:rsidRDefault="00FB3C9B" w:rsidP="00FB3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84" w14:textId="77777777" w:rsidR="009639A4" w:rsidRDefault="00D23E51" w:rsidP="00455F1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B3C9B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B3C9B" w:rsidRPr="007406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točki I</w:t>
      </w:r>
      <w:r w:rsidR="00FB3C9B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daje se </w:t>
      </w:r>
      <w:r w:rsidR="00265A25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prethodna </w:t>
      </w:r>
      <w:r w:rsidR="00FB3C9B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Ministarstvu obrane za preuzimanje obveza na teret sredstava državnog proračuna Republike Hrvatske </w:t>
      </w:r>
      <w:r w:rsidR="00EF6FC1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F6FC1" w:rsidRP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F6FC1" w:rsidRPr="00B91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za </w:t>
      </w:r>
      <w:r w:rsidR="00EF6FC1" w:rsidRPr="00561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nabavu </w:t>
      </w:r>
      <w:r w:rsidR="00EF6FC1"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streljiva putem Europske obrambene agencije </w:t>
      </w:r>
      <w:r w:rsidR="00EF6FC1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C537D1" w:rsidRPr="00C537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10.055.360,00 </w:t>
      </w:r>
      <w:r w:rsidR="00EF6FC1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FE1685" w14:textId="77777777" w:rsidR="00EF6FC1" w:rsidRPr="00EF6FC1" w:rsidRDefault="003374CD" w:rsidP="00455F1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F6FC1"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kontekstu narušene sigurnosne situacije izazvane ruskom agresijom na Ukrajinu dodatno je istaknuta važnost podizanja spremnosti, učinkovitosti i daljnjeg razvoja obrambenih sposobnosti, kao i ulaganja u zajednički razvoj i nabavu ključnih obrambenih sposobnosti država članica Europske unije. </w:t>
      </w:r>
    </w:p>
    <w:p w14:paraId="65FE1686" w14:textId="77777777" w:rsidR="001A5257" w:rsidRDefault="00EF6FC1" w:rsidP="00455F10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iskaza potreba i interesa država članica Europske unije Europska obrambena agencija (European Defence Agency </w:t>
      </w:r>
      <w:r w:rsidR="001A525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EDA) finalizirala je Projektne sporazume (PA - Project Arrangement) za tri kategorije obrambenih proizvoda za zajedničku nabavu: streljivo, opremu za vojnike i NBKO zaštitna sredstva. </w:t>
      </w:r>
    </w:p>
    <w:p w14:paraId="65FE1687" w14:textId="77777777" w:rsidR="00EF6FC1" w:rsidRPr="00EF6FC1" w:rsidRDefault="00EF6FC1" w:rsidP="00455F10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Zajednička nabava obrambenih proizvoda kroz projekte Europske obrambene agencije je od strane Oružanih snaga Republike Hrvatske ocijenjena kao iznimno značajna za popunu nedostajućih nacionalnih zaliha i održavanje spremnosti Oružanih snaga te implementaciju prihvaćenih ciljeva sposobnosti. Iz istog razloga, ministar obrane je u 2023. godini ispred Republike Hrvatske potpisao Projektne sporazume za sve tri kategorije o čemu je prethodno kroz usvojena stajališta Republike Hrvatske za sastanke Vijeća za vanjske poslove (obrana) upoznata Vlada Republike Hrvatske.</w:t>
      </w:r>
    </w:p>
    <w:p w14:paraId="65FE1688" w14:textId="77777777" w:rsidR="003374CD" w:rsidRDefault="00EF6FC1" w:rsidP="00455F10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Zbog velikog interesa država članica Europske unije, Europska obrambena agencija prihvatila je ulogu agencije za nabavu, koja u ime država članica Unije provodi raspisivanje natječaja, evaluaciju ponuda te ugovaranje i nabavu obrambenih proizvoda za potrebe država članica.</w:t>
      </w:r>
    </w:p>
    <w:p w14:paraId="65FE1689" w14:textId="77777777" w:rsidR="00EF6FC1" w:rsidRDefault="00EF6FC1" w:rsidP="00455F10">
      <w:pPr>
        <w:spacing w:after="120" w:line="240" w:lineRule="auto"/>
        <w:ind w:firstLine="1418"/>
        <w:jc w:val="both"/>
      </w:pP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potreba za nabavom streljiva 155 mm za haubice CAESAR MK2, Ministarstvo obrane pokrenulo je nabavu putem Europske obrambene agencije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okvirnim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a za zajedničku nabavu streljiva 155 mm za haubice CAESAR koje je Europska obrambena agencija sklopila s dobavljačima Nexter Munitions S.A. i JUNGHANS Microtec GmbH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kupne obveze Ministarstva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obrane iznose </w:t>
      </w:r>
      <w:r w:rsidR="00C537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14.244.800,00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od čega 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4.189.440,00 eura u 2026. godini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37D1" w:rsidRPr="00C537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10.055.360,00 </w:t>
      </w: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eura u 2028. godini.</w:t>
      </w:r>
    </w:p>
    <w:p w14:paraId="65FE168A" w14:textId="77777777" w:rsidR="001A5257" w:rsidRDefault="00EF6FC1" w:rsidP="00455F10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FC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sredstva za 2026. i 2028. godinu osigurana su u Državnom proračunu Republike Hrvatske za 2026. i projekcijama za 2027. i 2028. godinu na razdjelu i glavi Ministarstva obrane, u programu 2510 Opremanje i modernizacija, aktivnosti A545042 Opremanje materijalno tehničkim sredstvima, izvoru financiranja 11 Opći prihodi i primici, na računu 32 Materijalni rashodi.</w:t>
      </w:r>
    </w:p>
    <w:p w14:paraId="65FE168B" w14:textId="77777777" w:rsidR="001A5257" w:rsidRPr="00EF6FC1" w:rsidRDefault="001A5257" w:rsidP="00455F10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168C" w14:textId="77777777" w:rsidR="00B91387" w:rsidRPr="007406D9" w:rsidRDefault="00D23E51" w:rsidP="00DE3788">
      <w:pPr>
        <w:widowControl w:val="0"/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7406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točki II.</w:t>
      </w:r>
      <w:r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1387" w:rsidRPr="007406D9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se stupanje na snagu ove Odluke.</w:t>
      </w:r>
    </w:p>
    <w:sectPr w:rsidR="00B91387" w:rsidRPr="007406D9" w:rsidSect="00EE1368">
      <w:footerReference w:type="default" r:id="rId11"/>
      <w:pgSz w:w="11906" w:h="16838" w:code="9"/>
      <w:pgMar w:top="709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1691" w14:textId="77777777" w:rsidR="008A1CEB" w:rsidRDefault="008A1CEB">
      <w:pPr>
        <w:spacing w:after="0" w:line="240" w:lineRule="auto"/>
      </w:pPr>
      <w:r>
        <w:separator/>
      </w:r>
    </w:p>
  </w:endnote>
  <w:endnote w:type="continuationSeparator" w:id="0">
    <w:p w14:paraId="65FE1692" w14:textId="77777777" w:rsidR="008A1CEB" w:rsidRDefault="008A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1693" w14:textId="77777777" w:rsidR="00FB3C9B" w:rsidRDefault="00FB3C9B">
    <w:pPr>
      <w:pStyle w:val="Podnoje"/>
      <w:jc w:val="right"/>
    </w:pPr>
  </w:p>
  <w:p w14:paraId="65FE1694" w14:textId="77777777" w:rsidR="00FB3C9B" w:rsidRPr="0077732B" w:rsidRDefault="00FB3C9B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168F" w14:textId="77777777" w:rsidR="008A1CEB" w:rsidRDefault="008A1CEB">
      <w:pPr>
        <w:spacing w:after="0" w:line="240" w:lineRule="auto"/>
      </w:pPr>
      <w:r>
        <w:separator/>
      </w:r>
    </w:p>
  </w:footnote>
  <w:footnote w:type="continuationSeparator" w:id="0">
    <w:p w14:paraId="65FE1690" w14:textId="77777777" w:rsidR="008A1CEB" w:rsidRDefault="008A1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5DB"/>
    <w:rsid w:val="00050E32"/>
    <w:rsid w:val="00091EC4"/>
    <w:rsid w:val="00190825"/>
    <w:rsid w:val="001A5257"/>
    <w:rsid w:val="001E41DA"/>
    <w:rsid w:val="0021644B"/>
    <w:rsid w:val="00265A25"/>
    <w:rsid w:val="003374CD"/>
    <w:rsid w:val="0044138B"/>
    <w:rsid w:val="00455F10"/>
    <w:rsid w:val="00462D16"/>
    <w:rsid w:val="004C7AA9"/>
    <w:rsid w:val="004D0E20"/>
    <w:rsid w:val="005040BC"/>
    <w:rsid w:val="005244AD"/>
    <w:rsid w:val="0056145C"/>
    <w:rsid w:val="005A7FDF"/>
    <w:rsid w:val="005D5C9D"/>
    <w:rsid w:val="0061626D"/>
    <w:rsid w:val="00632258"/>
    <w:rsid w:val="006436CD"/>
    <w:rsid w:val="00647D26"/>
    <w:rsid w:val="00677AEA"/>
    <w:rsid w:val="00682581"/>
    <w:rsid w:val="006A115B"/>
    <w:rsid w:val="006E1F83"/>
    <w:rsid w:val="0072192B"/>
    <w:rsid w:val="007406D9"/>
    <w:rsid w:val="00752110"/>
    <w:rsid w:val="007B6B68"/>
    <w:rsid w:val="00820440"/>
    <w:rsid w:val="0088562C"/>
    <w:rsid w:val="008877B3"/>
    <w:rsid w:val="00890587"/>
    <w:rsid w:val="008958BE"/>
    <w:rsid w:val="008A1CEB"/>
    <w:rsid w:val="008D1799"/>
    <w:rsid w:val="009639A4"/>
    <w:rsid w:val="009C561A"/>
    <w:rsid w:val="009C7AD7"/>
    <w:rsid w:val="00A261CA"/>
    <w:rsid w:val="00A81D32"/>
    <w:rsid w:val="00AF5A33"/>
    <w:rsid w:val="00B265DB"/>
    <w:rsid w:val="00B42B05"/>
    <w:rsid w:val="00B91387"/>
    <w:rsid w:val="00BA19C0"/>
    <w:rsid w:val="00BF6EE6"/>
    <w:rsid w:val="00C4616D"/>
    <w:rsid w:val="00C537D1"/>
    <w:rsid w:val="00C55920"/>
    <w:rsid w:val="00C9662F"/>
    <w:rsid w:val="00CE571A"/>
    <w:rsid w:val="00D23E51"/>
    <w:rsid w:val="00D41F5A"/>
    <w:rsid w:val="00D514C8"/>
    <w:rsid w:val="00D93F69"/>
    <w:rsid w:val="00DE3788"/>
    <w:rsid w:val="00E12CD4"/>
    <w:rsid w:val="00E93488"/>
    <w:rsid w:val="00EC0E84"/>
    <w:rsid w:val="00EE1368"/>
    <w:rsid w:val="00EF6FC1"/>
    <w:rsid w:val="00F04325"/>
    <w:rsid w:val="00F248C5"/>
    <w:rsid w:val="00FB3C9B"/>
    <w:rsid w:val="00FD53A5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1645"/>
  <w15:docId w15:val="{DFF9F6AC-1652-4B1D-B6EF-1336194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B3C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B3C9B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5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AZJMDCZ6QSYZ-894770516-13444</_dlc_DocId>
    <_dlc_DocIdUrl xmlns="a494813a-d0d8-4dad-94cb-0d196f36ba15">
      <Url>https://ekoordinacije.vlada.hr/dom-sigurnost-branitelji/_layouts/15/DocIdRedir.aspx?ID=AZJMDCZ6QSYZ-894770516-13444</Url>
      <Description>AZJMDCZ6QSYZ-894770516-13444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2AB4C-A76D-4E98-AFE9-76BA82BCFA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ED3A3A-D951-49E4-BB3D-7E254250E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13264-C9C5-43F9-B23A-703A40DF9E39}">
  <ds:schemaRefs>
    <ds:schemaRef ds:uri="http://www.w3.org/XML/1998/namespace"/>
    <ds:schemaRef ds:uri="fe0590f5-f8fc-460b-89e0-957daa2a186a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FE4E3F-7AFD-491C-9FB0-D4A0A6DB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PERIŠIĆ</dc:creator>
  <cp:lastModifiedBy>Blanka Andraković</cp:lastModifiedBy>
  <cp:revision>5</cp:revision>
  <cp:lastPrinted>2025-12-01T10:50:00Z</cp:lastPrinted>
  <dcterms:created xsi:type="dcterms:W3CDTF">2026-01-22T09:59:00Z</dcterms:created>
  <dcterms:modified xsi:type="dcterms:W3CDTF">2026-01-27T11:43:00Z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c9c60632-643c-4f75-b9bd-46dee3b3c6d0</vt:lpwstr>
  </property>
</Properties>
</file>