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DB964" w14:textId="77777777" w:rsidR="00752932" w:rsidRPr="005C25B1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5C25B1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BD6B0CC" wp14:editId="06494D6B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5C25B1">
        <w:rPr>
          <w:rFonts w:ascii="Times New Roman" w:hAnsi="Times New Roman" w:cs="Times New Roman"/>
          <w:color w:val="auto"/>
        </w:rPr>
        <w:fldChar w:fldCharType="begin"/>
      </w:r>
      <w:r w:rsidR="00752932" w:rsidRPr="005C25B1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5C25B1">
        <w:rPr>
          <w:rFonts w:ascii="Times New Roman" w:hAnsi="Times New Roman" w:cs="Times New Roman"/>
          <w:color w:val="auto"/>
        </w:rPr>
        <w:fldChar w:fldCharType="end"/>
      </w:r>
    </w:p>
    <w:p w14:paraId="2B0E356E" w14:textId="77777777" w:rsidR="00752932" w:rsidRPr="00256F37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256F37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5B24796D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21533AD8" w14:textId="1E6012B3" w:rsidR="00752932" w:rsidRPr="00507E69" w:rsidRDefault="00752932" w:rsidP="002661E2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507E69">
        <w:rPr>
          <w:rFonts w:ascii="Times New Roman" w:hAnsi="Times New Roman" w:cs="Times New Roman"/>
          <w:color w:val="auto"/>
        </w:rPr>
        <w:t>Zagreb,</w:t>
      </w:r>
      <w:r w:rsidR="00D62722">
        <w:rPr>
          <w:rFonts w:ascii="Times New Roman" w:hAnsi="Times New Roman" w:cs="Times New Roman"/>
          <w:color w:val="auto"/>
        </w:rPr>
        <w:t xml:space="preserve"> </w:t>
      </w:r>
      <w:r w:rsidR="00D346C2">
        <w:rPr>
          <w:rFonts w:ascii="Times New Roman" w:hAnsi="Times New Roman" w:cs="Times New Roman"/>
          <w:color w:val="auto"/>
        </w:rPr>
        <w:t>28. svibnja</w:t>
      </w:r>
      <w:r w:rsidR="00195B75" w:rsidRPr="00443A9E">
        <w:rPr>
          <w:rFonts w:ascii="Times New Roman" w:hAnsi="Times New Roman" w:cs="Times New Roman"/>
          <w:color w:val="auto"/>
        </w:rPr>
        <w:t xml:space="preserve"> </w:t>
      </w:r>
      <w:r w:rsidRPr="00443A9E">
        <w:rPr>
          <w:rFonts w:ascii="Times New Roman" w:hAnsi="Times New Roman" w:cs="Times New Roman"/>
          <w:color w:val="auto"/>
        </w:rPr>
        <w:t>202</w:t>
      </w:r>
      <w:r w:rsidR="00F959F2" w:rsidRPr="00443A9E">
        <w:rPr>
          <w:rFonts w:ascii="Times New Roman" w:hAnsi="Times New Roman" w:cs="Times New Roman"/>
          <w:color w:val="auto"/>
        </w:rPr>
        <w:t>6</w:t>
      </w:r>
      <w:r w:rsidRPr="00507E69">
        <w:rPr>
          <w:rFonts w:ascii="Times New Roman" w:hAnsi="Times New Roman" w:cs="Times New Roman"/>
          <w:color w:val="auto"/>
        </w:rPr>
        <w:t>.</w:t>
      </w:r>
    </w:p>
    <w:p w14:paraId="110527B2" w14:textId="77777777" w:rsidR="00752932" w:rsidRPr="002A5AE4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0DD0861F" w14:textId="77777777" w:rsidR="00752932" w:rsidRPr="002A5AE4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A5AE4" w:rsidSect="00C5085C">
          <w:headerReference w:type="default" r:id="rId12"/>
          <w:headerReference w:type="first" r:id="rId13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A5AE4" w:rsidRPr="002A5AE4" w14:paraId="09A715B9" w14:textId="77777777">
        <w:tc>
          <w:tcPr>
            <w:tcW w:w="1951" w:type="dxa"/>
          </w:tcPr>
          <w:p w14:paraId="13B61E6B" w14:textId="77777777" w:rsidR="00752932" w:rsidRPr="002A5AE4" w:rsidRDefault="00752932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A5AE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B9A977" w14:textId="331918F3" w:rsidR="00752932" w:rsidRPr="002A5AE4" w:rsidRDefault="00752932" w:rsidP="00D346C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color w:val="auto"/>
              </w:rPr>
              <w:t xml:space="preserve">Ministarstvo </w:t>
            </w:r>
            <w:r w:rsidR="00D346C2">
              <w:rPr>
                <w:rFonts w:ascii="Times New Roman" w:hAnsi="Times New Roman" w:cs="Times New Roman"/>
                <w:color w:val="auto"/>
              </w:rPr>
              <w:t>gospodarstva</w:t>
            </w:r>
          </w:p>
        </w:tc>
      </w:tr>
    </w:tbl>
    <w:p w14:paraId="69F9055D" w14:textId="77777777" w:rsidR="00752932" w:rsidRPr="002A5AE4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14FB29B" w14:textId="77777777" w:rsidR="00752932" w:rsidRPr="002A5AE4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A5AE4" w:rsidSect="00C5085C">
          <w:type w:val="continuous"/>
          <w:pgSz w:w="11906" w:h="16838" w:code="9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A5AE4" w:rsidRPr="002A5AE4" w14:paraId="6ECC819C" w14:textId="77777777">
        <w:tc>
          <w:tcPr>
            <w:tcW w:w="1951" w:type="dxa"/>
          </w:tcPr>
          <w:p w14:paraId="3983946A" w14:textId="77777777" w:rsidR="00752932" w:rsidRPr="002A5AE4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A5AE4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2A5AE4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2A5AE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07E17184" w14:textId="752527E2" w:rsidR="00752932" w:rsidRPr="002A5AE4" w:rsidRDefault="00D346C2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418D">
              <w:rPr>
                <w:rFonts w:ascii="Times New Roman" w:hAnsi="Times New Roman" w:cs="Times New Roman"/>
              </w:rPr>
              <w:t>Izvješće o izvršenju ugovora o istraživanju i podjeli eksploatacije ugljikovodika sa stanjem na dan 31. prosinca 2025.</w:t>
            </w:r>
          </w:p>
        </w:tc>
      </w:tr>
    </w:tbl>
    <w:p w14:paraId="36952167" w14:textId="77777777" w:rsidR="00752932" w:rsidRPr="002A5AE4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2A5AE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22F3D45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394E332B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080DCDD1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49D928F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C0C444C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DA51B54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216724E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22BFFDC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D039FD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2F18044D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769C7DA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024D3C8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5FDD747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4DCA377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61BEFDEA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771FD57E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B4E3AA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232D30D9" w14:textId="77777777" w:rsidR="00752932" w:rsidRPr="002A5AE4" w:rsidRDefault="00752932" w:rsidP="00752932">
      <w:pPr>
        <w:rPr>
          <w:rFonts w:ascii="Times New Roman" w:hAnsi="Times New Roman" w:cs="Times New Roman"/>
          <w:color w:val="auto"/>
        </w:rPr>
      </w:pPr>
    </w:p>
    <w:p w14:paraId="17B7CB4D" w14:textId="77777777" w:rsidR="00752932" w:rsidRPr="002A5AE4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2A5AE4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00FF13FB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33C401" w14:textId="77777777" w:rsidR="00D346C2" w:rsidRPr="009B418D" w:rsidRDefault="00D346C2" w:rsidP="00D346C2">
      <w:pPr>
        <w:rPr>
          <w:rFonts w:ascii="Times New Roman" w:hAnsi="Times New Roman" w:cs="Times New Roman"/>
        </w:rPr>
      </w:pPr>
    </w:p>
    <w:p w14:paraId="19F34BCF" w14:textId="77777777" w:rsidR="00D346C2" w:rsidRPr="009B418D" w:rsidRDefault="00D346C2" w:rsidP="00D346C2">
      <w:pPr>
        <w:jc w:val="right"/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PRIJEDLOG</w:t>
      </w:r>
    </w:p>
    <w:p w14:paraId="25AFF7D4" w14:textId="77777777" w:rsidR="00D346C2" w:rsidRPr="009B418D" w:rsidRDefault="00D346C2" w:rsidP="00D346C2">
      <w:pPr>
        <w:ind w:left="4956"/>
        <w:jc w:val="center"/>
        <w:rPr>
          <w:rFonts w:ascii="Times New Roman" w:hAnsi="Times New Roman" w:cs="Times New Roman"/>
        </w:rPr>
      </w:pPr>
    </w:p>
    <w:p w14:paraId="6AC33942" w14:textId="77777777" w:rsidR="00D346C2" w:rsidRPr="009B418D" w:rsidRDefault="00D346C2" w:rsidP="00D346C2">
      <w:pPr>
        <w:ind w:firstLine="708"/>
        <w:jc w:val="both"/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Na temelju članka 31. stavka 3. Zakona o Vladi Republike Hrvatske („Narodne novine“, br. 150/11., 119/14., 93/16., 116/18., 80/22. i 78/24.), a u vezi s člankom 16. stavkom 2. Zakona o osnivanju Agencije za ugljikovodike („Narodne novine“, br. 14/14., 73/17., 84/21. i 155/23.), Vlada Republike Hrvatske je na sjednici održanoj _________________ 2026. donijela</w:t>
      </w:r>
    </w:p>
    <w:p w14:paraId="5E78907C" w14:textId="77777777" w:rsidR="00D346C2" w:rsidRPr="009B418D" w:rsidRDefault="00D346C2" w:rsidP="00D346C2">
      <w:pPr>
        <w:ind w:firstLine="708"/>
        <w:jc w:val="both"/>
        <w:rPr>
          <w:rFonts w:ascii="Times New Roman" w:hAnsi="Times New Roman" w:cs="Times New Roman"/>
        </w:rPr>
      </w:pPr>
    </w:p>
    <w:p w14:paraId="524BDA62" w14:textId="77777777" w:rsidR="00D346C2" w:rsidRPr="009B418D" w:rsidRDefault="00D346C2" w:rsidP="00D346C2">
      <w:pPr>
        <w:rPr>
          <w:rFonts w:ascii="Times New Roman" w:hAnsi="Times New Roman" w:cs="Times New Roman"/>
        </w:rPr>
      </w:pPr>
    </w:p>
    <w:p w14:paraId="4305CCAD" w14:textId="77777777" w:rsidR="00D346C2" w:rsidRPr="009B418D" w:rsidRDefault="00D346C2" w:rsidP="00D346C2">
      <w:pPr>
        <w:jc w:val="center"/>
        <w:rPr>
          <w:rFonts w:ascii="Times New Roman" w:hAnsi="Times New Roman" w:cs="Times New Roman"/>
          <w:b/>
        </w:rPr>
      </w:pPr>
      <w:r w:rsidRPr="009B418D">
        <w:rPr>
          <w:rFonts w:ascii="Times New Roman" w:hAnsi="Times New Roman" w:cs="Times New Roman"/>
          <w:b/>
        </w:rPr>
        <w:t>Z A K LJ U Č A K</w:t>
      </w:r>
    </w:p>
    <w:p w14:paraId="5089D1FA" w14:textId="77777777" w:rsidR="00D346C2" w:rsidRPr="009B418D" w:rsidRDefault="00D346C2" w:rsidP="00D346C2">
      <w:pPr>
        <w:jc w:val="center"/>
        <w:rPr>
          <w:rFonts w:ascii="Times New Roman" w:hAnsi="Times New Roman" w:cs="Times New Roman"/>
          <w:b/>
        </w:rPr>
      </w:pPr>
    </w:p>
    <w:p w14:paraId="52494873" w14:textId="77777777" w:rsidR="00D346C2" w:rsidRPr="009B418D" w:rsidRDefault="00D346C2" w:rsidP="00D346C2">
      <w:pPr>
        <w:jc w:val="center"/>
        <w:rPr>
          <w:rFonts w:ascii="Times New Roman" w:hAnsi="Times New Roman" w:cs="Times New Roman"/>
        </w:rPr>
      </w:pPr>
    </w:p>
    <w:p w14:paraId="606D3B71" w14:textId="21BFA090" w:rsidR="00D346C2" w:rsidRPr="009B418D" w:rsidRDefault="00D346C2" w:rsidP="00D346C2">
      <w:pPr>
        <w:ind w:firstLine="708"/>
        <w:jc w:val="both"/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Prihvaća se Izvješće o izvršenju ugovora o istraživanju i podjeli eksploatacije ugljikovodika sa stanjem na dan 31. prosinca 2025., u tekstu koji je Vladi Republike Hrvatske dostavilo Ministarstvo gospodarstva aktom, KLASA: 392-01/26-01/13, URBROJ: 526-06-04-02-26-</w:t>
      </w:r>
      <w:r>
        <w:rPr>
          <w:rFonts w:ascii="Times New Roman" w:hAnsi="Times New Roman" w:cs="Times New Roman"/>
        </w:rPr>
        <w:t>7</w:t>
      </w:r>
      <w:r w:rsidRPr="009B418D">
        <w:rPr>
          <w:rFonts w:ascii="Times New Roman" w:hAnsi="Times New Roman" w:cs="Times New Roman"/>
        </w:rPr>
        <w:t xml:space="preserve">, od </w:t>
      </w:r>
      <w:r>
        <w:rPr>
          <w:rFonts w:ascii="Times New Roman" w:hAnsi="Times New Roman" w:cs="Times New Roman"/>
        </w:rPr>
        <w:t>12. svibnja</w:t>
      </w:r>
      <w:bookmarkStart w:id="1" w:name="_GoBack"/>
      <w:bookmarkEnd w:id="1"/>
      <w:r w:rsidRPr="009B418D">
        <w:rPr>
          <w:rFonts w:ascii="Times New Roman" w:hAnsi="Times New Roman" w:cs="Times New Roman"/>
        </w:rPr>
        <w:t xml:space="preserve"> 2026.</w:t>
      </w:r>
    </w:p>
    <w:p w14:paraId="598E4BD2" w14:textId="77777777" w:rsidR="00D346C2" w:rsidRPr="009B418D" w:rsidRDefault="00D346C2" w:rsidP="00D346C2">
      <w:pPr>
        <w:jc w:val="both"/>
        <w:rPr>
          <w:rFonts w:ascii="Times New Roman" w:hAnsi="Times New Roman" w:cs="Times New Roman"/>
        </w:rPr>
      </w:pPr>
    </w:p>
    <w:p w14:paraId="42FF9519" w14:textId="77777777" w:rsidR="00D346C2" w:rsidRPr="009B418D" w:rsidRDefault="00D346C2" w:rsidP="00D346C2">
      <w:pPr>
        <w:rPr>
          <w:rFonts w:ascii="Times New Roman" w:hAnsi="Times New Roman" w:cs="Times New Roman"/>
        </w:rPr>
      </w:pPr>
    </w:p>
    <w:p w14:paraId="6207C9CE" w14:textId="77777777" w:rsidR="00D346C2" w:rsidRPr="009B418D" w:rsidRDefault="00D346C2" w:rsidP="00D346C2">
      <w:pPr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KLASA:</w:t>
      </w:r>
    </w:p>
    <w:p w14:paraId="5FD5C8FD" w14:textId="77777777" w:rsidR="00D346C2" w:rsidRPr="009B418D" w:rsidRDefault="00D346C2" w:rsidP="00D346C2">
      <w:pPr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URBROJ:</w:t>
      </w:r>
    </w:p>
    <w:p w14:paraId="278C73FE" w14:textId="77777777" w:rsidR="00D346C2" w:rsidRPr="009B418D" w:rsidRDefault="00D346C2" w:rsidP="00D346C2">
      <w:pPr>
        <w:rPr>
          <w:rFonts w:ascii="Times New Roman" w:hAnsi="Times New Roman" w:cs="Times New Roman"/>
        </w:rPr>
      </w:pPr>
    </w:p>
    <w:p w14:paraId="524AA832" w14:textId="77777777" w:rsidR="00D346C2" w:rsidRPr="009B418D" w:rsidRDefault="00D346C2" w:rsidP="00D346C2">
      <w:pPr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Zagreb,</w:t>
      </w:r>
    </w:p>
    <w:p w14:paraId="1523669A" w14:textId="77777777" w:rsidR="00D346C2" w:rsidRPr="009B418D" w:rsidRDefault="00D346C2" w:rsidP="00D346C2">
      <w:pPr>
        <w:rPr>
          <w:rFonts w:ascii="Times New Roman" w:hAnsi="Times New Roman" w:cs="Times New Roman"/>
        </w:rPr>
      </w:pPr>
    </w:p>
    <w:p w14:paraId="0A23CCA8" w14:textId="77777777" w:rsidR="00D346C2" w:rsidRPr="009B418D" w:rsidRDefault="00D346C2" w:rsidP="00D346C2">
      <w:pPr>
        <w:spacing w:line="720" w:lineRule="auto"/>
        <w:ind w:left="4956"/>
        <w:jc w:val="center"/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>PREDSJEDNIK</w:t>
      </w:r>
    </w:p>
    <w:p w14:paraId="1A6F110A" w14:textId="77777777" w:rsidR="00D346C2" w:rsidRPr="009B418D" w:rsidRDefault="00D346C2" w:rsidP="00D346C2">
      <w:pPr>
        <w:ind w:left="4956"/>
        <w:jc w:val="center"/>
        <w:rPr>
          <w:rFonts w:ascii="Times New Roman" w:hAnsi="Times New Roman" w:cs="Times New Roman"/>
        </w:rPr>
      </w:pPr>
      <w:r w:rsidRPr="009B418D">
        <w:rPr>
          <w:rFonts w:ascii="Times New Roman" w:hAnsi="Times New Roman" w:cs="Times New Roman"/>
        </w:rPr>
        <w:t xml:space="preserve">mr. </w:t>
      </w:r>
      <w:proofErr w:type="spellStart"/>
      <w:r w:rsidRPr="009B418D">
        <w:rPr>
          <w:rFonts w:ascii="Times New Roman" w:hAnsi="Times New Roman" w:cs="Times New Roman"/>
        </w:rPr>
        <w:t>sc</w:t>
      </w:r>
      <w:proofErr w:type="spellEnd"/>
      <w:r w:rsidRPr="009B418D">
        <w:rPr>
          <w:rFonts w:ascii="Times New Roman" w:hAnsi="Times New Roman" w:cs="Times New Roman"/>
        </w:rPr>
        <w:t>. Andrej Plenković</w:t>
      </w:r>
    </w:p>
    <w:p w14:paraId="31ED7577" w14:textId="77777777" w:rsidR="00D346C2" w:rsidRPr="009B418D" w:rsidRDefault="00D346C2" w:rsidP="00D346C2">
      <w:pPr>
        <w:ind w:left="4956"/>
        <w:jc w:val="center"/>
        <w:rPr>
          <w:rFonts w:ascii="Times New Roman" w:hAnsi="Times New Roman" w:cs="Times New Roman"/>
        </w:rPr>
      </w:pPr>
    </w:p>
    <w:p w14:paraId="7DC01EFB" w14:textId="77777777" w:rsidR="00D346C2" w:rsidRPr="009B418D" w:rsidRDefault="00D346C2" w:rsidP="00D346C2">
      <w:pPr>
        <w:ind w:left="4956"/>
        <w:jc w:val="center"/>
        <w:rPr>
          <w:rFonts w:ascii="Times New Roman" w:hAnsi="Times New Roman" w:cs="Times New Roman"/>
        </w:rPr>
      </w:pPr>
    </w:p>
    <w:p w14:paraId="4E7191B2" w14:textId="77777777" w:rsidR="00D346C2" w:rsidRPr="009B418D" w:rsidRDefault="00D346C2" w:rsidP="00D346C2">
      <w:pPr>
        <w:pStyle w:val="NoSpacing"/>
        <w:pageBreakBefore/>
      </w:pPr>
    </w:p>
    <w:p w14:paraId="75EF4615" w14:textId="77777777" w:rsidR="00D346C2" w:rsidRPr="009B418D" w:rsidRDefault="00D346C2" w:rsidP="00D346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8D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7608D76" w14:textId="77777777" w:rsidR="00D346C2" w:rsidRPr="009B418D" w:rsidRDefault="00D346C2" w:rsidP="00D346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FCF31" w14:textId="77777777" w:rsidR="00D346C2" w:rsidRPr="009B418D" w:rsidRDefault="00D346C2" w:rsidP="00D346C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55C7739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Agencija za ugljikovodike, osnovana </w:t>
      </w:r>
      <w:r w:rsidRPr="009B4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Zakonom o osnivanju Agencije za ugljikovodike („Narodne novine“, br. 14/14., 73/17., 84/21. i 155/23.) radi pružanja sustavne operativne podrške nadležnim tijelima u poslovima vezanim za istraživanje i eksploataciju ugljikovodika, geotermalnih voda za energetske svrhe, kao i trajno zbrinjavanje plinova u geološkim strukturama te u poslovima osiguranja obveznih zaliha nafte i naftnih derivata, </w:t>
      </w:r>
      <w:r w:rsidRPr="009B418D">
        <w:rPr>
          <w:rFonts w:ascii="Times New Roman" w:hAnsi="Times New Roman" w:cs="Times New Roman"/>
          <w:sz w:val="24"/>
          <w:szCs w:val="24"/>
        </w:rPr>
        <w:t>jednom godišnje izrađuje i dostavlja Vladi Republike Hrvatske, putem ministarstva nadležnog za energetiku, izvješće o izvršavanju ugovora, koje je Vlada Republike Hrvatske sklopila s investitorima vezano za istraživanje i eksploataciju ugljikovodika sa stanjem na dan 31. prosinca prethodne godine.</w:t>
      </w:r>
    </w:p>
    <w:p w14:paraId="3756992E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3F3A87" w14:textId="77777777" w:rsidR="00D346C2" w:rsidRPr="009B418D" w:rsidRDefault="00D346C2" w:rsidP="00D346C2">
      <w:pPr>
        <w:pStyle w:val="NoSpacing"/>
        <w:ind w:right="-5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0910162"/>
      <w:r w:rsidRPr="009B418D">
        <w:rPr>
          <w:rFonts w:ascii="Times New Roman" w:hAnsi="Times New Roman" w:cs="Times New Roman"/>
          <w:sz w:val="24"/>
          <w:szCs w:val="24"/>
        </w:rPr>
        <w:t xml:space="preserve">Aktivni ugovori o istraživanju i podjeli eksploatacije ugljikovodika, temeljem dodijeljenih dozvola za istraživanje i eksploataciju ugljikovodika na kopnu („Narodne novine“, br. 63/15. i 61/16.), koje je Vlada Republike Hrvatske sklopila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10. lipnja 2016.</w:t>
      </w:r>
      <w:r w:rsidRPr="009B418D">
        <w:rPr>
          <w:rFonts w:ascii="Times New Roman" w:hAnsi="Times New Roman" w:cs="Times New Roman"/>
          <w:sz w:val="24"/>
          <w:szCs w:val="24"/>
        </w:rPr>
        <w:t>:</w:t>
      </w:r>
    </w:p>
    <w:p w14:paraId="64B50516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91181A" w14:textId="77777777" w:rsidR="00D346C2" w:rsidRPr="009B418D" w:rsidRDefault="00D346C2" w:rsidP="00D346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Ugovor o istraživanju i podjeli eksploatacije ugljikovodika za istražni prostor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DR-02</w:t>
      </w:r>
      <w:r w:rsidRPr="009B418D">
        <w:rPr>
          <w:rFonts w:ascii="Times New Roman" w:hAnsi="Times New Roman" w:cs="Times New Roman"/>
          <w:sz w:val="24"/>
          <w:szCs w:val="24"/>
        </w:rPr>
        <w:t xml:space="preserve"> između Vlade Republike Hrvatske i INA-INDUSTRIJA NAFTE, d.d.;</w:t>
      </w:r>
    </w:p>
    <w:bookmarkEnd w:id="2"/>
    <w:p w14:paraId="4C5661A1" w14:textId="77777777" w:rsidR="00D346C2" w:rsidRPr="009B418D" w:rsidRDefault="00D346C2" w:rsidP="00D346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Ugovor o istraživanju i podjeli eksploatacije ugljikovodika za istražni prostor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SA-10</w:t>
      </w:r>
      <w:r w:rsidRPr="009B418D">
        <w:rPr>
          <w:rFonts w:ascii="Times New Roman" w:hAnsi="Times New Roman" w:cs="Times New Roman"/>
          <w:sz w:val="24"/>
          <w:szCs w:val="24"/>
        </w:rPr>
        <w:t xml:space="preserve"> između Vlade Republike Hrvatske i VERMILION ZAGREB EXPLORATION d.o.o.</w:t>
      </w:r>
    </w:p>
    <w:p w14:paraId="28EC4291" w14:textId="77777777" w:rsidR="00D346C2" w:rsidRPr="009B418D" w:rsidRDefault="00D346C2" w:rsidP="00D346C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C28FCB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0912916"/>
      <w:r w:rsidRPr="009B418D">
        <w:rPr>
          <w:rFonts w:ascii="Times New Roman" w:hAnsi="Times New Roman" w:cs="Times New Roman"/>
          <w:sz w:val="24"/>
          <w:szCs w:val="24"/>
        </w:rPr>
        <w:t xml:space="preserve">Temeljem dodijeljenih dozvola za istraživanje i eksploataciju ugljikovodika na kopnu („Narodne novine“, br. 81/19. i 76/24.), Vlada Republike Hrvatske sklopila je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26. ožujka 2020.</w:t>
      </w:r>
      <w:r w:rsidRPr="009B418D">
        <w:rPr>
          <w:rFonts w:ascii="Times New Roman" w:hAnsi="Times New Roman" w:cs="Times New Roman"/>
          <w:sz w:val="24"/>
          <w:szCs w:val="24"/>
        </w:rPr>
        <w:t xml:space="preserve"> ugovore o istraživanju i podjeli eksploatacije ugljikovodika:</w:t>
      </w:r>
    </w:p>
    <w:p w14:paraId="65130D6D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26F6EEA8" w14:textId="77777777" w:rsidR="00D346C2" w:rsidRPr="009B418D" w:rsidRDefault="00D346C2" w:rsidP="00D346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Ugovor o istraživanju i podjeli eksploatacije ugljikovodika za istražni prostor ugljikovodika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DR-03</w:t>
      </w:r>
      <w:r w:rsidRPr="009B418D">
        <w:rPr>
          <w:rFonts w:ascii="Times New Roman" w:hAnsi="Times New Roman" w:cs="Times New Roman"/>
          <w:sz w:val="24"/>
          <w:szCs w:val="24"/>
        </w:rPr>
        <w:t xml:space="preserve"> između Vlade Republike Hrvatske i INA-INDUSTRIJA NAFTE, d.d.;</w:t>
      </w:r>
    </w:p>
    <w:p w14:paraId="6A2E779F" w14:textId="77777777" w:rsidR="00D346C2" w:rsidRPr="009B418D" w:rsidRDefault="00D346C2" w:rsidP="00D346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Ugovor o istraživanju i podjeli eksploatacije ugljikovodika za istražni prostor ugljikovodika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SA-06</w:t>
      </w:r>
      <w:r w:rsidRPr="009B418D">
        <w:rPr>
          <w:rFonts w:ascii="Times New Roman" w:hAnsi="Times New Roman" w:cs="Times New Roman"/>
          <w:sz w:val="24"/>
          <w:szCs w:val="24"/>
        </w:rPr>
        <w:t xml:space="preserve"> između Vlade Republike Hrvatske i ASPECT Croatia </w:t>
      </w:r>
      <w:proofErr w:type="spellStart"/>
      <w:r w:rsidRPr="009B418D">
        <w:rPr>
          <w:rFonts w:ascii="Times New Roman" w:hAnsi="Times New Roman" w:cs="Times New Roman"/>
          <w:sz w:val="24"/>
          <w:szCs w:val="24"/>
        </w:rPr>
        <w:t>Kft</w:t>
      </w:r>
      <w:proofErr w:type="spellEnd"/>
      <w:r w:rsidRPr="009B418D">
        <w:rPr>
          <w:rFonts w:ascii="Times New Roman" w:hAnsi="Times New Roman" w:cs="Times New Roman"/>
          <w:sz w:val="24"/>
          <w:szCs w:val="24"/>
        </w:rPr>
        <w:t>.;</w:t>
      </w:r>
    </w:p>
    <w:p w14:paraId="13B011BD" w14:textId="77777777" w:rsidR="00D346C2" w:rsidRPr="009B418D" w:rsidRDefault="00D346C2" w:rsidP="00D346C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Ugovor o istraživanju i podjeli eksploatacije ugljikovodika </w:t>
      </w:r>
      <w:bookmarkStart w:id="4" w:name="_Hlk60912934"/>
      <w:r w:rsidRPr="009B418D">
        <w:rPr>
          <w:rFonts w:ascii="Times New Roman" w:hAnsi="Times New Roman" w:cs="Times New Roman"/>
          <w:sz w:val="24"/>
          <w:szCs w:val="24"/>
        </w:rPr>
        <w:t xml:space="preserve">za istražni prostor ugljikovodika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SA-07</w:t>
      </w:r>
      <w:r w:rsidRPr="009B418D">
        <w:rPr>
          <w:rFonts w:ascii="Times New Roman" w:hAnsi="Times New Roman" w:cs="Times New Roman"/>
          <w:sz w:val="24"/>
          <w:szCs w:val="24"/>
        </w:rPr>
        <w:t xml:space="preserve"> između Vlade Republike Hrvatske i VERMILION ZAGREB EXPLORATION d.o.o.</w:t>
      </w:r>
    </w:p>
    <w:bookmarkEnd w:id="4"/>
    <w:p w14:paraId="64A5469E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92F5C3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i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19. srpnja 2024.</w:t>
      </w:r>
    </w:p>
    <w:p w14:paraId="27EB15EE" w14:textId="77777777" w:rsidR="00D346C2" w:rsidRPr="009B418D" w:rsidRDefault="00D346C2" w:rsidP="00D346C2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Dodatak br. 1 Ugovora o istraživanju i podjeli eksploatacije ugljikovodika za istražni prostor ugljikovodika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SA-07</w:t>
      </w:r>
      <w:r w:rsidRPr="009B418D">
        <w:rPr>
          <w:rFonts w:ascii="Times New Roman" w:hAnsi="Times New Roman" w:cs="Times New Roman"/>
          <w:sz w:val="24"/>
          <w:szCs w:val="24"/>
        </w:rPr>
        <w:t xml:space="preserve"> između Vlade Republike Hrvatske i VERMILION ZAGREB EXPLORATION d.o.o. i INA-INDUSTRIJA NAFTE, d.d.</w:t>
      </w:r>
    </w:p>
    <w:p w14:paraId="00B50802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0DF36" w14:textId="77777777" w:rsidR="00D346C2" w:rsidRPr="009B418D" w:rsidRDefault="00D346C2" w:rsidP="00D346C2">
      <w:pPr>
        <w:pStyle w:val="NoSpacing"/>
        <w:spacing w:after="20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4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Temeljem dodijeljenih dozvola za istraživanje i eksploataciju ugljikovodika na kopnu („Narodne novine“, broj 64/25.), Vlada Republike Hrvatske sklopila je 26. lipnja 2025. ugovore o istraživanju i podjeli eksploatacije ugljikovodika:</w:t>
      </w:r>
    </w:p>
    <w:p w14:paraId="087FF416" w14:textId="77777777" w:rsidR="00D346C2" w:rsidRPr="009B418D" w:rsidRDefault="00D346C2" w:rsidP="00D346C2">
      <w:pPr>
        <w:pStyle w:val="ListParagraph"/>
        <w:widowControl w:val="0"/>
        <w:numPr>
          <w:ilvl w:val="0"/>
          <w:numId w:val="5"/>
        </w:numPr>
        <w:spacing w:before="161" w:after="240"/>
        <w:jc w:val="both"/>
        <w:rPr>
          <w:rFonts w:ascii="Times New Roman" w:hAnsi="Times New Roman" w:cs="Times New Roman"/>
          <w:color w:val="000000" w:themeColor="text1"/>
        </w:rPr>
      </w:pPr>
      <w:r w:rsidRPr="009B418D">
        <w:rPr>
          <w:rFonts w:ascii="Times New Roman" w:hAnsi="Times New Roman" w:cs="Times New Roman"/>
          <w:color w:val="000000" w:themeColor="text1"/>
        </w:rPr>
        <w:t xml:space="preserve">Ugovor o istraživanju i podjeli eksploatacije ugljikovodika za istražni prostor ugljikovodika </w:t>
      </w:r>
      <w:r w:rsidRPr="009B418D">
        <w:rPr>
          <w:rFonts w:ascii="Times New Roman" w:hAnsi="Times New Roman" w:cs="Times New Roman"/>
          <w:b/>
          <w:bCs/>
          <w:color w:val="000000" w:themeColor="text1"/>
        </w:rPr>
        <w:t>DR-02/1</w:t>
      </w:r>
      <w:r w:rsidRPr="009B418D">
        <w:rPr>
          <w:rFonts w:ascii="Times New Roman" w:hAnsi="Times New Roman" w:cs="Times New Roman"/>
          <w:color w:val="000000" w:themeColor="text1"/>
        </w:rPr>
        <w:t xml:space="preserve"> između Vlade Republike Hrvatske i ASPECT Croatia </w:t>
      </w:r>
      <w:proofErr w:type="spellStart"/>
      <w:r w:rsidRPr="009B418D">
        <w:rPr>
          <w:rFonts w:ascii="Times New Roman" w:hAnsi="Times New Roman" w:cs="Times New Roman"/>
          <w:color w:val="000000" w:themeColor="text1"/>
        </w:rPr>
        <w:t>Kft</w:t>
      </w:r>
      <w:proofErr w:type="spellEnd"/>
      <w:r w:rsidRPr="009B418D">
        <w:rPr>
          <w:rFonts w:ascii="Times New Roman" w:hAnsi="Times New Roman" w:cs="Times New Roman"/>
          <w:color w:val="000000" w:themeColor="text1"/>
        </w:rPr>
        <w:t>.;</w:t>
      </w:r>
    </w:p>
    <w:p w14:paraId="2FC3AA4A" w14:textId="77777777" w:rsidR="00D346C2" w:rsidRPr="009B418D" w:rsidRDefault="00D346C2" w:rsidP="00D346C2">
      <w:pPr>
        <w:pStyle w:val="ListParagraph"/>
        <w:widowControl w:val="0"/>
        <w:numPr>
          <w:ilvl w:val="0"/>
          <w:numId w:val="5"/>
        </w:numPr>
        <w:spacing w:before="161" w:after="240"/>
        <w:jc w:val="both"/>
        <w:rPr>
          <w:rFonts w:ascii="Times New Roman" w:hAnsi="Times New Roman" w:cs="Times New Roman"/>
          <w:color w:val="000000" w:themeColor="text1"/>
        </w:rPr>
      </w:pPr>
      <w:r w:rsidRPr="009B418D">
        <w:rPr>
          <w:rFonts w:ascii="Times New Roman" w:hAnsi="Times New Roman" w:cs="Times New Roman"/>
          <w:color w:val="000000" w:themeColor="text1"/>
        </w:rPr>
        <w:t xml:space="preserve">Ugovor o istraživanju i podjeli eksploatacije ugljikovodika za istražni prostor ugljikovodika </w:t>
      </w:r>
      <w:r w:rsidRPr="009B418D">
        <w:rPr>
          <w:rFonts w:ascii="Times New Roman" w:hAnsi="Times New Roman" w:cs="Times New Roman"/>
          <w:b/>
          <w:bCs/>
          <w:color w:val="000000" w:themeColor="text1"/>
        </w:rPr>
        <w:t>SA-08/SA-09</w:t>
      </w:r>
      <w:r w:rsidRPr="009B418D">
        <w:rPr>
          <w:rFonts w:ascii="Times New Roman" w:hAnsi="Times New Roman" w:cs="Times New Roman"/>
          <w:color w:val="000000" w:themeColor="text1"/>
        </w:rPr>
        <w:t xml:space="preserve"> između Vlade Republike Hrvatske i ASPECT Croatia </w:t>
      </w:r>
      <w:proofErr w:type="spellStart"/>
      <w:r w:rsidRPr="009B418D">
        <w:rPr>
          <w:rFonts w:ascii="Times New Roman" w:hAnsi="Times New Roman" w:cs="Times New Roman"/>
          <w:color w:val="000000" w:themeColor="text1"/>
        </w:rPr>
        <w:t>Kft</w:t>
      </w:r>
      <w:proofErr w:type="spellEnd"/>
      <w:r w:rsidRPr="009B418D">
        <w:rPr>
          <w:rFonts w:ascii="Times New Roman" w:hAnsi="Times New Roman" w:cs="Times New Roman"/>
          <w:color w:val="000000" w:themeColor="text1"/>
        </w:rPr>
        <w:t>.;</w:t>
      </w:r>
    </w:p>
    <w:p w14:paraId="00689880" w14:textId="77777777" w:rsidR="00D346C2" w:rsidRPr="009B418D" w:rsidRDefault="00D346C2" w:rsidP="00D346C2">
      <w:pPr>
        <w:pStyle w:val="ListParagraph"/>
        <w:widowControl w:val="0"/>
        <w:numPr>
          <w:ilvl w:val="0"/>
          <w:numId w:val="5"/>
        </w:numPr>
        <w:spacing w:before="161" w:after="240"/>
        <w:jc w:val="both"/>
        <w:rPr>
          <w:rFonts w:ascii="Times New Roman" w:hAnsi="Times New Roman" w:cs="Times New Roman"/>
          <w:color w:val="000000" w:themeColor="text1"/>
        </w:rPr>
      </w:pPr>
      <w:r w:rsidRPr="009B418D">
        <w:rPr>
          <w:rFonts w:ascii="Times New Roman" w:hAnsi="Times New Roman" w:cs="Times New Roman"/>
          <w:color w:val="000000" w:themeColor="text1"/>
        </w:rPr>
        <w:t xml:space="preserve">Ugovor o istraživanju i podjeli eksploatacije ugljikovodika za istražni prostor ugljikovodika </w:t>
      </w:r>
      <w:r w:rsidRPr="009B418D">
        <w:rPr>
          <w:rFonts w:ascii="Times New Roman" w:hAnsi="Times New Roman" w:cs="Times New Roman"/>
          <w:b/>
          <w:bCs/>
          <w:color w:val="000000" w:themeColor="text1"/>
        </w:rPr>
        <w:t>SA-11/SA-12</w:t>
      </w:r>
      <w:r w:rsidRPr="009B418D">
        <w:rPr>
          <w:rFonts w:ascii="Times New Roman" w:hAnsi="Times New Roman" w:cs="Times New Roman"/>
          <w:color w:val="000000" w:themeColor="text1"/>
        </w:rPr>
        <w:t xml:space="preserve"> između Vlade Republike Hrvatske i ASPECT Croatia </w:t>
      </w:r>
      <w:proofErr w:type="spellStart"/>
      <w:r w:rsidRPr="009B418D">
        <w:rPr>
          <w:rFonts w:ascii="Times New Roman" w:hAnsi="Times New Roman" w:cs="Times New Roman"/>
          <w:color w:val="000000" w:themeColor="text1"/>
        </w:rPr>
        <w:t>Kft</w:t>
      </w:r>
      <w:proofErr w:type="spellEnd"/>
      <w:r w:rsidRPr="009B418D">
        <w:rPr>
          <w:rFonts w:ascii="Times New Roman" w:hAnsi="Times New Roman" w:cs="Times New Roman"/>
          <w:color w:val="000000" w:themeColor="text1"/>
        </w:rPr>
        <w:t>.</w:t>
      </w:r>
    </w:p>
    <w:p w14:paraId="47AF2225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BDAF66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EA8A2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981AC2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473807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>Investitori su na istražnim prostorima uredno obavljali svoje ugovorne obveze sukladno sklopljenim ugovorima i ispunili sve planirane radove u skladu s odobrenim Radnim programom i budžetom za 2025.</w:t>
      </w:r>
    </w:p>
    <w:p w14:paraId="403D3D2F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610959" w14:textId="77777777" w:rsidR="00D346C2" w:rsidRPr="009B418D" w:rsidRDefault="00D346C2" w:rsidP="00D346C2">
      <w:pPr>
        <w:pStyle w:val="NoSpacing"/>
        <w:spacing w:after="20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Temeljem navedenih ugovora investitori su dužni uplaćivati naknadu za površinu istražnog prostora i eksploatacijskog polja te je to prihod jedinica lokalne samouprave na čijem području se istražni prostori i eksploatacijska polja nalaze. Na ime naknade za površinu istražnog prostora u 2025. uplaćeno je ukupno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438.387,22 EUR</w:t>
      </w:r>
      <w:r w:rsidRPr="009B418D">
        <w:rPr>
          <w:rFonts w:ascii="Times New Roman" w:hAnsi="Times New Roman" w:cs="Times New Roman"/>
          <w:sz w:val="24"/>
          <w:szCs w:val="24"/>
        </w:rPr>
        <w:t xml:space="preserve">, dok je za površinu eksploatacijskog polja uplaćeno ukupno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23.990,92 EUR</w:t>
      </w:r>
      <w:r w:rsidRPr="009B418D">
        <w:rPr>
          <w:rFonts w:ascii="Times New Roman" w:hAnsi="Times New Roman" w:cs="Times New Roman"/>
          <w:sz w:val="24"/>
          <w:szCs w:val="24"/>
        </w:rPr>
        <w:t>.</w:t>
      </w:r>
    </w:p>
    <w:p w14:paraId="0DB04392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1D0045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Po županijama naknada za </w:t>
      </w:r>
      <w:r w:rsidRPr="001556DA">
        <w:rPr>
          <w:rFonts w:ascii="Times New Roman" w:hAnsi="Times New Roman" w:cs="Times New Roman"/>
          <w:b/>
          <w:bCs/>
          <w:sz w:val="24"/>
          <w:szCs w:val="24"/>
        </w:rPr>
        <w:t>površine istražnih prostora</w:t>
      </w:r>
      <w:r w:rsidRPr="009B418D">
        <w:rPr>
          <w:rFonts w:ascii="Times New Roman" w:hAnsi="Times New Roman" w:cs="Times New Roman"/>
          <w:sz w:val="24"/>
          <w:szCs w:val="24"/>
        </w:rPr>
        <w:t xml:space="preserve"> za 2025. iznosi: </w:t>
      </w:r>
    </w:p>
    <w:p w14:paraId="79A034CC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Light"/>
        <w:tblW w:w="6941" w:type="dxa"/>
        <w:jc w:val="center"/>
        <w:tblLook w:val="04A0" w:firstRow="1" w:lastRow="0" w:firstColumn="1" w:lastColumn="0" w:noHBand="0" w:noVBand="1"/>
      </w:tblPr>
      <w:tblGrid>
        <w:gridCol w:w="4649"/>
        <w:gridCol w:w="2292"/>
      </w:tblGrid>
      <w:tr w:rsidR="00D346C2" w:rsidRPr="009B418D" w14:paraId="37417A6B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12167F3B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Bjelovarsko-bilogorska</w:t>
            </w:r>
          </w:p>
        </w:tc>
        <w:tc>
          <w:tcPr>
            <w:tcW w:w="2292" w:type="dxa"/>
            <w:noWrap/>
            <w:vAlign w:val="center"/>
            <w:hideMark/>
          </w:tcPr>
          <w:p w14:paraId="041BBD80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54.860,01 EUR</w:t>
            </w:r>
          </w:p>
        </w:tc>
      </w:tr>
      <w:tr w:rsidR="00D346C2" w:rsidRPr="009B418D" w14:paraId="0A3505AD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66022712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Brodsko-posavska</w:t>
            </w:r>
          </w:p>
        </w:tc>
        <w:tc>
          <w:tcPr>
            <w:tcW w:w="2292" w:type="dxa"/>
            <w:noWrap/>
            <w:vAlign w:val="center"/>
            <w:hideMark/>
          </w:tcPr>
          <w:p w14:paraId="7BA1D353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51.839,82 EUR</w:t>
            </w:r>
          </w:p>
        </w:tc>
      </w:tr>
      <w:tr w:rsidR="00D346C2" w:rsidRPr="009B418D" w14:paraId="6B63426A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2F276E54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Koprivničko-križevačka</w:t>
            </w:r>
          </w:p>
        </w:tc>
        <w:tc>
          <w:tcPr>
            <w:tcW w:w="2292" w:type="dxa"/>
            <w:noWrap/>
            <w:vAlign w:val="center"/>
            <w:hideMark/>
          </w:tcPr>
          <w:p w14:paraId="16C05400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12.062,19 EUR</w:t>
            </w:r>
          </w:p>
        </w:tc>
      </w:tr>
      <w:tr w:rsidR="00D346C2" w:rsidRPr="009B418D" w14:paraId="45885E96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59F7C21C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Osječko-baranjska</w:t>
            </w:r>
          </w:p>
        </w:tc>
        <w:tc>
          <w:tcPr>
            <w:tcW w:w="2292" w:type="dxa"/>
            <w:noWrap/>
            <w:vAlign w:val="center"/>
            <w:hideMark/>
          </w:tcPr>
          <w:p w14:paraId="10DE91B4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28.404,18 EUR</w:t>
            </w:r>
          </w:p>
        </w:tc>
      </w:tr>
      <w:tr w:rsidR="00D346C2" w:rsidRPr="009B418D" w14:paraId="01CE29B7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1BA1832D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Požeško-slavonska</w:t>
            </w:r>
          </w:p>
        </w:tc>
        <w:tc>
          <w:tcPr>
            <w:tcW w:w="2292" w:type="dxa"/>
            <w:noWrap/>
            <w:vAlign w:val="center"/>
            <w:hideMark/>
          </w:tcPr>
          <w:p w14:paraId="1E32114B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 19.969,95 EUR</w:t>
            </w:r>
          </w:p>
        </w:tc>
      </w:tr>
      <w:tr w:rsidR="00D346C2" w:rsidRPr="009B418D" w14:paraId="21998FA9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5D22FF2F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Sisačko-moslavačka</w:t>
            </w:r>
          </w:p>
        </w:tc>
        <w:tc>
          <w:tcPr>
            <w:tcW w:w="2292" w:type="dxa"/>
            <w:noWrap/>
            <w:vAlign w:val="center"/>
            <w:hideMark/>
          </w:tcPr>
          <w:p w14:paraId="22A4A6A3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114.537,11 EUR</w:t>
            </w:r>
          </w:p>
        </w:tc>
      </w:tr>
      <w:tr w:rsidR="00D346C2" w:rsidRPr="009B418D" w14:paraId="0FB38647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1B291512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Virovitičko-podravska</w:t>
            </w:r>
          </w:p>
        </w:tc>
        <w:tc>
          <w:tcPr>
            <w:tcW w:w="2292" w:type="dxa"/>
            <w:noWrap/>
            <w:vAlign w:val="center"/>
            <w:hideMark/>
          </w:tcPr>
          <w:p w14:paraId="121A22BE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 62.068,59 EUR</w:t>
            </w:r>
          </w:p>
        </w:tc>
      </w:tr>
      <w:tr w:rsidR="00D346C2" w:rsidRPr="009B418D" w14:paraId="375DEBA4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75330E8F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Zagrebačka</w:t>
            </w:r>
          </w:p>
        </w:tc>
        <w:tc>
          <w:tcPr>
            <w:tcW w:w="2292" w:type="dxa"/>
            <w:noWrap/>
            <w:vAlign w:val="center"/>
            <w:hideMark/>
          </w:tcPr>
          <w:p w14:paraId="42C269B4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 73.559,88 EUR</w:t>
            </w:r>
          </w:p>
        </w:tc>
      </w:tr>
      <w:tr w:rsidR="00D346C2" w:rsidRPr="009B418D" w14:paraId="077D8AB1" w14:textId="77777777" w:rsidTr="007F0241">
        <w:trPr>
          <w:trHeight w:val="630"/>
          <w:jc w:val="center"/>
        </w:trPr>
        <w:tc>
          <w:tcPr>
            <w:tcW w:w="4649" w:type="dxa"/>
            <w:noWrap/>
            <w:vAlign w:val="center"/>
            <w:hideMark/>
          </w:tcPr>
          <w:p w14:paraId="2925D6D5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Grad Zagreb</w:t>
            </w:r>
          </w:p>
        </w:tc>
        <w:tc>
          <w:tcPr>
            <w:tcW w:w="2292" w:type="dxa"/>
            <w:noWrap/>
            <w:vAlign w:val="center"/>
            <w:hideMark/>
          </w:tcPr>
          <w:p w14:paraId="2BAF8491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  4.606,62 EUR</w:t>
            </w:r>
          </w:p>
        </w:tc>
      </w:tr>
      <w:tr w:rsidR="00D346C2" w:rsidRPr="009B418D" w14:paraId="22B91C36" w14:textId="77777777" w:rsidTr="007F0241">
        <w:trPr>
          <w:trHeight w:val="630"/>
          <w:jc w:val="center"/>
        </w:trPr>
        <w:tc>
          <w:tcPr>
            <w:tcW w:w="4649" w:type="dxa"/>
            <w:noWrap/>
            <w:vAlign w:val="center"/>
            <w:hideMark/>
          </w:tcPr>
          <w:p w14:paraId="763E5DDF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Karlovačka</w:t>
            </w:r>
          </w:p>
        </w:tc>
        <w:tc>
          <w:tcPr>
            <w:tcW w:w="2292" w:type="dxa"/>
            <w:noWrap/>
            <w:vAlign w:val="center"/>
            <w:hideMark/>
          </w:tcPr>
          <w:p w14:paraId="51A42F58" w14:textId="77777777" w:rsidR="00D346C2" w:rsidRPr="009B418D" w:rsidRDefault="00D346C2" w:rsidP="007F024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16.478,59 EUR</w:t>
            </w:r>
          </w:p>
        </w:tc>
      </w:tr>
    </w:tbl>
    <w:p w14:paraId="327C03E8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AEAF46" w14:textId="77777777" w:rsidR="00D346C2" w:rsidRPr="009B418D" w:rsidRDefault="00D346C2" w:rsidP="00D346C2">
      <w:pPr>
        <w:pStyle w:val="NoSpacing"/>
        <w:spacing w:before="200" w:after="1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Po županijama naknada za </w:t>
      </w:r>
      <w:r w:rsidRPr="001556DA">
        <w:rPr>
          <w:rFonts w:ascii="Times New Roman" w:hAnsi="Times New Roman" w:cs="Times New Roman"/>
          <w:b/>
          <w:bCs/>
          <w:sz w:val="24"/>
          <w:szCs w:val="24"/>
        </w:rPr>
        <w:t>površine eksploatacijskih polja</w:t>
      </w:r>
      <w:r w:rsidRPr="009B418D">
        <w:rPr>
          <w:rFonts w:ascii="Times New Roman" w:hAnsi="Times New Roman" w:cs="Times New Roman"/>
          <w:sz w:val="24"/>
          <w:szCs w:val="24"/>
        </w:rPr>
        <w:t xml:space="preserve"> za 2025. iznosi: </w:t>
      </w:r>
    </w:p>
    <w:tbl>
      <w:tblPr>
        <w:tblStyle w:val="TableGridLight"/>
        <w:tblW w:w="6941" w:type="dxa"/>
        <w:jc w:val="center"/>
        <w:tblLook w:val="04A0" w:firstRow="1" w:lastRow="0" w:firstColumn="1" w:lastColumn="0" w:noHBand="0" w:noVBand="1"/>
      </w:tblPr>
      <w:tblGrid>
        <w:gridCol w:w="4649"/>
        <w:gridCol w:w="2292"/>
      </w:tblGrid>
      <w:tr w:rsidR="00D346C2" w:rsidRPr="009B418D" w14:paraId="54638D77" w14:textId="77777777" w:rsidTr="007F0241">
        <w:trPr>
          <w:trHeight w:val="499"/>
          <w:jc w:val="center"/>
        </w:trPr>
        <w:tc>
          <w:tcPr>
            <w:tcW w:w="4649" w:type="dxa"/>
            <w:noWrap/>
            <w:vAlign w:val="center"/>
            <w:hideMark/>
          </w:tcPr>
          <w:p w14:paraId="7A870205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>Vukovarsko-srijemska</w:t>
            </w:r>
          </w:p>
        </w:tc>
        <w:tc>
          <w:tcPr>
            <w:tcW w:w="2292" w:type="dxa"/>
            <w:noWrap/>
            <w:vAlign w:val="center"/>
            <w:hideMark/>
          </w:tcPr>
          <w:p w14:paraId="286561BE" w14:textId="77777777" w:rsidR="00D346C2" w:rsidRPr="009B418D" w:rsidRDefault="00D346C2" w:rsidP="007F02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B418D">
              <w:rPr>
                <w:rFonts w:ascii="Times New Roman" w:hAnsi="Times New Roman" w:cs="Times New Roman"/>
                <w:sz w:val="24"/>
                <w:szCs w:val="24"/>
              </w:rPr>
              <w:t xml:space="preserve">    23.990,92 EUR</w:t>
            </w:r>
          </w:p>
        </w:tc>
      </w:tr>
    </w:tbl>
    <w:p w14:paraId="0A36E719" w14:textId="77777777" w:rsidR="00D346C2" w:rsidRPr="009B418D" w:rsidRDefault="00D346C2" w:rsidP="00D346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4C6DE4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0AC6D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ime naknade za sklapanje ugovora u 2025. je u državni proračun uplaćeno ukupno </w:t>
      </w:r>
      <w:r w:rsidRPr="009B41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558.000,00 EUR</w:t>
      </w:r>
      <w:r w:rsidRPr="009B41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83C150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C1398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 xml:space="preserve">Na ime administrativne naknade investitori su u 2025. uplatili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774.247,86 EUR</w:t>
      </w:r>
      <w:r w:rsidRPr="009B418D">
        <w:rPr>
          <w:rFonts w:ascii="Times New Roman" w:hAnsi="Times New Roman" w:cs="Times New Roman"/>
          <w:sz w:val="24"/>
          <w:szCs w:val="24"/>
        </w:rPr>
        <w:t xml:space="preserve"> (bez PDV) te ista predstavlja prihod državnog proračuna. </w:t>
      </w:r>
    </w:p>
    <w:p w14:paraId="45A89FE3" w14:textId="77777777" w:rsidR="00D346C2" w:rsidRPr="009B418D" w:rsidRDefault="00D346C2" w:rsidP="00D346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0A9011" w14:textId="77777777" w:rsidR="00D346C2" w:rsidRPr="009B418D" w:rsidRDefault="00D346C2" w:rsidP="00D346C2">
      <w:pPr>
        <w:pStyle w:val="NoSpacing"/>
        <w:tabs>
          <w:tab w:val="left" w:pos="360"/>
        </w:tabs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B418D">
        <w:rPr>
          <w:rFonts w:ascii="Times New Roman" w:hAnsi="Times New Roman" w:cs="Times New Roman"/>
          <w:sz w:val="24"/>
          <w:szCs w:val="24"/>
        </w:rPr>
        <w:tab/>
        <w:t xml:space="preserve">Po osnovi naknade za pridobivene količine ugljikovodika u 2025. je uplaćeno  </w:t>
      </w:r>
      <w:r w:rsidRPr="009B418D">
        <w:rPr>
          <w:rFonts w:ascii="Times New Roman" w:hAnsi="Times New Roman" w:cs="Times New Roman"/>
          <w:b/>
          <w:bCs/>
          <w:sz w:val="24"/>
          <w:szCs w:val="24"/>
        </w:rPr>
        <w:t>4.264.092,56 EUR</w:t>
      </w:r>
      <w:r w:rsidRPr="009B418D">
        <w:rPr>
          <w:rFonts w:ascii="Times New Roman" w:hAnsi="Times New Roman" w:cs="Times New Roman"/>
          <w:sz w:val="24"/>
          <w:szCs w:val="24"/>
        </w:rPr>
        <w:t xml:space="preserve"> državnom proračunu i jedinicama lokalne i područne (regionalne) samouprave. </w:t>
      </w:r>
    </w:p>
    <w:p w14:paraId="3D45DCC1" w14:textId="77777777" w:rsidR="00D346C2" w:rsidRPr="002466E5" w:rsidRDefault="00D346C2" w:rsidP="00D346C2">
      <w:pPr>
        <w:pStyle w:val="NoSpacing"/>
        <w:spacing w:before="200" w:after="20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18D">
        <w:rPr>
          <w:rFonts w:ascii="Times New Roman" w:hAnsi="Times New Roman" w:cs="Times New Roman"/>
          <w:sz w:val="24"/>
          <w:szCs w:val="24"/>
        </w:rPr>
        <w:t>Slijedom navedenog, putem Ministarstva gospodarstva dostavlja se Vladi Republike Hrvatske Izvješće o izvršenju ugovora o istraživanju i podjeli eksploatacije ugljikovodika sa stanjem na dan 31. prosinca 2025.</w:t>
      </w:r>
    </w:p>
    <w:p w14:paraId="54AE30D7" w14:textId="77777777" w:rsidR="00752932" w:rsidRPr="002A5AE4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752932" w:rsidRPr="002A5AE4" w:rsidSect="00C5085C">
      <w:headerReference w:type="default" r:id="rId14"/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E62A" w14:textId="77777777" w:rsidR="002C0263" w:rsidRDefault="002C0263">
      <w:r>
        <w:separator/>
      </w:r>
    </w:p>
  </w:endnote>
  <w:endnote w:type="continuationSeparator" w:id="0">
    <w:p w14:paraId="3D34354C" w14:textId="77777777" w:rsidR="002C0263" w:rsidRDefault="002C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088A" w14:textId="77777777" w:rsidR="002C0263" w:rsidRDefault="002C0263">
      <w:r>
        <w:separator/>
      </w:r>
    </w:p>
  </w:footnote>
  <w:footnote w:type="continuationSeparator" w:id="0">
    <w:p w14:paraId="22EC9257" w14:textId="77777777" w:rsidR="002C0263" w:rsidRDefault="002C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60E4" w14:textId="77777777" w:rsidR="00752932" w:rsidRDefault="0075293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6F5D" w14:textId="77777777" w:rsidR="00752932" w:rsidRDefault="00752932">
    <w:pPr>
      <w:pStyle w:val="Header"/>
      <w:jc w:val="right"/>
    </w:pPr>
  </w:p>
  <w:p w14:paraId="76CF2F0E" w14:textId="77777777" w:rsidR="00752932" w:rsidRDefault="0075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E799" w14:textId="4938513B" w:rsidR="002670E9" w:rsidRDefault="005D56F6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D346C2">
      <w:rPr>
        <w:noProof/>
      </w:rPr>
      <w:t>5</w:t>
    </w:r>
    <w:r>
      <w:fldChar w:fldCharType="end"/>
    </w:r>
  </w:p>
  <w:p w14:paraId="39CADC9B" w14:textId="77777777" w:rsidR="002670E9" w:rsidRDefault="002670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B2AE"/>
    <w:multiLevelType w:val="hybridMultilevel"/>
    <w:tmpl w:val="22FA27A6"/>
    <w:lvl w:ilvl="0" w:tplc="608C32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DAE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2A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8A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61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1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A2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8A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05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6146"/>
    <w:multiLevelType w:val="hybridMultilevel"/>
    <w:tmpl w:val="FB243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7A59"/>
    <w:multiLevelType w:val="hybridMultilevel"/>
    <w:tmpl w:val="F19C94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6"/>
    <w:rsid w:val="0000261E"/>
    <w:rsid w:val="00004A92"/>
    <w:rsid w:val="0001278B"/>
    <w:rsid w:val="00017D0C"/>
    <w:rsid w:val="00024C7F"/>
    <w:rsid w:val="000272AB"/>
    <w:rsid w:val="000537FC"/>
    <w:rsid w:val="00054D4E"/>
    <w:rsid w:val="000567C5"/>
    <w:rsid w:val="00072EF6"/>
    <w:rsid w:val="000A6582"/>
    <w:rsid w:val="000C5729"/>
    <w:rsid w:val="000D613A"/>
    <w:rsid w:val="000E1176"/>
    <w:rsid w:val="000F0F39"/>
    <w:rsid w:val="00121F78"/>
    <w:rsid w:val="00141B81"/>
    <w:rsid w:val="0015489B"/>
    <w:rsid w:val="00160DF5"/>
    <w:rsid w:val="00164821"/>
    <w:rsid w:val="00174A33"/>
    <w:rsid w:val="00175B14"/>
    <w:rsid w:val="001820EA"/>
    <w:rsid w:val="00195B75"/>
    <w:rsid w:val="001A4E44"/>
    <w:rsid w:val="001B5E41"/>
    <w:rsid w:val="001D053C"/>
    <w:rsid w:val="001D4D59"/>
    <w:rsid w:val="001D6EBF"/>
    <w:rsid w:val="001E537D"/>
    <w:rsid w:val="00207EB2"/>
    <w:rsid w:val="00212FC0"/>
    <w:rsid w:val="002305BD"/>
    <w:rsid w:val="00234063"/>
    <w:rsid w:val="0023596E"/>
    <w:rsid w:val="00251469"/>
    <w:rsid w:val="002522EA"/>
    <w:rsid w:val="00256F37"/>
    <w:rsid w:val="00256F9B"/>
    <w:rsid w:val="0026057C"/>
    <w:rsid w:val="00263638"/>
    <w:rsid w:val="002661E2"/>
    <w:rsid w:val="002670E9"/>
    <w:rsid w:val="002745A8"/>
    <w:rsid w:val="002874AD"/>
    <w:rsid w:val="002914B8"/>
    <w:rsid w:val="00291CD1"/>
    <w:rsid w:val="002965EE"/>
    <w:rsid w:val="002A5ABC"/>
    <w:rsid w:val="002A5AE4"/>
    <w:rsid w:val="002B1A13"/>
    <w:rsid w:val="002B352C"/>
    <w:rsid w:val="002C0263"/>
    <w:rsid w:val="002C1B2B"/>
    <w:rsid w:val="002D4D88"/>
    <w:rsid w:val="002F3B7F"/>
    <w:rsid w:val="00303B3B"/>
    <w:rsid w:val="00303EEE"/>
    <w:rsid w:val="00305B87"/>
    <w:rsid w:val="00313E36"/>
    <w:rsid w:val="0032608C"/>
    <w:rsid w:val="003325FA"/>
    <w:rsid w:val="00334158"/>
    <w:rsid w:val="003469B4"/>
    <w:rsid w:val="00357810"/>
    <w:rsid w:val="0038514C"/>
    <w:rsid w:val="00392B1D"/>
    <w:rsid w:val="003A1C1A"/>
    <w:rsid w:val="003B7953"/>
    <w:rsid w:val="003C1E51"/>
    <w:rsid w:val="003D0E42"/>
    <w:rsid w:val="003D6D6C"/>
    <w:rsid w:val="003E0DC4"/>
    <w:rsid w:val="003F2730"/>
    <w:rsid w:val="003F2B3F"/>
    <w:rsid w:val="003F4F41"/>
    <w:rsid w:val="00401793"/>
    <w:rsid w:val="00415916"/>
    <w:rsid w:val="004222AE"/>
    <w:rsid w:val="0043627C"/>
    <w:rsid w:val="00443A9E"/>
    <w:rsid w:val="0045752A"/>
    <w:rsid w:val="0046344B"/>
    <w:rsid w:val="00481098"/>
    <w:rsid w:val="004903E9"/>
    <w:rsid w:val="00492113"/>
    <w:rsid w:val="00496906"/>
    <w:rsid w:val="00497D14"/>
    <w:rsid w:val="004A2BE5"/>
    <w:rsid w:val="004A3280"/>
    <w:rsid w:val="004A4AE0"/>
    <w:rsid w:val="004B0BD1"/>
    <w:rsid w:val="004B0FD1"/>
    <w:rsid w:val="004C4A0F"/>
    <w:rsid w:val="004D48B2"/>
    <w:rsid w:val="004E544D"/>
    <w:rsid w:val="004F111F"/>
    <w:rsid w:val="004F2B1B"/>
    <w:rsid w:val="004F6437"/>
    <w:rsid w:val="005051FD"/>
    <w:rsid w:val="00507E69"/>
    <w:rsid w:val="00513737"/>
    <w:rsid w:val="005252FD"/>
    <w:rsid w:val="005407D4"/>
    <w:rsid w:val="005443EF"/>
    <w:rsid w:val="00550D72"/>
    <w:rsid w:val="0055643D"/>
    <w:rsid w:val="00564F11"/>
    <w:rsid w:val="00565AD5"/>
    <w:rsid w:val="00570351"/>
    <w:rsid w:val="00586F85"/>
    <w:rsid w:val="00587B37"/>
    <w:rsid w:val="00587C82"/>
    <w:rsid w:val="00592924"/>
    <w:rsid w:val="00596B63"/>
    <w:rsid w:val="005B5FCA"/>
    <w:rsid w:val="005C1F19"/>
    <w:rsid w:val="005C2578"/>
    <w:rsid w:val="005C25B1"/>
    <w:rsid w:val="005C287D"/>
    <w:rsid w:val="005C3491"/>
    <w:rsid w:val="005D56F6"/>
    <w:rsid w:val="005D5716"/>
    <w:rsid w:val="005D7C7C"/>
    <w:rsid w:val="005E0F9B"/>
    <w:rsid w:val="005E31FB"/>
    <w:rsid w:val="005F50E6"/>
    <w:rsid w:val="0060708D"/>
    <w:rsid w:val="00611058"/>
    <w:rsid w:val="00612C55"/>
    <w:rsid w:val="00630051"/>
    <w:rsid w:val="00630764"/>
    <w:rsid w:val="00641B3D"/>
    <w:rsid w:val="00662067"/>
    <w:rsid w:val="006630DB"/>
    <w:rsid w:val="00663A6E"/>
    <w:rsid w:val="00671452"/>
    <w:rsid w:val="006742EF"/>
    <w:rsid w:val="00686A99"/>
    <w:rsid w:val="006921AD"/>
    <w:rsid w:val="006937D8"/>
    <w:rsid w:val="006937FD"/>
    <w:rsid w:val="006B3CE6"/>
    <w:rsid w:val="006B3F03"/>
    <w:rsid w:val="006B7C84"/>
    <w:rsid w:val="006C47B6"/>
    <w:rsid w:val="006C669B"/>
    <w:rsid w:val="006D6CEB"/>
    <w:rsid w:val="006D7F4C"/>
    <w:rsid w:val="006E490C"/>
    <w:rsid w:val="007247D7"/>
    <w:rsid w:val="00726474"/>
    <w:rsid w:val="0073555E"/>
    <w:rsid w:val="007523C0"/>
    <w:rsid w:val="00752932"/>
    <w:rsid w:val="007554B1"/>
    <w:rsid w:val="00760F42"/>
    <w:rsid w:val="0077451E"/>
    <w:rsid w:val="00776EA4"/>
    <w:rsid w:val="007807D4"/>
    <w:rsid w:val="00782600"/>
    <w:rsid w:val="00786CB5"/>
    <w:rsid w:val="007A02DF"/>
    <w:rsid w:val="007B21CD"/>
    <w:rsid w:val="007B6A98"/>
    <w:rsid w:val="007C66A3"/>
    <w:rsid w:val="007F640A"/>
    <w:rsid w:val="0081465A"/>
    <w:rsid w:val="008151FE"/>
    <w:rsid w:val="0082326B"/>
    <w:rsid w:val="00823451"/>
    <w:rsid w:val="0082664F"/>
    <w:rsid w:val="00832905"/>
    <w:rsid w:val="00835274"/>
    <w:rsid w:val="00837762"/>
    <w:rsid w:val="008502C0"/>
    <w:rsid w:val="00855D79"/>
    <w:rsid w:val="00860E65"/>
    <w:rsid w:val="0086564E"/>
    <w:rsid w:val="0088254A"/>
    <w:rsid w:val="008940BA"/>
    <w:rsid w:val="00896295"/>
    <w:rsid w:val="008A2B90"/>
    <w:rsid w:val="008A494C"/>
    <w:rsid w:val="008A5AFA"/>
    <w:rsid w:val="008B1761"/>
    <w:rsid w:val="008B426E"/>
    <w:rsid w:val="008B761C"/>
    <w:rsid w:val="008C00CA"/>
    <w:rsid w:val="008C6AEE"/>
    <w:rsid w:val="008D103D"/>
    <w:rsid w:val="008E17AC"/>
    <w:rsid w:val="008F197A"/>
    <w:rsid w:val="008F1BD0"/>
    <w:rsid w:val="008F1EDE"/>
    <w:rsid w:val="008F67D2"/>
    <w:rsid w:val="00900002"/>
    <w:rsid w:val="00901380"/>
    <w:rsid w:val="00903CA0"/>
    <w:rsid w:val="009162D1"/>
    <w:rsid w:val="00956046"/>
    <w:rsid w:val="00962455"/>
    <w:rsid w:val="00976FA8"/>
    <w:rsid w:val="009801E9"/>
    <w:rsid w:val="00980E61"/>
    <w:rsid w:val="00981049"/>
    <w:rsid w:val="009839B2"/>
    <w:rsid w:val="00996114"/>
    <w:rsid w:val="009A2A61"/>
    <w:rsid w:val="009B5091"/>
    <w:rsid w:val="009B526E"/>
    <w:rsid w:val="009C431F"/>
    <w:rsid w:val="009C6758"/>
    <w:rsid w:val="009F0558"/>
    <w:rsid w:val="009F072A"/>
    <w:rsid w:val="009F5A74"/>
    <w:rsid w:val="00A056FC"/>
    <w:rsid w:val="00A11106"/>
    <w:rsid w:val="00A11E62"/>
    <w:rsid w:val="00A166E8"/>
    <w:rsid w:val="00A2691D"/>
    <w:rsid w:val="00A3745C"/>
    <w:rsid w:val="00A429C0"/>
    <w:rsid w:val="00A67F16"/>
    <w:rsid w:val="00A867F2"/>
    <w:rsid w:val="00A95113"/>
    <w:rsid w:val="00AA6636"/>
    <w:rsid w:val="00AB351E"/>
    <w:rsid w:val="00AC22D6"/>
    <w:rsid w:val="00AD054D"/>
    <w:rsid w:val="00AE4BEA"/>
    <w:rsid w:val="00AE6AD5"/>
    <w:rsid w:val="00AE7252"/>
    <w:rsid w:val="00AF5898"/>
    <w:rsid w:val="00B2117F"/>
    <w:rsid w:val="00B31644"/>
    <w:rsid w:val="00B40139"/>
    <w:rsid w:val="00B407BE"/>
    <w:rsid w:val="00B41859"/>
    <w:rsid w:val="00B613D5"/>
    <w:rsid w:val="00B6222B"/>
    <w:rsid w:val="00B73CE8"/>
    <w:rsid w:val="00B8339D"/>
    <w:rsid w:val="00B83B4C"/>
    <w:rsid w:val="00B84558"/>
    <w:rsid w:val="00B8689E"/>
    <w:rsid w:val="00B97782"/>
    <w:rsid w:val="00BA5655"/>
    <w:rsid w:val="00BB4C60"/>
    <w:rsid w:val="00BC44E2"/>
    <w:rsid w:val="00BC7869"/>
    <w:rsid w:val="00BF0D8D"/>
    <w:rsid w:val="00BF1D72"/>
    <w:rsid w:val="00BF6247"/>
    <w:rsid w:val="00C01CC5"/>
    <w:rsid w:val="00C11D77"/>
    <w:rsid w:val="00C12DAA"/>
    <w:rsid w:val="00C21EFD"/>
    <w:rsid w:val="00C23F65"/>
    <w:rsid w:val="00C3390D"/>
    <w:rsid w:val="00C356A2"/>
    <w:rsid w:val="00C41783"/>
    <w:rsid w:val="00C417C7"/>
    <w:rsid w:val="00C469A5"/>
    <w:rsid w:val="00C5085C"/>
    <w:rsid w:val="00C60270"/>
    <w:rsid w:val="00C76573"/>
    <w:rsid w:val="00C87EA0"/>
    <w:rsid w:val="00CA100F"/>
    <w:rsid w:val="00CA1CBD"/>
    <w:rsid w:val="00CA7636"/>
    <w:rsid w:val="00CC11B2"/>
    <w:rsid w:val="00CC254D"/>
    <w:rsid w:val="00CC441D"/>
    <w:rsid w:val="00CC7414"/>
    <w:rsid w:val="00CD261D"/>
    <w:rsid w:val="00CF55FA"/>
    <w:rsid w:val="00D312F2"/>
    <w:rsid w:val="00D320A5"/>
    <w:rsid w:val="00D346C2"/>
    <w:rsid w:val="00D429E8"/>
    <w:rsid w:val="00D43956"/>
    <w:rsid w:val="00D475A9"/>
    <w:rsid w:val="00D5062D"/>
    <w:rsid w:val="00D51B31"/>
    <w:rsid w:val="00D61F8B"/>
    <w:rsid w:val="00D62722"/>
    <w:rsid w:val="00D65DAE"/>
    <w:rsid w:val="00D80E96"/>
    <w:rsid w:val="00D837DC"/>
    <w:rsid w:val="00D87DD2"/>
    <w:rsid w:val="00DA6385"/>
    <w:rsid w:val="00DC2A1F"/>
    <w:rsid w:val="00DC66FD"/>
    <w:rsid w:val="00DD4E71"/>
    <w:rsid w:val="00DE1D0F"/>
    <w:rsid w:val="00DE6744"/>
    <w:rsid w:val="00E228AC"/>
    <w:rsid w:val="00E23C2F"/>
    <w:rsid w:val="00E24EFC"/>
    <w:rsid w:val="00E26761"/>
    <w:rsid w:val="00E27983"/>
    <w:rsid w:val="00E66426"/>
    <w:rsid w:val="00E73C99"/>
    <w:rsid w:val="00E8523B"/>
    <w:rsid w:val="00E85E1A"/>
    <w:rsid w:val="00EA42A8"/>
    <w:rsid w:val="00EC774D"/>
    <w:rsid w:val="00EE1DB1"/>
    <w:rsid w:val="00EE27F8"/>
    <w:rsid w:val="00EF20BC"/>
    <w:rsid w:val="00F1028E"/>
    <w:rsid w:val="00F16285"/>
    <w:rsid w:val="00F35A81"/>
    <w:rsid w:val="00F40E12"/>
    <w:rsid w:val="00F55902"/>
    <w:rsid w:val="00F63C53"/>
    <w:rsid w:val="00F77D18"/>
    <w:rsid w:val="00F84044"/>
    <w:rsid w:val="00F8424E"/>
    <w:rsid w:val="00F959F2"/>
    <w:rsid w:val="00FC12EB"/>
    <w:rsid w:val="00FE36B5"/>
    <w:rsid w:val="00FE6B8A"/>
    <w:rsid w:val="00FE76C9"/>
    <w:rsid w:val="00FF2F50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B206"/>
  <w15:docId w15:val="{DBEE0AFB-B22B-44BB-BECA-A3CDDEFC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AE"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D56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D56F6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932"/>
    <w:pPr>
      <w:ind w:left="720"/>
      <w:contextualSpacing/>
    </w:pPr>
  </w:style>
  <w:style w:type="character" w:styleId="CommentReference">
    <w:name w:val="annotation reference"/>
    <w:basedOn w:val="DefaultParagraphFont"/>
    <w:rsid w:val="004222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22AE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2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22AE"/>
    <w:rPr>
      <w:rFonts w:ascii="Arial" w:hAnsi="Arial" w:cs="Arial"/>
      <w:b/>
      <w:bCs/>
      <w:color w:val="000000"/>
    </w:rPr>
  </w:style>
  <w:style w:type="paragraph" w:styleId="NoSpacing">
    <w:name w:val="No Spacing"/>
    <w:uiPriority w:val="1"/>
    <w:qFormat/>
    <w:rsid w:val="00D346C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D346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AZJMDCZ6QSYZ-1849078857-54944</_dlc_DocId>
    <_dlc_DocIdUrl xmlns="a494813a-d0d8-4dad-94cb-0d196f36ba15">
      <Url>https://ekoordinacije.vlada.hr/koordinacija-gospodarstvo/_layouts/15/DocIdRedir.aspx?ID=AZJMDCZ6QSYZ-1849078857-54944</Url>
      <Description>AZJMDCZ6QSYZ-1849078857-54944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16719D-2678-4D14-9CD1-97C1FF1A51AC}"/>
</file>

<file path=customXml/itemProps2.xml><?xml version="1.0" encoding="utf-8"?>
<ds:datastoreItem xmlns:ds="http://schemas.openxmlformats.org/officeDocument/2006/customXml" ds:itemID="{BBB525D8-F872-4B2D-A921-35A83BE71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E785A-1F0D-4FF1-80C7-14342E7BA3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A07650-462D-44AD-ADCF-A17368AE1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subject/>
  <dc:creator>Test App3</dc:creator>
  <cp:keywords/>
  <dc:description/>
  <cp:lastModifiedBy>Maja Lebarović</cp:lastModifiedBy>
  <cp:revision>3</cp:revision>
  <cp:lastPrinted>2026-03-18T07:55:00Z</cp:lastPrinted>
  <dcterms:created xsi:type="dcterms:W3CDTF">2026-05-20T13:59:00Z</dcterms:created>
  <dcterms:modified xsi:type="dcterms:W3CDTF">2026-05-20T14:02:00Z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2096cdad-6bb6-47d2-80f6-ebad6895969b</vt:lpwstr>
  </property>
</Properties>
</file>