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244A2" w14:textId="77777777" w:rsidR="00A961B8" w:rsidRPr="00C208B8" w:rsidRDefault="00A961B8" w:rsidP="00A961B8">
      <w:pPr>
        <w:jc w:val="center"/>
      </w:pPr>
      <w:r>
        <w:rPr>
          <w:noProof/>
        </w:rPr>
        <w:drawing>
          <wp:inline distT="0" distB="0" distL="0" distR="0" wp14:anchorId="3EED2257" wp14:editId="2A4B312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136000FA" w14:textId="77777777" w:rsidR="00A961B8" w:rsidRPr="0023763F" w:rsidRDefault="00A961B8" w:rsidP="00A961B8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65122FB0" w14:textId="77777777" w:rsidR="00A961B8" w:rsidRDefault="00A961B8" w:rsidP="00A961B8"/>
    <w:p w14:paraId="05BC6DF9" w14:textId="7738BA6C" w:rsidR="00A961B8" w:rsidRPr="003A2F05" w:rsidRDefault="00A961B8" w:rsidP="00A961B8">
      <w:pPr>
        <w:spacing w:after="2400"/>
        <w:jc w:val="right"/>
      </w:pPr>
      <w:r w:rsidRPr="003A2F05">
        <w:t>Zagreb</w:t>
      </w:r>
      <w:r w:rsidRPr="00CD04E6">
        <w:t>,</w:t>
      </w:r>
      <w:r w:rsidR="002732CC">
        <w:t xml:space="preserve"> </w:t>
      </w:r>
      <w:r w:rsidR="00EA427C">
        <w:t>1</w:t>
      </w:r>
      <w:r w:rsidR="009615B5">
        <w:t xml:space="preserve">. </w:t>
      </w:r>
      <w:r w:rsidR="00EA427C">
        <w:t>travnja</w:t>
      </w:r>
      <w:r w:rsidR="009615B5">
        <w:t xml:space="preserve"> </w:t>
      </w:r>
      <w:r w:rsidR="007607C9">
        <w:t>2026.</w:t>
      </w:r>
      <w:r w:rsidRPr="00CD04E6">
        <w:t xml:space="preserve"> </w:t>
      </w:r>
    </w:p>
    <w:p w14:paraId="28D3A6AD" w14:textId="77777777" w:rsidR="00A961B8" w:rsidRPr="002179F8" w:rsidRDefault="00A961B8" w:rsidP="00A961B8">
      <w:pPr>
        <w:spacing w:line="360" w:lineRule="auto"/>
      </w:pPr>
      <w:r w:rsidRPr="002179F8">
        <w:t>__________________________________________________________________________</w:t>
      </w:r>
    </w:p>
    <w:p w14:paraId="5AADFDAF" w14:textId="77777777" w:rsidR="00A961B8" w:rsidRDefault="00A961B8" w:rsidP="00A961B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A961B8" w:rsidSect="00A961B8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A961B8" w14:paraId="7448F4C9" w14:textId="77777777" w:rsidTr="006977AD">
        <w:tc>
          <w:tcPr>
            <w:tcW w:w="1951" w:type="dxa"/>
          </w:tcPr>
          <w:p w14:paraId="5FE9FD50" w14:textId="77777777" w:rsidR="00A961B8" w:rsidRDefault="00A961B8" w:rsidP="006977AD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EA7BEA1" w14:textId="49422E88" w:rsidR="00A961B8" w:rsidRDefault="00A961B8" w:rsidP="006977AD">
            <w:pPr>
              <w:spacing w:line="360" w:lineRule="auto"/>
            </w:pPr>
            <w:r>
              <w:t xml:space="preserve">Ministarstvo gospodarstva </w:t>
            </w:r>
          </w:p>
        </w:tc>
      </w:tr>
    </w:tbl>
    <w:p w14:paraId="2DE3BC1B" w14:textId="77777777" w:rsidR="00A961B8" w:rsidRPr="002179F8" w:rsidRDefault="00A961B8" w:rsidP="00A961B8">
      <w:pPr>
        <w:spacing w:line="360" w:lineRule="auto"/>
      </w:pPr>
      <w:r w:rsidRPr="002179F8">
        <w:t>__________________________________________________________________________</w:t>
      </w:r>
    </w:p>
    <w:p w14:paraId="14B41FAB" w14:textId="77777777" w:rsidR="00A961B8" w:rsidRDefault="00A961B8" w:rsidP="00A961B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A961B8" w:rsidSect="006977AD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A961B8" w14:paraId="6860B8A9" w14:textId="77777777" w:rsidTr="006977AD">
        <w:tc>
          <w:tcPr>
            <w:tcW w:w="1951" w:type="dxa"/>
          </w:tcPr>
          <w:p w14:paraId="5D2F9E03" w14:textId="77777777" w:rsidR="00A961B8" w:rsidRDefault="00A961B8" w:rsidP="006977AD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6CDD074" w14:textId="77777777" w:rsidR="00A961B8" w:rsidRDefault="00C541A4" w:rsidP="006977AD">
            <w:pPr>
              <w:jc w:val="both"/>
            </w:pPr>
            <w:r>
              <w:t xml:space="preserve">Prijedlog </w:t>
            </w:r>
            <w:r w:rsidR="008746C6">
              <w:t>O</w:t>
            </w:r>
            <w:r w:rsidR="000C779A">
              <w:t>dluke</w:t>
            </w:r>
            <w:r w:rsidR="002E6B00">
              <w:t xml:space="preserve"> o puštanju </w:t>
            </w:r>
            <w:r w:rsidR="008746C6">
              <w:t xml:space="preserve">na tržište </w:t>
            </w:r>
            <w:r w:rsidR="002E6B00">
              <w:t>obveznih zaliha nafte i naftnih derivata</w:t>
            </w:r>
          </w:p>
          <w:p w14:paraId="20C2B32E" w14:textId="77777777" w:rsidR="00A961B8" w:rsidRDefault="00A961B8" w:rsidP="006977AD">
            <w:pPr>
              <w:spacing w:line="360" w:lineRule="auto"/>
              <w:jc w:val="both"/>
            </w:pPr>
          </w:p>
        </w:tc>
      </w:tr>
    </w:tbl>
    <w:p w14:paraId="61991A23" w14:textId="77777777" w:rsidR="00A961B8" w:rsidRPr="002179F8" w:rsidRDefault="00A961B8" w:rsidP="00A961B8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498C9C63" w14:textId="77777777" w:rsidR="00A961B8" w:rsidRDefault="00A961B8" w:rsidP="00A961B8"/>
    <w:p w14:paraId="32585C7B" w14:textId="77777777" w:rsidR="00A961B8" w:rsidRPr="00CE78D1" w:rsidRDefault="00A961B8" w:rsidP="00A961B8"/>
    <w:p w14:paraId="02E09E59" w14:textId="77777777" w:rsidR="00A961B8" w:rsidRPr="00CE78D1" w:rsidRDefault="00A961B8" w:rsidP="00A961B8"/>
    <w:p w14:paraId="7E2770A1" w14:textId="77777777" w:rsidR="00A961B8" w:rsidRPr="00CE78D1" w:rsidRDefault="00A961B8" w:rsidP="00A961B8"/>
    <w:p w14:paraId="4A18C873" w14:textId="77777777" w:rsidR="00A961B8" w:rsidRPr="00CE78D1" w:rsidRDefault="00A961B8" w:rsidP="00A961B8"/>
    <w:p w14:paraId="33CECD34" w14:textId="77777777" w:rsidR="00A961B8" w:rsidRPr="00CE78D1" w:rsidRDefault="00A961B8" w:rsidP="00A961B8"/>
    <w:p w14:paraId="1FA30D2C" w14:textId="77777777" w:rsidR="00A961B8" w:rsidRPr="00CE78D1" w:rsidRDefault="00A961B8" w:rsidP="00A961B8"/>
    <w:p w14:paraId="4D3D1D30" w14:textId="77777777" w:rsidR="00A961B8" w:rsidRPr="00CE78D1" w:rsidRDefault="00A961B8" w:rsidP="00A961B8"/>
    <w:p w14:paraId="3C9589DD" w14:textId="77777777" w:rsidR="00A961B8" w:rsidRPr="00CE78D1" w:rsidRDefault="00A961B8" w:rsidP="00A961B8"/>
    <w:p w14:paraId="4FD6AB71" w14:textId="77777777" w:rsidR="00A961B8" w:rsidRPr="00CE78D1" w:rsidRDefault="00A961B8" w:rsidP="00A961B8"/>
    <w:p w14:paraId="797BE4D1" w14:textId="77777777" w:rsidR="00A961B8" w:rsidRPr="00CE78D1" w:rsidRDefault="00A961B8" w:rsidP="00A961B8"/>
    <w:p w14:paraId="21060CCE" w14:textId="77777777" w:rsidR="00A961B8" w:rsidRPr="00CE78D1" w:rsidRDefault="00A961B8" w:rsidP="00A961B8"/>
    <w:p w14:paraId="0025FD74" w14:textId="77777777" w:rsidR="00A961B8" w:rsidRPr="00CE78D1" w:rsidRDefault="00A961B8" w:rsidP="00A961B8"/>
    <w:p w14:paraId="4C78EA9C" w14:textId="77777777" w:rsidR="00A961B8" w:rsidRDefault="00A961B8" w:rsidP="00A961B8"/>
    <w:p w14:paraId="55CD479A" w14:textId="77777777" w:rsidR="00A961B8" w:rsidRDefault="00A961B8" w:rsidP="00A961B8"/>
    <w:p w14:paraId="3F40BA82" w14:textId="77777777" w:rsidR="00A961B8" w:rsidRPr="00CE78D1" w:rsidRDefault="00A961B8" w:rsidP="00A961B8"/>
    <w:p w14:paraId="313FE5B8" w14:textId="77777777" w:rsidR="000C467A" w:rsidRPr="00777691" w:rsidRDefault="000C467A" w:rsidP="00A961B8">
      <w:pPr>
        <w:tabs>
          <w:tab w:val="left" w:pos="0"/>
          <w:tab w:val="left" w:pos="142"/>
          <w:tab w:val="right" w:pos="1701"/>
          <w:tab w:val="left" w:pos="1843"/>
        </w:tabs>
        <w:spacing w:line="360" w:lineRule="auto"/>
        <w:rPr>
          <w:b/>
          <w:smallCaps/>
        </w:rPr>
        <w:sectPr w:rsidR="000C467A" w:rsidRPr="00777691" w:rsidSect="000C467A">
          <w:footerReference w:type="default" r:id="rId14"/>
          <w:footerReference w:type="first" r:id="rId15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C46F392" w14:textId="77777777" w:rsidR="00EF7874" w:rsidRPr="00D733C8" w:rsidRDefault="00EF7874" w:rsidP="00EF7874">
      <w:pPr>
        <w:shd w:val="clear" w:color="auto" w:fill="FFFFFF"/>
        <w:spacing w:after="48"/>
        <w:jc w:val="right"/>
        <w:textAlignment w:val="baseline"/>
        <w:rPr>
          <w:b/>
          <w:bCs/>
          <w:color w:val="231F20"/>
          <w:sz w:val="29"/>
          <w:szCs w:val="29"/>
        </w:rPr>
      </w:pPr>
    </w:p>
    <w:p w14:paraId="229E59F5" w14:textId="1CE5E80A" w:rsidR="002732CC" w:rsidRDefault="002732CC" w:rsidP="00D24B6E">
      <w:pPr>
        <w:shd w:val="clear" w:color="auto" w:fill="FFFFFF"/>
        <w:spacing w:after="48"/>
        <w:ind w:firstLine="708"/>
        <w:jc w:val="right"/>
        <w:textAlignment w:val="baseline"/>
        <w:rPr>
          <w:color w:val="231F20"/>
        </w:rPr>
      </w:pPr>
      <w:bookmarkStart w:id="0" w:name="_GoBack"/>
      <w:r w:rsidRPr="002732CC">
        <w:rPr>
          <w:color w:val="231F20"/>
        </w:rPr>
        <w:t>Prijed</w:t>
      </w:r>
      <w:bookmarkEnd w:id="0"/>
      <w:r w:rsidRPr="002732CC">
        <w:rPr>
          <w:color w:val="231F20"/>
        </w:rPr>
        <w:t>log</w:t>
      </w:r>
    </w:p>
    <w:p w14:paraId="6AA33EF6" w14:textId="77777777" w:rsidR="002732CC" w:rsidRDefault="002732CC" w:rsidP="00BC10D6">
      <w:pPr>
        <w:shd w:val="clear" w:color="auto" w:fill="FFFFFF"/>
        <w:spacing w:after="48"/>
        <w:ind w:firstLine="708"/>
        <w:jc w:val="both"/>
        <w:textAlignment w:val="baseline"/>
        <w:rPr>
          <w:color w:val="231F20"/>
        </w:rPr>
      </w:pPr>
    </w:p>
    <w:p w14:paraId="27FD5C2D" w14:textId="77777777" w:rsidR="009615B5" w:rsidRDefault="009615B5" w:rsidP="00BC10D6">
      <w:pPr>
        <w:shd w:val="clear" w:color="auto" w:fill="FFFFFF"/>
        <w:spacing w:after="48"/>
        <w:ind w:firstLine="708"/>
        <w:jc w:val="both"/>
        <w:textAlignment w:val="baseline"/>
        <w:rPr>
          <w:color w:val="231F20"/>
        </w:rPr>
      </w:pPr>
    </w:p>
    <w:p w14:paraId="28FB130A" w14:textId="2C950903" w:rsidR="00EF7874" w:rsidRDefault="00EF7874" w:rsidP="00414D09">
      <w:pPr>
        <w:shd w:val="clear" w:color="auto" w:fill="FFFFFF"/>
        <w:spacing w:after="48"/>
        <w:ind w:firstLine="1418"/>
        <w:jc w:val="both"/>
        <w:textAlignment w:val="baseline"/>
        <w:rPr>
          <w:color w:val="231F20"/>
        </w:rPr>
      </w:pPr>
      <w:r w:rsidRPr="00D733C8">
        <w:rPr>
          <w:color w:val="231F20"/>
        </w:rPr>
        <w:t xml:space="preserve">Na temelju članka </w:t>
      </w:r>
      <w:r w:rsidR="000C779A">
        <w:rPr>
          <w:color w:val="231F20"/>
        </w:rPr>
        <w:t>15</w:t>
      </w:r>
      <w:r>
        <w:rPr>
          <w:color w:val="231F20"/>
        </w:rPr>
        <w:t xml:space="preserve">. stavka </w:t>
      </w:r>
      <w:r w:rsidR="000C779A">
        <w:rPr>
          <w:color w:val="231F20"/>
        </w:rPr>
        <w:t>4</w:t>
      </w:r>
      <w:r w:rsidRPr="00D733C8">
        <w:rPr>
          <w:color w:val="231F20"/>
        </w:rPr>
        <w:t xml:space="preserve">. Zakona o </w:t>
      </w:r>
      <w:r>
        <w:rPr>
          <w:color w:val="231F20"/>
        </w:rPr>
        <w:t>tržištu nafte i naftnih derivata</w:t>
      </w:r>
      <w:r w:rsidRPr="00D733C8">
        <w:rPr>
          <w:color w:val="231F20"/>
        </w:rPr>
        <w:t xml:space="preserve"> (</w:t>
      </w:r>
      <w:r w:rsidR="00414D09">
        <w:rPr>
          <w:color w:val="231F20"/>
        </w:rPr>
        <w:t>„</w:t>
      </w:r>
      <w:r w:rsidRPr="00D733C8">
        <w:rPr>
          <w:color w:val="231F20"/>
        </w:rPr>
        <w:t>Narodne novine</w:t>
      </w:r>
      <w:r w:rsidR="00414D09">
        <w:rPr>
          <w:color w:val="231F20"/>
        </w:rPr>
        <w:t>“</w:t>
      </w:r>
      <w:r w:rsidRPr="00D733C8">
        <w:rPr>
          <w:color w:val="231F20"/>
        </w:rPr>
        <w:t xml:space="preserve">, br. </w:t>
      </w:r>
      <w:r>
        <w:rPr>
          <w:color w:val="231F20"/>
        </w:rPr>
        <w:t>19</w:t>
      </w:r>
      <w:r w:rsidRPr="00D733C8">
        <w:rPr>
          <w:color w:val="231F20"/>
        </w:rPr>
        <w:t>/1</w:t>
      </w:r>
      <w:r>
        <w:rPr>
          <w:color w:val="231F20"/>
        </w:rPr>
        <w:t>4</w:t>
      </w:r>
      <w:r w:rsidR="00414D09">
        <w:rPr>
          <w:color w:val="231F20"/>
        </w:rPr>
        <w:t>.</w:t>
      </w:r>
      <w:r>
        <w:rPr>
          <w:color w:val="231F20"/>
        </w:rPr>
        <w:t>, 73/17</w:t>
      </w:r>
      <w:r w:rsidR="00414D09">
        <w:rPr>
          <w:color w:val="231F20"/>
        </w:rPr>
        <w:t>.</w:t>
      </w:r>
      <w:r>
        <w:rPr>
          <w:color w:val="231F20"/>
        </w:rPr>
        <w:t xml:space="preserve"> i 96</w:t>
      </w:r>
      <w:r w:rsidRPr="00D733C8">
        <w:rPr>
          <w:color w:val="231F20"/>
        </w:rPr>
        <w:t>/19</w:t>
      </w:r>
      <w:r w:rsidR="00414D09">
        <w:rPr>
          <w:color w:val="231F20"/>
        </w:rPr>
        <w:t>.</w:t>
      </w:r>
      <w:r w:rsidRPr="00D733C8">
        <w:rPr>
          <w:color w:val="231F20"/>
        </w:rPr>
        <w:t xml:space="preserve">), Vlada Republike Hrvatske je na sjednici održanoj </w:t>
      </w:r>
      <w:r>
        <w:rPr>
          <w:color w:val="231F20"/>
        </w:rPr>
        <w:t>_________</w:t>
      </w:r>
      <w:r w:rsidRPr="00D733C8">
        <w:rPr>
          <w:color w:val="231F20"/>
        </w:rPr>
        <w:t xml:space="preserve"> donijela</w:t>
      </w:r>
    </w:p>
    <w:p w14:paraId="431628CB" w14:textId="77777777" w:rsidR="00654716" w:rsidRPr="00D733C8" w:rsidRDefault="00654716" w:rsidP="0050175E">
      <w:pPr>
        <w:shd w:val="clear" w:color="auto" w:fill="FFFFFF"/>
        <w:ind w:firstLine="408"/>
        <w:jc w:val="both"/>
        <w:textAlignment w:val="baseline"/>
        <w:rPr>
          <w:color w:val="231F20"/>
        </w:rPr>
      </w:pPr>
    </w:p>
    <w:p w14:paraId="4427DC7F" w14:textId="77D2296C" w:rsidR="00EF7874" w:rsidRPr="0050175E" w:rsidRDefault="000C779A" w:rsidP="0050175E">
      <w:pPr>
        <w:shd w:val="clear" w:color="auto" w:fill="FFFFFF"/>
        <w:jc w:val="center"/>
        <w:textAlignment w:val="baseline"/>
        <w:rPr>
          <w:b/>
          <w:bCs/>
          <w:color w:val="231F20"/>
        </w:rPr>
      </w:pPr>
      <w:r w:rsidRPr="0050175E">
        <w:rPr>
          <w:b/>
          <w:bCs/>
          <w:color w:val="231F20"/>
        </w:rPr>
        <w:t>O</w:t>
      </w:r>
      <w:r w:rsidR="0050175E" w:rsidRPr="0050175E">
        <w:rPr>
          <w:b/>
          <w:bCs/>
          <w:color w:val="231F20"/>
        </w:rPr>
        <w:t xml:space="preserve"> </w:t>
      </w:r>
      <w:r w:rsidRPr="0050175E">
        <w:rPr>
          <w:b/>
          <w:bCs/>
          <w:color w:val="231F20"/>
        </w:rPr>
        <w:t>D</w:t>
      </w:r>
      <w:r w:rsidR="0050175E" w:rsidRPr="0050175E">
        <w:rPr>
          <w:b/>
          <w:bCs/>
          <w:color w:val="231F20"/>
        </w:rPr>
        <w:t xml:space="preserve"> </w:t>
      </w:r>
      <w:r w:rsidRPr="0050175E">
        <w:rPr>
          <w:b/>
          <w:bCs/>
          <w:color w:val="231F20"/>
        </w:rPr>
        <w:t>L</w:t>
      </w:r>
      <w:r w:rsidR="0050175E" w:rsidRPr="0050175E">
        <w:rPr>
          <w:b/>
          <w:bCs/>
          <w:color w:val="231F20"/>
        </w:rPr>
        <w:t xml:space="preserve"> </w:t>
      </w:r>
      <w:r w:rsidRPr="0050175E">
        <w:rPr>
          <w:b/>
          <w:bCs/>
          <w:color w:val="231F20"/>
        </w:rPr>
        <w:t>U</w:t>
      </w:r>
      <w:r w:rsidR="0050175E" w:rsidRPr="0050175E">
        <w:rPr>
          <w:b/>
          <w:bCs/>
          <w:color w:val="231F20"/>
        </w:rPr>
        <w:t xml:space="preserve"> </w:t>
      </w:r>
      <w:r w:rsidRPr="0050175E">
        <w:rPr>
          <w:b/>
          <w:bCs/>
          <w:color w:val="231F20"/>
        </w:rPr>
        <w:t>K</w:t>
      </w:r>
      <w:r w:rsidR="0050175E" w:rsidRPr="0050175E">
        <w:rPr>
          <w:b/>
          <w:bCs/>
          <w:color w:val="231F20"/>
        </w:rPr>
        <w:t xml:space="preserve"> </w:t>
      </w:r>
      <w:r w:rsidRPr="0050175E">
        <w:rPr>
          <w:b/>
          <w:bCs/>
          <w:color w:val="231F20"/>
        </w:rPr>
        <w:t>U</w:t>
      </w:r>
    </w:p>
    <w:p w14:paraId="1A452667" w14:textId="77777777" w:rsidR="009615B5" w:rsidRPr="0050175E" w:rsidRDefault="009615B5" w:rsidP="0050175E">
      <w:pPr>
        <w:shd w:val="clear" w:color="auto" w:fill="FFFFFF"/>
        <w:jc w:val="center"/>
        <w:textAlignment w:val="baseline"/>
        <w:rPr>
          <w:b/>
          <w:bCs/>
          <w:color w:val="231F20"/>
        </w:rPr>
      </w:pPr>
    </w:p>
    <w:p w14:paraId="4842CB6E" w14:textId="5EE220D7" w:rsidR="00EF7874" w:rsidRPr="0050175E" w:rsidRDefault="0050175E" w:rsidP="0050175E">
      <w:pPr>
        <w:shd w:val="clear" w:color="auto" w:fill="FFFFFF"/>
        <w:jc w:val="center"/>
        <w:textAlignment w:val="baseline"/>
        <w:rPr>
          <w:b/>
          <w:bCs/>
          <w:color w:val="231F20"/>
        </w:rPr>
      </w:pPr>
      <w:r w:rsidRPr="0050175E">
        <w:rPr>
          <w:b/>
          <w:bCs/>
          <w:color w:val="231F20"/>
        </w:rPr>
        <w:t xml:space="preserve">o puštanju na tržište obveznih zaliha nafte i naftnih derivata </w:t>
      </w:r>
    </w:p>
    <w:p w14:paraId="458305E4" w14:textId="77777777" w:rsidR="000C779A" w:rsidRDefault="000C779A" w:rsidP="0050175E">
      <w:pPr>
        <w:shd w:val="clear" w:color="auto" w:fill="FFFFFF"/>
        <w:jc w:val="center"/>
        <w:textAlignment w:val="baseline"/>
        <w:rPr>
          <w:b/>
          <w:bCs/>
          <w:color w:val="231F20"/>
        </w:rPr>
      </w:pPr>
    </w:p>
    <w:p w14:paraId="4E85C7E1" w14:textId="77777777" w:rsidR="00654716" w:rsidRPr="000C779A" w:rsidRDefault="00654716" w:rsidP="0050175E">
      <w:pPr>
        <w:shd w:val="clear" w:color="auto" w:fill="FFFFFF"/>
        <w:jc w:val="center"/>
        <w:textAlignment w:val="baseline"/>
        <w:rPr>
          <w:b/>
          <w:bCs/>
          <w:color w:val="231F20"/>
        </w:rPr>
      </w:pPr>
    </w:p>
    <w:p w14:paraId="7D51EA96" w14:textId="77777777" w:rsidR="00EF7874" w:rsidRPr="0050175E" w:rsidRDefault="00D7212A" w:rsidP="0050175E">
      <w:pPr>
        <w:shd w:val="clear" w:color="auto" w:fill="FFFFFF"/>
        <w:jc w:val="center"/>
        <w:textAlignment w:val="baseline"/>
        <w:rPr>
          <w:b/>
          <w:color w:val="231F20"/>
        </w:rPr>
      </w:pPr>
      <w:r w:rsidRPr="0050175E">
        <w:rPr>
          <w:b/>
          <w:color w:val="231F20"/>
        </w:rPr>
        <w:t>I</w:t>
      </w:r>
      <w:r w:rsidR="00EF7874" w:rsidRPr="0050175E">
        <w:rPr>
          <w:b/>
          <w:color w:val="231F20"/>
        </w:rPr>
        <w:t>.</w:t>
      </w:r>
    </w:p>
    <w:p w14:paraId="6F034979" w14:textId="77777777" w:rsidR="009615B5" w:rsidRPr="00D733C8" w:rsidRDefault="009615B5" w:rsidP="0050175E">
      <w:pPr>
        <w:shd w:val="clear" w:color="auto" w:fill="FFFFFF"/>
        <w:jc w:val="center"/>
        <w:textAlignment w:val="baseline"/>
        <w:rPr>
          <w:color w:val="231F20"/>
        </w:rPr>
      </w:pPr>
    </w:p>
    <w:p w14:paraId="4AA17341" w14:textId="6C878EDB" w:rsidR="00EF7874" w:rsidRPr="00BC10D6" w:rsidRDefault="00EF7874" w:rsidP="0050175E">
      <w:pPr>
        <w:shd w:val="clear" w:color="auto" w:fill="FFFFFF"/>
        <w:ind w:firstLine="1418"/>
        <w:jc w:val="both"/>
        <w:textAlignment w:val="baseline"/>
        <w:rPr>
          <w:color w:val="231F20"/>
        </w:rPr>
      </w:pPr>
      <w:r w:rsidRPr="00D733C8">
        <w:rPr>
          <w:color w:val="231F20"/>
        </w:rPr>
        <w:t xml:space="preserve">Ovom </w:t>
      </w:r>
      <w:r w:rsidR="000C779A">
        <w:rPr>
          <w:color w:val="231F20"/>
        </w:rPr>
        <w:t xml:space="preserve">Odlukom </w:t>
      </w:r>
      <w:r w:rsidRPr="000859CD">
        <w:rPr>
          <w:color w:val="231F20"/>
        </w:rPr>
        <w:t>utvrđuj</w:t>
      </w:r>
      <w:r w:rsidR="0050175E">
        <w:rPr>
          <w:color w:val="231F20"/>
        </w:rPr>
        <w:t>e</w:t>
      </w:r>
      <w:r w:rsidRPr="000859CD">
        <w:rPr>
          <w:color w:val="231F20"/>
        </w:rPr>
        <w:t xml:space="preserve"> se </w:t>
      </w:r>
      <w:r w:rsidR="000C779A">
        <w:rPr>
          <w:color w:val="231F20"/>
        </w:rPr>
        <w:t>puštanje</w:t>
      </w:r>
      <w:r w:rsidR="00D7212A">
        <w:rPr>
          <w:color w:val="231F20"/>
        </w:rPr>
        <w:t xml:space="preserve"> na tržište</w:t>
      </w:r>
      <w:r w:rsidR="00256A2E">
        <w:rPr>
          <w:color w:val="231F20"/>
        </w:rPr>
        <w:t xml:space="preserve"> obveznih zaliha </w:t>
      </w:r>
      <w:r w:rsidR="00917063" w:rsidRPr="007607C9">
        <w:rPr>
          <w:color w:val="231F20"/>
        </w:rPr>
        <w:t>dizelskog goriva</w:t>
      </w:r>
      <w:r w:rsidR="002E6B00" w:rsidRPr="007607C9">
        <w:rPr>
          <w:color w:val="231F20"/>
        </w:rPr>
        <w:t xml:space="preserve"> </w:t>
      </w:r>
      <w:r w:rsidR="000C779A" w:rsidRPr="007607C9">
        <w:rPr>
          <w:color w:val="231F20"/>
        </w:rPr>
        <w:t xml:space="preserve">u </w:t>
      </w:r>
      <w:r w:rsidR="00BC10D6" w:rsidRPr="007607C9">
        <w:rPr>
          <w:color w:val="231F20"/>
        </w:rPr>
        <w:t xml:space="preserve">količini </w:t>
      </w:r>
      <w:r w:rsidR="00BC10D6" w:rsidRPr="001A1646">
        <w:rPr>
          <w:color w:val="231F20"/>
        </w:rPr>
        <w:t>od 3</w:t>
      </w:r>
      <w:r w:rsidR="007607C9" w:rsidRPr="001A1646">
        <w:rPr>
          <w:color w:val="231F20"/>
        </w:rPr>
        <w:t>5</w:t>
      </w:r>
      <w:r w:rsidR="00F92F10" w:rsidRPr="001A1646">
        <w:rPr>
          <w:color w:val="231F20"/>
        </w:rPr>
        <w:t>.000 tona</w:t>
      </w:r>
      <w:r w:rsidR="00917063" w:rsidRPr="001A1646">
        <w:rPr>
          <w:color w:val="231F20"/>
        </w:rPr>
        <w:t>.</w:t>
      </w:r>
      <w:r w:rsidR="00F92F10" w:rsidRPr="00BC10D6">
        <w:rPr>
          <w:color w:val="231F20"/>
        </w:rPr>
        <w:t xml:space="preserve"> </w:t>
      </w:r>
    </w:p>
    <w:p w14:paraId="2ECF5AB5" w14:textId="77777777" w:rsidR="007A4DFF" w:rsidRDefault="007A4DFF" w:rsidP="0050175E">
      <w:pPr>
        <w:pStyle w:val="ListParagraph"/>
        <w:shd w:val="clear" w:color="auto" w:fill="FFFFFF"/>
        <w:ind w:left="768"/>
        <w:jc w:val="both"/>
        <w:textAlignment w:val="baseline"/>
        <w:rPr>
          <w:color w:val="231F20"/>
        </w:rPr>
      </w:pPr>
    </w:p>
    <w:p w14:paraId="63D7A047" w14:textId="77777777" w:rsidR="00EF7874" w:rsidRPr="0050175E" w:rsidRDefault="00256A2E" w:rsidP="0050175E">
      <w:pPr>
        <w:shd w:val="clear" w:color="auto" w:fill="FFFFFF"/>
        <w:jc w:val="center"/>
        <w:textAlignment w:val="baseline"/>
        <w:rPr>
          <w:b/>
          <w:color w:val="231F20"/>
        </w:rPr>
      </w:pPr>
      <w:r w:rsidRPr="0050175E">
        <w:rPr>
          <w:b/>
          <w:color w:val="231F20"/>
        </w:rPr>
        <w:t>II</w:t>
      </w:r>
      <w:r w:rsidR="00EF7874" w:rsidRPr="0050175E">
        <w:rPr>
          <w:b/>
          <w:color w:val="231F20"/>
        </w:rPr>
        <w:t>.</w:t>
      </w:r>
    </w:p>
    <w:p w14:paraId="1D8C53D2" w14:textId="77777777" w:rsidR="009615B5" w:rsidRPr="00D733C8" w:rsidRDefault="009615B5" w:rsidP="0050175E">
      <w:pPr>
        <w:shd w:val="clear" w:color="auto" w:fill="FFFFFF"/>
        <w:jc w:val="center"/>
        <w:textAlignment w:val="baseline"/>
        <w:rPr>
          <w:color w:val="231F20"/>
        </w:rPr>
      </w:pPr>
    </w:p>
    <w:p w14:paraId="622CAB6B" w14:textId="6C0B7EEC" w:rsidR="00EF7874" w:rsidRPr="00D733C8" w:rsidRDefault="00EF7874" w:rsidP="0050175E">
      <w:pPr>
        <w:shd w:val="clear" w:color="auto" w:fill="FFFFFF"/>
        <w:ind w:firstLine="1418"/>
        <w:jc w:val="both"/>
        <w:textAlignment w:val="baseline"/>
        <w:rPr>
          <w:color w:val="231F20"/>
        </w:rPr>
      </w:pPr>
      <w:r w:rsidRPr="00DA3D6F">
        <w:rPr>
          <w:color w:val="231F20"/>
        </w:rPr>
        <w:t xml:space="preserve">Ova </w:t>
      </w:r>
      <w:r w:rsidR="00962032" w:rsidRPr="00DA3D6F">
        <w:rPr>
          <w:color w:val="231F20"/>
        </w:rPr>
        <w:t>Odluka</w:t>
      </w:r>
      <w:r w:rsidRPr="00DA3D6F">
        <w:rPr>
          <w:color w:val="231F20"/>
        </w:rPr>
        <w:t xml:space="preserve"> stupa na snagu </w:t>
      </w:r>
      <w:r w:rsidR="007C5FAF" w:rsidRPr="00DA3D6F">
        <w:rPr>
          <w:color w:val="231F20"/>
        </w:rPr>
        <w:t xml:space="preserve">danom donošenja, a objavit će se u </w:t>
      </w:r>
      <w:r w:rsidR="0050175E">
        <w:rPr>
          <w:color w:val="231F20"/>
        </w:rPr>
        <w:t>„</w:t>
      </w:r>
      <w:r w:rsidR="001C2335" w:rsidRPr="00DA3D6F">
        <w:rPr>
          <w:color w:val="231F20"/>
        </w:rPr>
        <w:t>Narodnim novinama</w:t>
      </w:r>
      <w:r w:rsidR="0050175E">
        <w:rPr>
          <w:color w:val="231F20"/>
        </w:rPr>
        <w:t>“</w:t>
      </w:r>
      <w:r w:rsidRPr="00DA3D6F">
        <w:rPr>
          <w:color w:val="231F20"/>
        </w:rPr>
        <w:t>.</w:t>
      </w:r>
    </w:p>
    <w:p w14:paraId="66B909BA" w14:textId="77777777" w:rsidR="00EF7874" w:rsidRDefault="00EF7874" w:rsidP="0050175E">
      <w:pPr>
        <w:shd w:val="clear" w:color="auto" w:fill="FFFFFF"/>
        <w:ind w:left="408"/>
        <w:textAlignment w:val="baseline"/>
        <w:rPr>
          <w:color w:val="231F20"/>
        </w:rPr>
      </w:pPr>
    </w:p>
    <w:p w14:paraId="63B706F3" w14:textId="77777777" w:rsidR="004C1DE0" w:rsidRDefault="004C1DE0" w:rsidP="0050175E">
      <w:pPr>
        <w:shd w:val="clear" w:color="auto" w:fill="FFFFFF"/>
        <w:ind w:left="408"/>
        <w:textAlignment w:val="baseline"/>
        <w:rPr>
          <w:color w:val="231F20"/>
        </w:rPr>
      </w:pPr>
    </w:p>
    <w:p w14:paraId="7F928512" w14:textId="527DB8B8" w:rsidR="00EF7874" w:rsidRPr="00D733C8" w:rsidRDefault="009615B5" w:rsidP="00EF7874">
      <w:pPr>
        <w:shd w:val="clear" w:color="auto" w:fill="FFFFFF"/>
        <w:ind w:left="408"/>
        <w:textAlignment w:val="baseline"/>
        <w:rPr>
          <w:color w:val="231F20"/>
        </w:rPr>
      </w:pPr>
      <w:r w:rsidRPr="00D733C8">
        <w:rPr>
          <w:color w:val="231F20"/>
        </w:rPr>
        <w:t xml:space="preserve">KLASA: </w:t>
      </w:r>
    </w:p>
    <w:p w14:paraId="3307F9DA" w14:textId="56380193" w:rsidR="00EF7874" w:rsidRPr="00D733C8" w:rsidRDefault="009615B5" w:rsidP="00EF7874">
      <w:pPr>
        <w:shd w:val="clear" w:color="auto" w:fill="FFFFFF"/>
        <w:ind w:left="408"/>
        <w:textAlignment w:val="baseline"/>
        <w:rPr>
          <w:color w:val="231F20"/>
        </w:rPr>
      </w:pPr>
      <w:r w:rsidRPr="00D733C8">
        <w:rPr>
          <w:color w:val="231F20"/>
        </w:rPr>
        <w:t>URBROJ</w:t>
      </w:r>
      <w:r w:rsidR="00EF7874" w:rsidRPr="00D733C8">
        <w:rPr>
          <w:color w:val="231F20"/>
        </w:rPr>
        <w:t xml:space="preserve">: </w:t>
      </w:r>
    </w:p>
    <w:p w14:paraId="5408F2D7" w14:textId="77777777" w:rsidR="00EF7874" w:rsidRPr="00D733C8" w:rsidRDefault="00EF7874" w:rsidP="00EF7874">
      <w:pPr>
        <w:shd w:val="clear" w:color="auto" w:fill="FFFFFF"/>
        <w:ind w:left="408"/>
        <w:textAlignment w:val="baseline"/>
        <w:rPr>
          <w:color w:val="231F20"/>
        </w:rPr>
      </w:pPr>
      <w:r>
        <w:rPr>
          <w:color w:val="231F20"/>
        </w:rPr>
        <w:t xml:space="preserve">Zagreb, </w:t>
      </w:r>
    </w:p>
    <w:p w14:paraId="7659095B" w14:textId="77777777" w:rsidR="004C1DE0" w:rsidRDefault="004C1DE0" w:rsidP="00EF7874">
      <w:pPr>
        <w:shd w:val="clear" w:color="auto" w:fill="FFFFFF"/>
        <w:ind w:left="2712"/>
        <w:jc w:val="center"/>
        <w:textAlignment w:val="baseline"/>
        <w:rPr>
          <w:color w:val="231F20"/>
        </w:rPr>
      </w:pPr>
    </w:p>
    <w:p w14:paraId="50C8CD70" w14:textId="77777777" w:rsidR="004C1DE0" w:rsidRDefault="004C1DE0" w:rsidP="00EF7874">
      <w:pPr>
        <w:shd w:val="clear" w:color="auto" w:fill="FFFFFF"/>
        <w:ind w:left="2712"/>
        <w:jc w:val="center"/>
        <w:textAlignment w:val="baseline"/>
        <w:rPr>
          <w:color w:val="231F20"/>
        </w:rPr>
      </w:pPr>
    </w:p>
    <w:p w14:paraId="427E1263" w14:textId="77777777" w:rsidR="00EF7874" w:rsidRPr="00D733C8" w:rsidRDefault="00EF7874" w:rsidP="00EF7874">
      <w:pPr>
        <w:shd w:val="clear" w:color="auto" w:fill="FFFFFF"/>
        <w:ind w:left="2712"/>
        <w:jc w:val="center"/>
        <w:textAlignment w:val="baseline"/>
        <w:rPr>
          <w:color w:val="231F20"/>
        </w:rPr>
      </w:pPr>
      <w:r w:rsidRPr="00D733C8">
        <w:rPr>
          <w:color w:val="231F20"/>
        </w:rPr>
        <w:t>Predsjednik</w:t>
      </w:r>
      <w:r w:rsidRPr="00D733C8">
        <w:rPr>
          <w:rFonts w:ascii="Minion Pro" w:hAnsi="Minion Pro"/>
          <w:color w:val="231F20"/>
        </w:rPr>
        <w:br/>
      </w:r>
      <w:r w:rsidRPr="00D733C8">
        <w:rPr>
          <w:rFonts w:ascii="Minion Pro" w:hAnsi="Minion Pro"/>
          <w:b/>
          <w:bCs/>
          <w:color w:val="231F20"/>
          <w:bdr w:val="none" w:sz="0" w:space="0" w:color="auto" w:frame="1"/>
        </w:rPr>
        <w:t>mr. sc. Andrej Plenković, </w:t>
      </w:r>
      <w:r w:rsidRPr="00D733C8">
        <w:rPr>
          <w:color w:val="231F20"/>
        </w:rPr>
        <w:t>v. r.</w:t>
      </w:r>
    </w:p>
    <w:p w14:paraId="79942B7D" w14:textId="77777777" w:rsidR="00EF7874" w:rsidRDefault="00EF7874" w:rsidP="00EF7874"/>
    <w:p w14:paraId="44555E36" w14:textId="77777777" w:rsidR="001046D3" w:rsidRPr="001046D3" w:rsidRDefault="001046D3" w:rsidP="001046D3">
      <w:pPr>
        <w:spacing w:after="60"/>
        <w:ind w:firstLine="708"/>
        <w:jc w:val="both"/>
        <w:rPr>
          <w:rFonts w:eastAsiaTheme="minorHAnsi"/>
          <w:lang w:eastAsia="en-US"/>
        </w:rPr>
      </w:pPr>
    </w:p>
    <w:p w14:paraId="1A0C0494" w14:textId="77777777" w:rsidR="001046D3" w:rsidRPr="001046D3" w:rsidRDefault="001046D3" w:rsidP="001046D3">
      <w:pPr>
        <w:spacing w:after="60"/>
        <w:ind w:firstLine="708"/>
        <w:jc w:val="both"/>
        <w:rPr>
          <w:rFonts w:eastAsiaTheme="minorHAnsi"/>
          <w:lang w:eastAsia="en-US"/>
        </w:rPr>
      </w:pPr>
    </w:p>
    <w:p w14:paraId="5A1855C4" w14:textId="77777777" w:rsidR="004C1DE0" w:rsidRPr="00A567AD" w:rsidRDefault="00A567AD" w:rsidP="00A567AD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14:paraId="729F1C4A" w14:textId="77777777" w:rsidR="001046D3" w:rsidRPr="001046D3" w:rsidRDefault="001046D3" w:rsidP="00BC10D6">
      <w:pPr>
        <w:spacing w:after="60" w:line="276" w:lineRule="auto"/>
        <w:jc w:val="center"/>
        <w:rPr>
          <w:rFonts w:eastAsiaTheme="minorHAnsi"/>
          <w:lang w:eastAsia="en-US"/>
        </w:rPr>
      </w:pPr>
      <w:r w:rsidRPr="001046D3">
        <w:rPr>
          <w:rFonts w:eastAsiaTheme="minorHAnsi"/>
          <w:b/>
          <w:bCs/>
          <w:lang w:eastAsia="en-US"/>
        </w:rPr>
        <w:lastRenderedPageBreak/>
        <w:t>OBRAZLOŽENJE</w:t>
      </w:r>
    </w:p>
    <w:p w14:paraId="5D0D25C9" w14:textId="77777777" w:rsidR="001046D3" w:rsidRDefault="001046D3" w:rsidP="00BC10D6">
      <w:pPr>
        <w:spacing w:after="60" w:line="276" w:lineRule="auto"/>
        <w:jc w:val="both"/>
        <w:rPr>
          <w:rFonts w:eastAsiaTheme="minorHAnsi"/>
          <w:lang w:eastAsia="en-US"/>
        </w:rPr>
      </w:pPr>
    </w:p>
    <w:p w14:paraId="5C6F873B" w14:textId="77777777" w:rsidR="002E6B00" w:rsidRDefault="002E6B00" w:rsidP="00BC10D6">
      <w:pPr>
        <w:spacing w:after="60" w:line="276" w:lineRule="auto"/>
        <w:jc w:val="both"/>
        <w:rPr>
          <w:color w:val="231F20"/>
        </w:rPr>
      </w:pPr>
      <w:r>
        <w:rPr>
          <w:rFonts w:eastAsiaTheme="minorHAnsi"/>
          <w:lang w:eastAsia="en-US"/>
        </w:rPr>
        <w:t xml:space="preserve">Sukladno </w:t>
      </w:r>
      <w:r w:rsidRPr="00D733C8">
        <w:rPr>
          <w:color w:val="231F20"/>
        </w:rPr>
        <w:t>Zakon</w:t>
      </w:r>
      <w:r>
        <w:rPr>
          <w:color w:val="231F20"/>
        </w:rPr>
        <w:t>u</w:t>
      </w:r>
      <w:r w:rsidRPr="00D733C8">
        <w:rPr>
          <w:color w:val="231F20"/>
        </w:rPr>
        <w:t xml:space="preserve"> o </w:t>
      </w:r>
      <w:r>
        <w:rPr>
          <w:color w:val="231F20"/>
        </w:rPr>
        <w:t>tržištu nafte i naftnih derivata</w:t>
      </w:r>
      <w:r w:rsidRPr="00D733C8">
        <w:rPr>
          <w:color w:val="231F20"/>
        </w:rPr>
        <w:t xml:space="preserve"> (»Narodne novine«, br. </w:t>
      </w:r>
      <w:r>
        <w:rPr>
          <w:color w:val="231F20"/>
        </w:rPr>
        <w:t>19</w:t>
      </w:r>
      <w:r w:rsidRPr="00D733C8">
        <w:rPr>
          <w:color w:val="231F20"/>
        </w:rPr>
        <w:t>/1</w:t>
      </w:r>
      <w:r>
        <w:rPr>
          <w:color w:val="231F20"/>
        </w:rPr>
        <w:t>4, 73/17 i 96</w:t>
      </w:r>
      <w:r w:rsidRPr="00D733C8">
        <w:rPr>
          <w:color w:val="231F20"/>
        </w:rPr>
        <w:t>/19</w:t>
      </w:r>
      <w:r w:rsidR="007C5FAF">
        <w:rPr>
          <w:color w:val="231F20"/>
        </w:rPr>
        <w:t>, dalje u tekstu: Zakon</w:t>
      </w:r>
      <w:r w:rsidRPr="00D733C8">
        <w:rPr>
          <w:color w:val="231F20"/>
        </w:rPr>
        <w:t>)</w:t>
      </w:r>
      <w:r>
        <w:rPr>
          <w:color w:val="231F20"/>
        </w:rPr>
        <w:t xml:space="preserve"> obvezne zalihe nafte i naftnih derivata formiraju se za osiguranje opskrbe naftom i naftnim derivatima u slučaju prijetnje energetske sigurnosti</w:t>
      </w:r>
      <w:r w:rsidR="00BF3B79">
        <w:rPr>
          <w:color w:val="231F20"/>
        </w:rPr>
        <w:t>, zbog izvanrednih poremećaja opskrbe tržišta nafte</w:t>
      </w:r>
      <w:r w:rsidR="00204B71">
        <w:rPr>
          <w:color w:val="231F20"/>
        </w:rPr>
        <w:t>.</w:t>
      </w:r>
      <w:r w:rsidR="006E41CE">
        <w:rPr>
          <w:color w:val="231F20"/>
        </w:rPr>
        <w:t xml:space="preserve"> </w:t>
      </w:r>
    </w:p>
    <w:p w14:paraId="3DA3BBE6" w14:textId="77777777" w:rsidR="00F92F10" w:rsidRDefault="00F92F10" w:rsidP="00BC10D6">
      <w:pPr>
        <w:spacing w:after="60" w:line="276" w:lineRule="auto"/>
        <w:jc w:val="both"/>
        <w:rPr>
          <w:color w:val="231F20"/>
        </w:rPr>
      </w:pPr>
    </w:p>
    <w:p w14:paraId="253DBBAC" w14:textId="5473C40E" w:rsidR="002732CC" w:rsidRDefault="00F92F10" w:rsidP="00D9500F">
      <w:pPr>
        <w:spacing w:after="60" w:line="276" w:lineRule="auto"/>
        <w:jc w:val="both"/>
        <w:rPr>
          <w:color w:val="231F20"/>
        </w:rPr>
      </w:pPr>
      <w:r>
        <w:rPr>
          <w:color w:val="231F20"/>
        </w:rPr>
        <w:t xml:space="preserve">Dana </w:t>
      </w:r>
      <w:r w:rsidR="005D7DAA" w:rsidRPr="00677F39">
        <w:rPr>
          <w:color w:val="231F20"/>
        </w:rPr>
        <w:t>10</w:t>
      </w:r>
      <w:r w:rsidR="00344DE4" w:rsidRPr="00677F39">
        <w:rPr>
          <w:color w:val="231F20"/>
        </w:rPr>
        <w:t xml:space="preserve">. </w:t>
      </w:r>
      <w:r w:rsidR="005D7DAA" w:rsidRPr="00677F39">
        <w:rPr>
          <w:color w:val="231F20"/>
        </w:rPr>
        <w:t>o</w:t>
      </w:r>
      <w:r w:rsidR="00344DE4" w:rsidRPr="00677F39">
        <w:rPr>
          <w:color w:val="231F20"/>
        </w:rPr>
        <w:t>žujka</w:t>
      </w:r>
      <w:r w:rsidR="00344DE4">
        <w:rPr>
          <w:color w:val="231F20"/>
        </w:rPr>
        <w:t xml:space="preserve"> </w:t>
      </w:r>
      <w:r w:rsidR="00917063">
        <w:rPr>
          <w:color w:val="231F20"/>
        </w:rPr>
        <w:t xml:space="preserve"> 202</w:t>
      </w:r>
      <w:r w:rsidR="005D7DAA">
        <w:rPr>
          <w:color w:val="231F20"/>
        </w:rPr>
        <w:t>6</w:t>
      </w:r>
      <w:r w:rsidR="00917063">
        <w:rPr>
          <w:color w:val="231F20"/>
        </w:rPr>
        <w:t>.</w:t>
      </w:r>
      <w:r>
        <w:rPr>
          <w:color w:val="231F20"/>
        </w:rPr>
        <w:t xml:space="preserve"> održan </w:t>
      </w:r>
      <w:r w:rsidRPr="00F92F10">
        <w:rPr>
          <w:color w:val="231F20"/>
        </w:rPr>
        <w:t>je sastan</w:t>
      </w:r>
      <w:r>
        <w:rPr>
          <w:color w:val="231F20"/>
        </w:rPr>
        <w:t>ak Međunar</w:t>
      </w:r>
      <w:r w:rsidR="006D71D9">
        <w:rPr>
          <w:color w:val="231F20"/>
        </w:rPr>
        <w:t>o</w:t>
      </w:r>
      <w:r>
        <w:rPr>
          <w:color w:val="231F20"/>
        </w:rPr>
        <w:t>dne agencija za energiju</w:t>
      </w:r>
      <w:r w:rsidRPr="00F92F10">
        <w:rPr>
          <w:color w:val="231F20"/>
        </w:rPr>
        <w:t xml:space="preserve"> </w:t>
      </w:r>
      <w:r>
        <w:rPr>
          <w:color w:val="231F20"/>
        </w:rPr>
        <w:t>(</w:t>
      </w:r>
      <w:r w:rsidRPr="00F92F10">
        <w:rPr>
          <w:color w:val="231F20"/>
        </w:rPr>
        <w:t>IEA</w:t>
      </w:r>
      <w:r>
        <w:rPr>
          <w:color w:val="231F20"/>
        </w:rPr>
        <w:t>)</w:t>
      </w:r>
      <w:r w:rsidR="00D9500F" w:rsidRPr="00D9500F">
        <w:rPr>
          <w:color w:val="231F20"/>
        </w:rPr>
        <w:t xml:space="preserve"> kako bi se procijenila situacija </w:t>
      </w:r>
      <w:r w:rsidR="00D24B6E">
        <w:rPr>
          <w:color w:val="231F20"/>
        </w:rPr>
        <w:t xml:space="preserve">i definirale mjere za ublažavanje </w:t>
      </w:r>
      <w:r w:rsidR="002732CC">
        <w:rPr>
          <w:color w:val="231F20"/>
        </w:rPr>
        <w:t>pogoršanj</w:t>
      </w:r>
      <w:r w:rsidR="00D24B6E">
        <w:rPr>
          <w:color w:val="231F20"/>
        </w:rPr>
        <w:t>a</w:t>
      </w:r>
      <w:r w:rsidR="002732CC">
        <w:rPr>
          <w:color w:val="231F20"/>
        </w:rPr>
        <w:t xml:space="preserve"> uvjeta na svjetskom tržištu nafte i naftnih derivata </w:t>
      </w:r>
      <w:r w:rsidR="002732CC" w:rsidRPr="002732CC">
        <w:rPr>
          <w:color w:val="231F20"/>
        </w:rPr>
        <w:t>uzrokovan</w:t>
      </w:r>
      <w:r w:rsidR="00D24B6E">
        <w:rPr>
          <w:color w:val="231F20"/>
        </w:rPr>
        <w:t>ih</w:t>
      </w:r>
      <w:r w:rsidR="002732CC" w:rsidRPr="002732CC">
        <w:rPr>
          <w:color w:val="231F20"/>
        </w:rPr>
        <w:t xml:space="preserve"> poremećajem tranzita kroz Hormuški tjesnac te ograničenjem proizvodnje nafte</w:t>
      </w:r>
      <w:r w:rsidR="002732CC">
        <w:rPr>
          <w:color w:val="231F20"/>
        </w:rPr>
        <w:t xml:space="preserve"> na Bliskom istoku </w:t>
      </w:r>
      <w:r w:rsidR="009231EF">
        <w:rPr>
          <w:color w:val="231F20"/>
        </w:rPr>
        <w:t xml:space="preserve">uslijed </w:t>
      </w:r>
      <w:r w:rsidR="008875D7">
        <w:rPr>
          <w:color w:val="231F20"/>
        </w:rPr>
        <w:t>oružanih sukoba i nestabilnosti u široj regiji</w:t>
      </w:r>
      <w:r w:rsidR="002732CC">
        <w:rPr>
          <w:color w:val="231F20"/>
        </w:rPr>
        <w:t>.</w:t>
      </w:r>
    </w:p>
    <w:p w14:paraId="2B4DCCA3" w14:textId="77777777" w:rsidR="002732CC" w:rsidRDefault="002732CC" w:rsidP="00D9500F">
      <w:pPr>
        <w:spacing w:after="60" w:line="276" w:lineRule="auto"/>
        <w:jc w:val="both"/>
        <w:rPr>
          <w:color w:val="231F20"/>
        </w:rPr>
      </w:pPr>
    </w:p>
    <w:p w14:paraId="0AD3A45C" w14:textId="0C86E2EB" w:rsidR="00D24B6E" w:rsidRDefault="00D9500F" w:rsidP="00D9500F">
      <w:pPr>
        <w:spacing w:after="60" w:line="276" w:lineRule="auto"/>
        <w:jc w:val="both"/>
        <w:rPr>
          <w:color w:val="231F20"/>
        </w:rPr>
      </w:pPr>
      <w:r>
        <w:rPr>
          <w:color w:val="231F20"/>
        </w:rPr>
        <w:t>N</w:t>
      </w:r>
      <w:r w:rsidR="00F92F10">
        <w:rPr>
          <w:color w:val="231F20"/>
        </w:rPr>
        <w:t xml:space="preserve">a </w:t>
      </w:r>
      <w:r>
        <w:rPr>
          <w:color w:val="231F20"/>
        </w:rPr>
        <w:t>sastanku</w:t>
      </w:r>
      <w:r w:rsidR="00F92F10">
        <w:rPr>
          <w:color w:val="231F20"/>
        </w:rPr>
        <w:t xml:space="preserve"> je</w:t>
      </w:r>
      <w:r w:rsidR="00BC10D6">
        <w:rPr>
          <w:color w:val="231F20"/>
        </w:rPr>
        <w:t xml:space="preserve"> </w:t>
      </w:r>
      <w:r w:rsidR="000F2FA8">
        <w:rPr>
          <w:color w:val="231F20"/>
        </w:rPr>
        <w:t>predloženo</w:t>
      </w:r>
      <w:r w:rsidR="00BC10D6">
        <w:rPr>
          <w:color w:val="231F20"/>
        </w:rPr>
        <w:t xml:space="preserve"> otpu</w:t>
      </w:r>
      <w:r w:rsidR="000F2FA8">
        <w:rPr>
          <w:color w:val="231F20"/>
        </w:rPr>
        <w:t>štanje</w:t>
      </w:r>
      <w:r w:rsidR="00BC10D6">
        <w:rPr>
          <w:color w:val="231F20"/>
        </w:rPr>
        <w:t xml:space="preserve"> </w:t>
      </w:r>
      <w:r w:rsidR="00D24B6E" w:rsidRPr="000F2FA8">
        <w:rPr>
          <w:color w:val="231F20"/>
        </w:rPr>
        <w:t>ukupno 400</w:t>
      </w:r>
      <w:r w:rsidR="00F92F10" w:rsidRPr="000F2FA8">
        <w:rPr>
          <w:color w:val="231F20"/>
        </w:rPr>
        <w:t xml:space="preserve"> milijuna </w:t>
      </w:r>
      <w:r w:rsidR="00D24B6E" w:rsidRPr="000F2FA8">
        <w:rPr>
          <w:color w:val="231F20"/>
        </w:rPr>
        <w:t>barela (oko 5</w:t>
      </w:r>
      <w:r w:rsidR="000F2FA8">
        <w:rPr>
          <w:color w:val="231F20"/>
        </w:rPr>
        <w:t>4,</w:t>
      </w:r>
      <w:r w:rsidR="006659BE">
        <w:rPr>
          <w:color w:val="231F20"/>
        </w:rPr>
        <w:t>3</w:t>
      </w:r>
      <w:r w:rsidR="00D24B6E" w:rsidRPr="000F2FA8">
        <w:rPr>
          <w:color w:val="231F20"/>
        </w:rPr>
        <w:t xml:space="preserve"> milijuna tona</w:t>
      </w:r>
      <w:r w:rsidR="006659BE">
        <w:rPr>
          <w:color w:val="231F20"/>
        </w:rPr>
        <w:t>) ekvivalenata sirove</w:t>
      </w:r>
      <w:r w:rsidR="00F92F10" w:rsidRPr="00F92F10">
        <w:rPr>
          <w:color w:val="231F20"/>
        </w:rPr>
        <w:t xml:space="preserve"> nafte</w:t>
      </w:r>
      <w:r w:rsidR="00F92F10">
        <w:rPr>
          <w:color w:val="231F20"/>
        </w:rPr>
        <w:t xml:space="preserve"> iz obveznih zaliha</w:t>
      </w:r>
      <w:r w:rsidR="00D24B6E">
        <w:rPr>
          <w:color w:val="231F20"/>
        </w:rPr>
        <w:t xml:space="preserve"> država članica</w:t>
      </w:r>
      <w:r w:rsidR="00F92F10">
        <w:rPr>
          <w:color w:val="231F20"/>
        </w:rPr>
        <w:t xml:space="preserve"> s ciljem </w:t>
      </w:r>
      <w:r w:rsidR="00D24B6E" w:rsidRPr="00D24B6E">
        <w:rPr>
          <w:color w:val="231F20"/>
        </w:rPr>
        <w:t>stabilizacij</w:t>
      </w:r>
      <w:r w:rsidR="00D24B6E">
        <w:rPr>
          <w:color w:val="231F20"/>
        </w:rPr>
        <w:t>e</w:t>
      </w:r>
      <w:r w:rsidR="00F71303">
        <w:rPr>
          <w:color w:val="231F20"/>
        </w:rPr>
        <w:t xml:space="preserve"> opskrbe</w:t>
      </w:r>
      <w:r w:rsidR="00D24B6E" w:rsidRPr="00D24B6E">
        <w:rPr>
          <w:color w:val="231F20"/>
        </w:rPr>
        <w:t xml:space="preserve"> tržišta osiguravanjem dostupnosti dodatnih količina nafte te slanj</w:t>
      </w:r>
      <w:r w:rsidR="00F71303">
        <w:rPr>
          <w:color w:val="231F20"/>
        </w:rPr>
        <w:t>a</w:t>
      </w:r>
      <w:r w:rsidR="00D24B6E" w:rsidRPr="00D24B6E">
        <w:rPr>
          <w:color w:val="231F20"/>
        </w:rPr>
        <w:t xml:space="preserve"> jedinstvene i snažne poruke tržištu da neće biti manjka u opskrbi zbog sukoba na Bliskom istoku.</w:t>
      </w:r>
      <w:r w:rsidR="007607C9">
        <w:rPr>
          <w:color w:val="231F20"/>
        </w:rPr>
        <w:t xml:space="preserve"> Odluka o otpuštanju zaliha</w:t>
      </w:r>
      <w:r w:rsidR="000F2FA8">
        <w:rPr>
          <w:color w:val="231F20"/>
        </w:rPr>
        <w:t>, nakon jednoglasnog prihvaćanja od strane država članica</w:t>
      </w:r>
      <w:r w:rsidR="00AB4D09">
        <w:rPr>
          <w:color w:val="231F20"/>
        </w:rPr>
        <w:t xml:space="preserve"> IEA</w:t>
      </w:r>
      <w:r w:rsidR="000F2FA8">
        <w:rPr>
          <w:color w:val="231F20"/>
        </w:rPr>
        <w:t>,</w:t>
      </w:r>
      <w:r w:rsidR="007607C9">
        <w:rPr>
          <w:color w:val="231F20"/>
        </w:rPr>
        <w:t xml:space="preserve"> je potvrđena 11.3.2026.</w:t>
      </w:r>
    </w:p>
    <w:p w14:paraId="7FA6CB84" w14:textId="77777777" w:rsidR="00D24B6E" w:rsidRDefault="00D24B6E" w:rsidP="00D9500F">
      <w:pPr>
        <w:spacing w:after="60" w:line="276" w:lineRule="auto"/>
        <w:jc w:val="both"/>
        <w:rPr>
          <w:color w:val="231F20"/>
        </w:rPr>
      </w:pPr>
    </w:p>
    <w:p w14:paraId="1142E08B" w14:textId="7F76314C" w:rsidR="00D24B6E" w:rsidRDefault="00D9500F" w:rsidP="00D9500F">
      <w:pPr>
        <w:spacing w:after="60" w:line="276" w:lineRule="auto"/>
        <w:jc w:val="both"/>
        <w:rPr>
          <w:color w:val="231F20"/>
        </w:rPr>
      </w:pPr>
      <w:r w:rsidRPr="00D9500F">
        <w:rPr>
          <w:color w:val="231F20"/>
        </w:rPr>
        <w:t xml:space="preserve">Prema udjelima zemalja koje je izračunao </w:t>
      </w:r>
      <w:r w:rsidR="00CB4433" w:rsidRPr="00CB4433">
        <w:rPr>
          <w:color w:val="231F20"/>
        </w:rPr>
        <w:t>upravni odbor i odbor za upravljanje</w:t>
      </w:r>
      <w:r w:rsidR="00CB4433">
        <w:rPr>
          <w:color w:val="231F20"/>
        </w:rPr>
        <w:t xml:space="preserve"> Međunarodne energetske agencije (IEA) </w:t>
      </w:r>
      <w:r w:rsidRPr="00D9500F">
        <w:rPr>
          <w:color w:val="231F20"/>
        </w:rPr>
        <w:t xml:space="preserve">(na temelju </w:t>
      </w:r>
      <w:r w:rsidR="006659BE">
        <w:rPr>
          <w:color w:val="231F20"/>
        </w:rPr>
        <w:t xml:space="preserve">ukupne </w:t>
      </w:r>
      <w:r w:rsidRPr="00D9500F">
        <w:rPr>
          <w:color w:val="231F20"/>
        </w:rPr>
        <w:t xml:space="preserve">potrošnje </w:t>
      </w:r>
      <w:r w:rsidR="006D71D9">
        <w:rPr>
          <w:color w:val="231F20"/>
        </w:rPr>
        <w:t>u razdoblju</w:t>
      </w:r>
      <w:r w:rsidR="00CB4433">
        <w:rPr>
          <w:color w:val="231F20"/>
        </w:rPr>
        <w:t xml:space="preserve"> </w:t>
      </w:r>
      <w:r w:rsidR="006659BE">
        <w:rPr>
          <w:color w:val="231F20"/>
        </w:rPr>
        <w:t>4Q2024-3Q2025</w:t>
      </w:r>
      <w:r w:rsidR="006D71D9">
        <w:rPr>
          <w:color w:val="231F20"/>
        </w:rPr>
        <w:t>)</w:t>
      </w:r>
      <w:r w:rsidRPr="00D9500F">
        <w:rPr>
          <w:color w:val="231F20"/>
        </w:rPr>
        <w:t xml:space="preserve">, procijenjeni doprinosi država članica EU-a </w:t>
      </w:r>
      <w:r w:rsidR="000F2FA8">
        <w:rPr>
          <w:color w:val="231F20"/>
        </w:rPr>
        <w:t xml:space="preserve">koje su članice IEA </w:t>
      </w:r>
      <w:r w:rsidR="00CB4433">
        <w:rPr>
          <w:color w:val="231F20"/>
        </w:rPr>
        <w:t>iznose</w:t>
      </w:r>
      <w:r w:rsidRPr="00D9500F">
        <w:rPr>
          <w:color w:val="231F20"/>
        </w:rPr>
        <w:t xml:space="preserve"> ukupno </w:t>
      </w:r>
      <w:r w:rsidR="00AB4D09">
        <w:rPr>
          <w:color w:val="231F20"/>
        </w:rPr>
        <w:t xml:space="preserve">87,6 milijuna barela </w:t>
      </w:r>
      <w:r w:rsidR="006659BE">
        <w:rPr>
          <w:color w:val="231F20"/>
        </w:rPr>
        <w:t>(</w:t>
      </w:r>
      <w:r w:rsidR="006659BE" w:rsidRPr="00677F39">
        <w:rPr>
          <w:color w:val="231F20"/>
        </w:rPr>
        <w:t>11,9</w:t>
      </w:r>
      <w:r w:rsidRPr="00677F39">
        <w:rPr>
          <w:color w:val="231F20"/>
        </w:rPr>
        <w:t xml:space="preserve"> milijuna </w:t>
      </w:r>
      <w:r w:rsidR="006659BE" w:rsidRPr="00677F39">
        <w:rPr>
          <w:color w:val="231F20"/>
        </w:rPr>
        <w:t>tona)</w:t>
      </w:r>
      <w:r w:rsidRPr="00677F39">
        <w:rPr>
          <w:color w:val="231F20"/>
        </w:rPr>
        <w:t xml:space="preserve"> ekvivalenta sirove nafte.</w:t>
      </w:r>
      <w:r w:rsidRPr="00D9500F">
        <w:rPr>
          <w:color w:val="231F20"/>
        </w:rPr>
        <w:t xml:space="preserve"> </w:t>
      </w:r>
    </w:p>
    <w:p w14:paraId="4C3CFC62" w14:textId="5F48AA14" w:rsidR="008B0277" w:rsidRDefault="006D71D9" w:rsidP="008B0277">
      <w:pPr>
        <w:spacing w:after="60" w:line="276" w:lineRule="auto"/>
        <w:jc w:val="both"/>
        <w:rPr>
          <w:color w:val="231F20"/>
        </w:rPr>
      </w:pPr>
      <w:r w:rsidRPr="006D71D9">
        <w:rPr>
          <w:color w:val="231F20"/>
        </w:rPr>
        <w:t>Temeljem toga održan je sastanak Koordinacijske grupe za naftu gdje su države članice Europske unije trebale iskazati namjeru da li podržavaju otpuštanje zaliha (</w:t>
      </w:r>
      <w:r w:rsidR="005F3E8A">
        <w:rPr>
          <w:color w:val="231F20"/>
        </w:rPr>
        <w:t>6</w:t>
      </w:r>
      <w:r w:rsidRPr="006D71D9">
        <w:rPr>
          <w:color w:val="231F20"/>
        </w:rPr>
        <w:t xml:space="preserve"> država članica EU nisu članice IEA).</w:t>
      </w:r>
      <w:r w:rsidR="008B0277" w:rsidRPr="008B0277">
        <w:rPr>
          <w:color w:val="231F20"/>
        </w:rPr>
        <w:t xml:space="preserve"> </w:t>
      </w:r>
      <w:r w:rsidR="008B0277" w:rsidRPr="00065DB5">
        <w:rPr>
          <w:color w:val="231F20"/>
        </w:rPr>
        <w:t xml:space="preserve">Prikladno je da države članice pozitivno odgovore na </w:t>
      </w:r>
      <w:r w:rsidR="008B0277">
        <w:rPr>
          <w:color w:val="231F20"/>
        </w:rPr>
        <w:t>sudjelovanje</w:t>
      </w:r>
      <w:r w:rsidR="008B0277" w:rsidRPr="008B0277">
        <w:rPr>
          <w:color w:val="231F20"/>
        </w:rPr>
        <w:t xml:space="preserve"> u drugoj zajedničkoj koordiniranoj akciji </w:t>
      </w:r>
      <w:r w:rsidR="008B0277" w:rsidRPr="00065DB5">
        <w:rPr>
          <w:color w:val="231F20"/>
        </w:rPr>
        <w:t>u interesu snažne solidarnosti i kohezije u cijeloj Zajednici</w:t>
      </w:r>
      <w:r w:rsidR="008B0277">
        <w:rPr>
          <w:color w:val="231F20"/>
        </w:rPr>
        <w:t>,</w:t>
      </w:r>
      <w:r w:rsidR="008B0277" w:rsidRPr="008B0277">
        <w:rPr>
          <w:color w:val="231F20"/>
        </w:rPr>
        <w:t xml:space="preserve"> </w:t>
      </w:r>
      <w:r w:rsidR="008B0277">
        <w:rPr>
          <w:color w:val="231F20"/>
        </w:rPr>
        <w:t>između onih država članica koje su članice IEA-e i onih koje nisu.</w:t>
      </w:r>
    </w:p>
    <w:p w14:paraId="51A896EC" w14:textId="77777777" w:rsidR="00961A95" w:rsidRDefault="00961A95" w:rsidP="00D9500F">
      <w:pPr>
        <w:spacing w:after="60" w:line="276" w:lineRule="auto"/>
        <w:jc w:val="both"/>
        <w:rPr>
          <w:color w:val="231F20"/>
        </w:rPr>
      </w:pPr>
    </w:p>
    <w:p w14:paraId="6E5CF900" w14:textId="03759A2E" w:rsidR="006D71D9" w:rsidRDefault="006D71D9" w:rsidP="00D9500F">
      <w:pPr>
        <w:spacing w:after="60" w:line="276" w:lineRule="auto"/>
        <w:jc w:val="both"/>
        <w:rPr>
          <w:color w:val="231F20"/>
        </w:rPr>
      </w:pPr>
      <w:r w:rsidRPr="006D71D9">
        <w:rPr>
          <w:color w:val="231F20"/>
        </w:rPr>
        <w:t xml:space="preserve">Kako </w:t>
      </w:r>
      <w:r w:rsidR="00FC21A6">
        <w:rPr>
          <w:color w:val="231F20"/>
        </w:rPr>
        <w:t xml:space="preserve">Republika </w:t>
      </w:r>
      <w:r w:rsidRPr="006D71D9">
        <w:rPr>
          <w:color w:val="231F20"/>
        </w:rPr>
        <w:t>Hrvatska nije članica Međunar</w:t>
      </w:r>
      <w:r w:rsidR="00932F07">
        <w:rPr>
          <w:color w:val="231F20"/>
        </w:rPr>
        <w:t>o</w:t>
      </w:r>
      <w:r w:rsidRPr="006D71D9">
        <w:rPr>
          <w:color w:val="231F20"/>
        </w:rPr>
        <w:t>dne agencije za energiju nema obvezu, ali može sudjelovati u koordiniranoj akciji u duhu europske solidarnosti i kohezije.</w:t>
      </w:r>
      <w:r>
        <w:rPr>
          <w:color w:val="231F20"/>
        </w:rPr>
        <w:t xml:space="preserve"> </w:t>
      </w:r>
    </w:p>
    <w:p w14:paraId="2A79EE4C" w14:textId="77777777" w:rsidR="009B1430" w:rsidRDefault="009B1430" w:rsidP="00D9500F">
      <w:pPr>
        <w:spacing w:after="60" w:line="276" w:lineRule="auto"/>
        <w:jc w:val="both"/>
        <w:rPr>
          <w:color w:val="231F20"/>
        </w:rPr>
      </w:pPr>
    </w:p>
    <w:p w14:paraId="7FC95B46" w14:textId="1A86BAAA" w:rsidR="007D7805" w:rsidRDefault="00FC21A6" w:rsidP="00D9500F">
      <w:pPr>
        <w:spacing w:after="60" w:line="276" w:lineRule="auto"/>
        <w:jc w:val="both"/>
        <w:rPr>
          <w:color w:val="231F20"/>
        </w:rPr>
      </w:pPr>
      <w:r w:rsidRPr="00FC21A6">
        <w:rPr>
          <w:color w:val="231F20"/>
        </w:rPr>
        <w:t xml:space="preserve">Uzimajući u obzir sve raspoložive okolnosti, Republika Hrvatska </w:t>
      </w:r>
      <w:r>
        <w:rPr>
          <w:color w:val="231F20"/>
        </w:rPr>
        <w:t>može</w:t>
      </w:r>
      <w:r w:rsidRPr="00FC21A6">
        <w:rPr>
          <w:color w:val="231F20"/>
        </w:rPr>
        <w:t xml:space="preserve"> sudje</w:t>
      </w:r>
      <w:r>
        <w:rPr>
          <w:color w:val="231F20"/>
        </w:rPr>
        <w:t xml:space="preserve">lovati </w:t>
      </w:r>
      <w:r w:rsidRPr="00FC21A6">
        <w:rPr>
          <w:color w:val="231F20"/>
        </w:rPr>
        <w:t xml:space="preserve">u </w:t>
      </w:r>
      <w:r>
        <w:rPr>
          <w:color w:val="231F20"/>
        </w:rPr>
        <w:t>zajedničkoj koordiniranoj akciji</w:t>
      </w:r>
      <w:r w:rsidRPr="00FC21A6">
        <w:rPr>
          <w:color w:val="231F20"/>
        </w:rPr>
        <w:t xml:space="preserve"> </w:t>
      </w:r>
      <w:r w:rsidR="008B0277">
        <w:rPr>
          <w:color w:val="231F20"/>
        </w:rPr>
        <w:t xml:space="preserve">s </w:t>
      </w:r>
      <w:r w:rsidR="00AB4D09" w:rsidRPr="001A1646">
        <w:rPr>
          <w:color w:val="231F20"/>
        </w:rPr>
        <w:t>35.000</w:t>
      </w:r>
      <w:r w:rsidR="008B0277" w:rsidRPr="001A1646">
        <w:rPr>
          <w:color w:val="231F20"/>
        </w:rPr>
        <w:t xml:space="preserve"> tona diz</w:t>
      </w:r>
      <w:r w:rsidR="008B0277" w:rsidRPr="00AB4D09">
        <w:rPr>
          <w:color w:val="231F20"/>
        </w:rPr>
        <w:t xml:space="preserve">elskog goriva, odnosno </w:t>
      </w:r>
      <w:r w:rsidR="00AB4D09" w:rsidRPr="00AB4D09">
        <w:rPr>
          <w:color w:val="231F20"/>
        </w:rPr>
        <w:t xml:space="preserve">35.400 tona </w:t>
      </w:r>
      <w:r w:rsidR="00425058">
        <w:rPr>
          <w:color w:val="231F20"/>
        </w:rPr>
        <w:t>(</w:t>
      </w:r>
      <w:r w:rsidR="00AB4D09" w:rsidRPr="00AB4D09">
        <w:rPr>
          <w:color w:val="231F20"/>
        </w:rPr>
        <w:t>261.</w:t>
      </w:r>
      <w:r w:rsidR="00425058">
        <w:rPr>
          <w:color w:val="231F20"/>
        </w:rPr>
        <w:t>1</w:t>
      </w:r>
      <w:r w:rsidR="00AB4D09" w:rsidRPr="00AB4D09">
        <w:rPr>
          <w:color w:val="231F20"/>
        </w:rPr>
        <w:t>00 barela</w:t>
      </w:r>
      <w:r w:rsidR="00425058">
        <w:rPr>
          <w:color w:val="231F20"/>
        </w:rPr>
        <w:t>)</w:t>
      </w:r>
      <w:r w:rsidR="00AB4D09" w:rsidRPr="00AB4D09">
        <w:rPr>
          <w:color w:val="231F20"/>
        </w:rPr>
        <w:t xml:space="preserve"> </w:t>
      </w:r>
      <w:r w:rsidR="008B0277" w:rsidRPr="00AB4D09">
        <w:rPr>
          <w:color w:val="231F20"/>
        </w:rPr>
        <w:t>preračunato u ekvivalente sirove nafte</w:t>
      </w:r>
      <w:r w:rsidRPr="00AB4D09">
        <w:rPr>
          <w:color w:val="231F20"/>
        </w:rPr>
        <w:t>.</w:t>
      </w:r>
    </w:p>
    <w:p w14:paraId="6ABF8A62" w14:textId="77777777" w:rsidR="007A4DFF" w:rsidRDefault="007A4DFF" w:rsidP="00BC10D6">
      <w:pPr>
        <w:spacing w:after="60" w:line="276" w:lineRule="auto"/>
        <w:jc w:val="both"/>
        <w:rPr>
          <w:color w:val="231F20"/>
        </w:rPr>
      </w:pPr>
    </w:p>
    <w:p w14:paraId="512CB87A" w14:textId="459A9277" w:rsidR="00B46827" w:rsidRDefault="00256A2E" w:rsidP="00BC10D6">
      <w:pPr>
        <w:spacing w:after="60" w:line="276" w:lineRule="auto"/>
        <w:jc w:val="both"/>
        <w:rPr>
          <w:color w:val="231F20"/>
        </w:rPr>
      </w:pPr>
      <w:r>
        <w:rPr>
          <w:color w:val="231F20"/>
        </w:rPr>
        <w:t>Ovom Odlukom</w:t>
      </w:r>
      <w:r w:rsidR="00B46827" w:rsidRPr="00B46827">
        <w:rPr>
          <w:color w:val="231F20"/>
        </w:rPr>
        <w:t xml:space="preserve"> </w:t>
      </w:r>
      <w:r w:rsidR="0026226C">
        <w:rPr>
          <w:color w:val="231F20"/>
        </w:rPr>
        <w:t>predlaže</w:t>
      </w:r>
      <w:r w:rsidR="00B46827">
        <w:rPr>
          <w:color w:val="231F20"/>
        </w:rPr>
        <w:t xml:space="preserve"> </w:t>
      </w:r>
      <w:r>
        <w:rPr>
          <w:color w:val="231F20"/>
        </w:rPr>
        <w:t xml:space="preserve">se </w:t>
      </w:r>
      <w:r w:rsidR="00D9500F">
        <w:rPr>
          <w:color w:val="231F20"/>
        </w:rPr>
        <w:t xml:space="preserve">puštanje </w:t>
      </w:r>
      <w:r w:rsidR="00AB4D09" w:rsidRPr="001A1646">
        <w:rPr>
          <w:color w:val="231F20"/>
        </w:rPr>
        <w:t>35.000</w:t>
      </w:r>
      <w:r w:rsidRPr="001A1646">
        <w:rPr>
          <w:color w:val="231F20"/>
        </w:rPr>
        <w:t xml:space="preserve"> ton</w:t>
      </w:r>
      <w:r w:rsidR="00AB4D09" w:rsidRPr="001A1646">
        <w:rPr>
          <w:color w:val="231F20"/>
        </w:rPr>
        <w:t>a</w:t>
      </w:r>
      <w:r w:rsidRPr="00AB4D09">
        <w:rPr>
          <w:color w:val="231F20"/>
        </w:rPr>
        <w:t xml:space="preserve"> </w:t>
      </w:r>
      <w:r w:rsidR="00B46827" w:rsidRPr="00AB4D09">
        <w:rPr>
          <w:color w:val="231F20"/>
        </w:rPr>
        <w:t>dizel</w:t>
      </w:r>
      <w:r w:rsidRPr="00AB4D09">
        <w:rPr>
          <w:color w:val="231F20"/>
        </w:rPr>
        <w:t>skog goriva</w:t>
      </w:r>
      <w:r w:rsidR="00B46827">
        <w:rPr>
          <w:color w:val="231F20"/>
        </w:rPr>
        <w:t xml:space="preserve"> na tržište</w:t>
      </w:r>
      <w:r w:rsidR="00612EB6">
        <w:rPr>
          <w:color w:val="231F20"/>
        </w:rPr>
        <w:t>, što</w:t>
      </w:r>
      <w:r w:rsidR="00B46827" w:rsidRPr="00F92F10">
        <w:rPr>
          <w:color w:val="231F20"/>
        </w:rPr>
        <w:t xml:space="preserve"> za </w:t>
      </w:r>
      <w:r w:rsidR="00B46827">
        <w:rPr>
          <w:color w:val="231F20"/>
        </w:rPr>
        <w:t xml:space="preserve">Republiku </w:t>
      </w:r>
      <w:r>
        <w:rPr>
          <w:color w:val="231F20"/>
        </w:rPr>
        <w:t xml:space="preserve">Hrvatsku </w:t>
      </w:r>
      <w:r w:rsidR="00B46827" w:rsidRPr="00CE7098">
        <w:rPr>
          <w:color w:val="231F20"/>
        </w:rPr>
        <w:t>predstavlja</w:t>
      </w:r>
      <w:r w:rsidR="00D9500F" w:rsidRPr="00CE7098">
        <w:rPr>
          <w:color w:val="231F20"/>
        </w:rPr>
        <w:t xml:space="preserve"> </w:t>
      </w:r>
      <w:r w:rsidR="00961A95" w:rsidRPr="00CE7098">
        <w:rPr>
          <w:color w:val="231F20"/>
        </w:rPr>
        <w:t>4,3</w:t>
      </w:r>
      <w:r w:rsidR="00D05513" w:rsidRPr="00CE7098">
        <w:rPr>
          <w:color w:val="231F20"/>
        </w:rPr>
        <w:t>9</w:t>
      </w:r>
      <w:r w:rsidR="00B46827" w:rsidRPr="00CE7098">
        <w:rPr>
          <w:color w:val="231F20"/>
        </w:rPr>
        <w:t xml:space="preserve"> dana prosječnog dnevnog neto uvoza</w:t>
      </w:r>
      <w:r w:rsidR="00612EB6" w:rsidRPr="00CE7098">
        <w:rPr>
          <w:color w:val="231F20"/>
        </w:rPr>
        <w:t xml:space="preserve">, </w:t>
      </w:r>
      <w:r w:rsidR="00961A95" w:rsidRPr="00CE7098">
        <w:rPr>
          <w:color w:val="231F20"/>
        </w:rPr>
        <w:t>4,</w:t>
      </w:r>
      <w:r w:rsidR="00D05513" w:rsidRPr="00CE7098">
        <w:rPr>
          <w:color w:val="231F20"/>
        </w:rPr>
        <w:t>10</w:t>
      </w:r>
      <w:r w:rsidR="005F3E8A" w:rsidRPr="00CE7098">
        <w:rPr>
          <w:color w:val="231F20"/>
        </w:rPr>
        <w:t xml:space="preserve"> dana prosječne dnevne potrošnje </w:t>
      </w:r>
      <w:r w:rsidR="00612EB6" w:rsidRPr="00CE7098">
        <w:rPr>
          <w:color w:val="231F20"/>
        </w:rPr>
        <w:t xml:space="preserve">odnosno </w:t>
      </w:r>
      <w:r w:rsidR="00B46827" w:rsidRPr="00CE7098">
        <w:rPr>
          <w:color w:val="231F20"/>
        </w:rPr>
        <w:t xml:space="preserve">oko </w:t>
      </w:r>
      <w:r w:rsidR="00961A95" w:rsidRPr="00CE7098">
        <w:rPr>
          <w:color w:val="231F20"/>
        </w:rPr>
        <w:t>4,</w:t>
      </w:r>
      <w:r w:rsidR="00D05513" w:rsidRPr="00CE7098">
        <w:rPr>
          <w:color w:val="231F20"/>
        </w:rPr>
        <w:t>70</w:t>
      </w:r>
      <w:r w:rsidR="00B46827" w:rsidRPr="00CE7098">
        <w:rPr>
          <w:color w:val="231F20"/>
        </w:rPr>
        <w:t>% obveznih</w:t>
      </w:r>
      <w:r w:rsidR="00B46827">
        <w:rPr>
          <w:color w:val="231F20"/>
        </w:rPr>
        <w:t xml:space="preserve"> </w:t>
      </w:r>
      <w:r w:rsidR="00B46827" w:rsidRPr="00F92F10">
        <w:rPr>
          <w:color w:val="231F20"/>
        </w:rPr>
        <w:t>zaliha</w:t>
      </w:r>
      <w:r w:rsidR="007C5FAF">
        <w:rPr>
          <w:color w:val="231F20"/>
        </w:rPr>
        <w:t>.</w:t>
      </w:r>
    </w:p>
    <w:p w14:paraId="3BAE0938" w14:textId="77777777" w:rsidR="006E41CE" w:rsidRDefault="006E41CE" w:rsidP="00BC10D6">
      <w:pPr>
        <w:spacing w:after="60" w:line="276" w:lineRule="auto"/>
        <w:jc w:val="both"/>
        <w:rPr>
          <w:color w:val="231F20"/>
        </w:rPr>
      </w:pPr>
    </w:p>
    <w:p w14:paraId="1EA48E93" w14:textId="2968B438" w:rsidR="006E41CE" w:rsidRDefault="006E41CE" w:rsidP="00CC0342">
      <w:pPr>
        <w:spacing w:line="276" w:lineRule="auto"/>
        <w:jc w:val="both"/>
        <w:rPr>
          <w:color w:val="231F20"/>
        </w:rPr>
      </w:pPr>
      <w:r>
        <w:rPr>
          <w:color w:val="231F20"/>
        </w:rPr>
        <w:lastRenderedPageBreak/>
        <w:t>Sukladno članku 15</w:t>
      </w:r>
      <w:r w:rsidR="007A4DFF">
        <w:rPr>
          <w:color w:val="231F20"/>
        </w:rPr>
        <w:t>.</w:t>
      </w:r>
      <w:r>
        <w:rPr>
          <w:color w:val="231F20"/>
        </w:rPr>
        <w:t xml:space="preserve"> stavk</w:t>
      </w:r>
      <w:r w:rsidR="007A4DFF">
        <w:rPr>
          <w:color w:val="231F20"/>
        </w:rPr>
        <w:t>a</w:t>
      </w:r>
      <w:r>
        <w:rPr>
          <w:color w:val="231F20"/>
        </w:rPr>
        <w:t xml:space="preserve"> </w:t>
      </w:r>
      <w:r w:rsidR="00256A2E">
        <w:rPr>
          <w:color w:val="231F20"/>
        </w:rPr>
        <w:t>4</w:t>
      </w:r>
      <w:r w:rsidR="007A4DFF">
        <w:rPr>
          <w:color w:val="231F20"/>
        </w:rPr>
        <w:t>.</w:t>
      </w:r>
      <w:r>
        <w:rPr>
          <w:color w:val="231F20"/>
        </w:rPr>
        <w:t xml:space="preserve"> Zakona Vlada Republike Hrvatske donosi odluku o puštanju na tržište obveznih zaliha nafte i naftnih derivata</w:t>
      </w:r>
      <w:r w:rsidR="007C5FAF">
        <w:rPr>
          <w:color w:val="231F20"/>
        </w:rPr>
        <w:t xml:space="preserve"> </w:t>
      </w:r>
      <w:r w:rsidR="00256A2E">
        <w:rPr>
          <w:color w:val="231F20"/>
        </w:rPr>
        <w:t xml:space="preserve">dok je stavkom 5. propisano da </w:t>
      </w:r>
      <w:r w:rsidRPr="006E41CE">
        <w:rPr>
          <w:color w:val="231F20"/>
        </w:rPr>
        <w:t xml:space="preserve">Agencija </w:t>
      </w:r>
      <w:r>
        <w:rPr>
          <w:color w:val="231F20"/>
        </w:rPr>
        <w:t xml:space="preserve">za ugljikovodike </w:t>
      </w:r>
      <w:r w:rsidRPr="006E41CE">
        <w:rPr>
          <w:color w:val="231F20"/>
        </w:rPr>
        <w:t>pušta obvezne zalihe na tržište po tržišnim cijenama. Tržišna cijena je cijena koja se postigne tržišnim natjecanjem temeljeno na srednjim kotacijama, objavljenim tijekom isporuke u Platt's European Marketscanu, za naftne derivate koji su predmet prodaje.</w:t>
      </w:r>
    </w:p>
    <w:p w14:paraId="30D687BC" w14:textId="77777777" w:rsidR="009B1430" w:rsidRDefault="009B1430" w:rsidP="00CC0342">
      <w:pPr>
        <w:spacing w:line="276" w:lineRule="auto"/>
        <w:jc w:val="both"/>
        <w:rPr>
          <w:color w:val="231F20"/>
        </w:rPr>
      </w:pPr>
    </w:p>
    <w:p w14:paraId="1EB91F29" w14:textId="77777777" w:rsidR="003D4EFD" w:rsidRDefault="003D4EFD">
      <w:pPr>
        <w:spacing w:after="60"/>
        <w:jc w:val="both"/>
        <w:rPr>
          <w:color w:val="231F20"/>
        </w:rPr>
      </w:pPr>
    </w:p>
    <w:sectPr w:rsidR="003D4EFD" w:rsidSect="001046D3">
      <w:headerReference w:type="default" r:id="rId16"/>
      <w:pgSz w:w="11906" w:h="16838"/>
      <w:pgMar w:top="1440" w:right="1440" w:bottom="1440" w:left="144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F45CA" w14:textId="77777777" w:rsidR="00324A12" w:rsidRDefault="00324A12">
      <w:r>
        <w:separator/>
      </w:r>
    </w:p>
  </w:endnote>
  <w:endnote w:type="continuationSeparator" w:id="0">
    <w:p w14:paraId="2996D39F" w14:textId="77777777" w:rsidR="00324A12" w:rsidRDefault="0032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E0773" w14:textId="77777777" w:rsidR="00C541A4" w:rsidRPr="00CE78D1" w:rsidRDefault="00C541A4" w:rsidP="006977AD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 xml:space="preserve">Banski dvori | Trg Sv. Marka 2  | 10000 Zagreb | tel. 01 4569 </w:t>
    </w:r>
    <w:r>
      <w:rPr>
        <w:color w:val="404040" w:themeColor="text1" w:themeTint="BF"/>
        <w:spacing w:val="20"/>
        <w:sz w:val="20"/>
      </w:rPr>
      <w:t>222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C5CB0" w14:textId="77777777" w:rsidR="00C541A4" w:rsidRDefault="00C541A4">
    <w:pPr>
      <w:pStyle w:val="Footer"/>
    </w:pPr>
  </w:p>
  <w:p w14:paraId="566C960A" w14:textId="77777777" w:rsidR="00C541A4" w:rsidRDefault="00C541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CC416" w14:textId="77777777" w:rsidR="00C541A4" w:rsidRPr="00CE78D1" w:rsidRDefault="00C541A4" w:rsidP="000C467A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 | tel. 01 4569 </w:t>
    </w:r>
    <w:r>
      <w:rPr>
        <w:color w:val="404040" w:themeColor="text1" w:themeTint="BF"/>
        <w:spacing w:val="20"/>
        <w:sz w:val="20"/>
      </w:rPr>
      <w:t>222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2A3B25E8" w14:textId="77777777" w:rsidR="00C541A4" w:rsidRDefault="00C541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DE85B" w14:textId="77777777" w:rsidR="00324A12" w:rsidRDefault="00324A12">
      <w:r>
        <w:separator/>
      </w:r>
    </w:p>
  </w:footnote>
  <w:footnote w:type="continuationSeparator" w:id="0">
    <w:p w14:paraId="0E6CD354" w14:textId="77777777" w:rsidR="00324A12" w:rsidRDefault="00324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658231"/>
      <w:docPartObj>
        <w:docPartGallery w:val="Page Numbers (Top of Page)"/>
        <w:docPartUnique/>
      </w:docPartObj>
    </w:sdtPr>
    <w:sdtEndPr/>
    <w:sdtContent>
      <w:p w14:paraId="7A0EAFE1" w14:textId="10B96F30" w:rsidR="00C541A4" w:rsidRDefault="00C541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2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7E483F" w14:textId="77777777" w:rsidR="00C541A4" w:rsidRDefault="00C54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A59"/>
    <w:multiLevelType w:val="hybridMultilevel"/>
    <w:tmpl w:val="F908530A"/>
    <w:lvl w:ilvl="0" w:tplc="F53A34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B20B8C"/>
    <w:multiLevelType w:val="hybridMultilevel"/>
    <w:tmpl w:val="562C65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D3BBB"/>
    <w:multiLevelType w:val="hybridMultilevel"/>
    <w:tmpl w:val="5A4A2E1E"/>
    <w:lvl w:ilvl="0" w:tplc="F53A3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3B2D75"/>
    <w:multiLevelType w:val="hybridMultilevel"/>
    <w:tmpl w:val="CF269440"/>
    <w:lvl w:ilvl="0" w:tplc="8FA424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D71FD"/>
    <w:multiLevelType w:val="hybridMultilevel"/>
    <w:tmpl w:val="694631CC"/>
    <w:lvl w:ilvl="0" w:tplc="9D704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F0C92"/>
    <w:multiLevelType w:val="hybridMultilevel"/>
    <w:tmpl w:val="459CC4AE"/>
    <w:lvl w:ilvl="0" w:tplc="C6DC8038">
      <w:start w:val="2"/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75AE6"/>
    <w:multiLevelType w:val="hybridMultilevel"/>
    <w:tmpl w:val="DF429CF0"/>
    <w:lvl w:ilvl="0" w:tplc="20E40D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354B9"/>
    <w:multiLevelType w:val="hybridMultilevel"/>
    <w:tmpl w:val="B9DE0574"/>
    <w:lvl w:ilvl="0" w:tplc="5A3C0930">
      <w:start w:val="1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3DAC409F"/>
    <w:multiLevelType w:val="hybridMultilevel"/>
    <w:tmpl w:val="27D21B1E"/>
    <w:lvl w:ilvl="0" w:tplc="8E3297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1E5DB4"/>
    <w:multiLevelType w:val="hybridMultilevel"/>
    <w:tmpl w:val="31DE88A0"/>
    <w:lvl w:ilvl="0" w:tplc="E9C027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E83A5C"/>
    <w:multiLevelType w:val="hybridMultilevel"/>
    <w:tmpl w:val="21AE9396"/>
    <w:lvl w:ilvl="0" w:tplc="F53A3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5724AE3"/>
    <w:multiLevelType w:val="hybridMultilevel"/>
    <w:tmpl w:val="5CF485E2"/>
    <w:lvl w:ilvl="0" w:tplc="2E12C7E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A21A47"/>
    <w:multiLevelType w:val="hybridMultilevel"/>
    <w:tmpl w:val="B4DCDBF8"/>
    <w:lvl w:ilvl="0" w:tplc="F53A3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99742DB"/>
    <w:multiLevelType w:val="hybridMultilevel"/>
    <w:tmpl w:val="A844DC0A"/>
    <w:lvl w:ilvl="0" w:tplc="85EAF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236CE"/>
    <w:multiLevelType w:val="hybridMultilevel"/>
    <w:tmpl w:val="2AAC8680"/>
    <w:lvl w:ilvl="0" w:tplc="26726E20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DC44DA"/>
    <w:multiLevelType w:val="hybridMultilevel"/>
    <w:tmpl w:val="3D9AC202"/>
    <w:lvl w:ilvl="0" w:tplc="93A461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C326D"/>
    <w:multiLevelType w:val="hybridMultilevel"/>
    <w:tmpl w:val="2AAC8680"/>
    <w:lvl w:ilvl="0" w:tplc="26726E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0046F5"/>
    <w:multiLevelType w:val="hybridMultilevel"/>
    <w:tmpl w:val="8722868E"/>
    <w:lvl w:ilvl="0" w:tplc="E8FEFEBE">
      <w:start w:val="1"/>
      <w:numFmt w:val="decimal"/>
      <w:lvlText w:val="(%1)"/>
      <w:lvlJc w:val="left"/>
      <w:pPr>
        <w:ind w:left="720" w:hanging="360"/>
      </w:pPr>
      <w:rPr>
        <w:rFonts w:hint="default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65E38"/>
    <w:multiLevelType w:val="hybridMultilevel"/>
    <w:tmpl w:val="C28C0E5E"/>
    <w:lvl w:ilvl="0" w:tplc="21F8AB80">
      <w:start w:val="1"/>
      <w:numFmt w:val="decimal"/>
      <w:lvlText w:val="(%1)"/>
      <w:lvlJc w:val="left"/>
      <w:pPr>
        <w:ind w:left="813" w:hanging="405"/>
      </w:pPr>
    </w:lvl>
    <w:lvl w:ilvl="1" w:tplc="041A0019">
      <w:start w:val="1"/>
      <w:numFmt w:val="lowerLetter"/>
      <w:lvlText w:val="%2."/>
      <w:lvlJc w:val="left"/>
      <w:pPr>
        <w:ind w:left="1488" w:hanging="360"/>
      </w:pPr>
    </w:lvl>
    <w:lvl w:ilvl="2" w:tplc="041A001B">
      <w:start w:val="1"/>
      <w:numFmt w:val="lowerRoman"/>
      <w:lvlText w:val="%3."/>
      <w:lvlJc w:val="right"/>
      <w:pPr>
        <w:ind w:left="2208" w:hanging="180"/>
      </w:pPr>
    </w:lvl>
    <w:lvl w:ilvl="3" w:tplc="041A000F">
      <w:start w:val="1"/>
      <w:numFmt w:val="decimal"/>
      <w:lvlText w:val="%4."/>
      <w:lvlJc w:val="left"/>
      <w:pPr>
        <w:ind w:left="2928" w:hanging="360"/>
      </w:pPr>
    </w:lvl>
    <w:lvl w:ilvl="4" w:tplc="041A0019">
      <w:start w:val="1"/>
      <w:numFmt w:val="lowerLetter"/>
      <w:lvlText w:val="%5."/>
      <w:lvlJc w:val="left"/>
      <w:pPr>
        <w:ind w:left="3648" w:hanging="360"/>
      </w:pPr>
    </w:lvl>
    <w:lvl w:ilvl="5" w:tplc="041A001B">
      <w:start w:val="1"/>
      <w:numFmt w:val="lowerRoman"/>
      <w:lvlText w:val="%6."/>
      <w:lvlJc w:val="right"/>
      <w:pPr>
        <w:ind w:left="4368" w:hanging="180"/>
      </w:pPr>
    </w:lvl>
    <w:lvl w:ilvl="6" w:tplc="041A000F">
      <w:start w:val="1"/>
      <w:numFmt w:val="decimal"/>
      <w:lvlText w:val="%7."/>
      <w:lvlJc w:val="left"/>
      <w:pPr>
        <w:ind w:left="5088" w:hanging="360"/>
      </w:pPr>
    </w:lvl>
    <w:lvl w:ilvl="7" w:tplc="041A0019">
      <w:start w:val="1"/>
      <w:numFmt w:val="lowerLetter"/>
      <w:lvlText w:val="%8."/>
      <w:lvlJc w:val="left"/>
      <w:pPr>
        <w:ind w:left="5808" w:hanging="360"/>
      </w:pPr>
    </w:lvl>
    <w:lvl w:ilvl="8" w:tplc="041A001B">
      <w:start w:val="1"/>
      <w:numFmt w:val="lowerRoman"/>
      <w:lvlText w:val="%9."/>
      <w:lvlJc w:val="right"/>
      <w:pPr>
        <w:ind w:left="6528" w:hanging="180"/>
      </w:pPr>
    </w:lvl>
  </w:abstractNum>
  <w:abstractNum w:abstractNumId="19" w15:restartNumberingAfterBreak="0">
    <w:nsid w:val="6DDC6B0D"/>
    <w:multiLevelType w:val="hybridMultilevel"/>
    <w:tmpl w:val="14020D34"/>
    <w:lvl w:ilvl="0" w:tplc="38822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218A0"/>
    <w:multiLevelType w:val="hybridMultilevel"/>
    <w:tmpl w:val="1D92DF1E"/>
    <w:lvl w:ilvl="0" w:tplc="BEB6D1A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BC5038A"/>
    <w:multiLevelType w:val="hybridMultilevel"/>
    <w:tmpl w:val="02561606"/>
    <w:lvl w:ilvl="0" w:tplc="38822626">
      <w:start w:val="1"/>
      <w:numFmt w:val="bullet"/>
      <w:lvlText w:val=""/>
      <w:lvlJc w:val="left"/>
      <w:pPr>
        <w:ind w:left="14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4"/>
  </w:num>
  <w:num w:numId="4">
    <w:abstractNumId w:val="20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3"/>
  </w:num>
  <w:num w:numId="8">
    <w:abstractNumId w:val="21"/>
  </w:num>
  <w:num w:numId="9">
    <w:abstractNumId w:val="9"/>
  </w:num>
  <w:num w:numId="10">
    <w:abstractNumId w:val="8"/>
  </w:num>
  <w:num w:numId="11">
    <w:abstractNumId w:val="11"/>
  </w:num>
  <w:num w:numId="12">
    <w:abstractNumId w:val="3"/>
  </w:num>
  <w:num w:numId="13">
    <w:abstractNumId w:val="6"/>
  </w:num>
  <w:num w:numId="14">
    <w:abstractNumId w:val="1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2"/>
  </w:num>
  <w:num w:numId="19">
    <w:abstractNumId w:val="10"/>
  </w:num>
  <w:num w:numId="20">
    <w:abstractNumId w:val="0"/>
  </w:num>
  <w:num w:numId="21">
    <w:abstractNumId w:val="5"/>
  </w:num>
  <w:num w:numId="22">
    <w:abstractNumId w:val="15"/>
  </w:num>
  <w:num w:numId="2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B4"/>
    <w:rsid w:val="0000269F"/>
    <w:rsid w:val="00004AB9"/>
    <w:rsid w:val="000068CF"/>
    <w:rsid w:val="00006E40"/>
    <w:rsid w:val="00010C95"/>
    <w:rsid w:val="00011837"/>
    <w:rsid w:val="000118B5"/>
    <w:rsid w:val="00016071"/>
    <w:rsid w:val="000168EC"/>
    <w:rsid w:val="000222BC"/>
    <w:rsid w:val="00022742"/>
    <w:rsid w:val="0002508A"/>
    <w:rsid w:val="00031681"/>
    <w:rsid w:val="00032421"/>
    <w:rsid w:val="00033E1E"/>
    <w:rsid w:val="00034039"/>
    <w:rsid w:val="00035FFD"/>
    <w:rsid w:val="00041F6D"/>
    <w:rsid w:val="00042DBA"/>
    <w:rsid w:val="00044523"/>
    <w:rsid w:val="00046A42"/>
    <w:rsid w:val="0006161B"/>
    <w:rsid w:val="00063040"/>
    <w:rsid w:val="00063956"/>
    <w:rsid w:val="000653D4"/>
    <w:rsid w:val="00065DB5"/>
    <w:rsid w:val="00067E8F"/>
    <w:rsid w:val="00070212"/>
    <w:rsid w:val="000705BF"/>
    <w:rsid w:val="000779B3"/>
    <w:rsid w:val="000808F5"/>
    <w:rsid w:val="00084D8F"/>
    <w:rsid w:val="00086C52"/>
    <w:rsid w:val="0009139D"/>
    <w:rsid w:val="000A1652"/>
    <w:rsid w:val="000A222C"/>
    <w:rsid w:val="000A2CC8"/>
    <w:rsid w:val="000A665E"/>
    <w:rsid w:val="000B06C6"/>
    <w:rsid w:val="000B32DC"/>
    <w:rsid w:val="000B4D5B"/>
    <w:rsid w:val="000B4DB4"/>
    <w:rsid w:val="000B5C2D"/>
    <w:rsid w:val="000C118B"/>
    <w:rsid w:val="000C2AFC"/>
    <w:rsid w:val="000C467A"/>
    <w:rsid w:val="000C4BA0"/>
    <w:rsid w:val="000C511F"/>
    <w:rsid w:val="000C6E2E"/>
    <w:rsid w:val="000C779A"/>
    <w:rsid w:val="000D2364"/>
    <w:rsid w:val="000E31AA"/>
    <w:rsid w:val="000E450C"/>
    <w:rsid w:val="000E5DA5"/>
    <w:rsid w:val="000E62B5"/>
    <w:rsid w:val="000F2FA8"/>
    <w:rsid w:val="000F3047"/>
    <w:rsid w:val="000F4FA9"/>
    <w:rsid w:val="000F7411"/>
    <w:rsid w:val="00103163"/>
    <w:rsid w:val="00103C4E"/>
    <w:rsid w:val="001046D3"/>
    <w:rsid w:val="00105E0C"/>
    <w:rsid w:val="001109A3"/>
    <w:rsid w:val="00111B62"/>
    <w:rsid w:val="00120DC5"/>
    <w:rsid w:val="001230FF"/>
    <w:rsid w:val="00125286"/>
    <w:rsid w:val="00125298"/>
    <w:rsid w:val="00125D06"/>
    <w:rsid w:val="00126D93"/>
    <w:rsid w:val="0012785E"/>
    <w:rsid w:val="00132355"/>
    <w:rsid w:val="00133C7E"/>
    <w:rsid w:val="0013449D"/>
    <w:rsid w:val="001347D2"/>
    <w:rsid w:val="00136167"/>
    <w:rsid w:val="00136342"/>
    <w:rsid w:val="00141BD1"/>
    <w:rsid w:val="001431A6"/>
    <w:rsid w:val="001524DF"/>
    <w:rsid w:val="00152B49"/>
    <w:rsid w:val="0015507B"/>
    <w:rsid w:val="0015624A"/>
    <w:rsid w:val="001576E8"/>
    <w:rsid w:val="00157EC9"/>
    <w:rsid w:val="001613C7"/>
    <w:rsid w:val="00162981"/>
    <w:rsid w:val="001638CD"/>
    <w:rsid w:val="00166436"/>
    <w:rsid w:val="001679FC"/>
    <w:rsid w:val="001705B6"/>
    <w:rsid w:val="001716CA"/>
    <w:rsid w:val="00175D4F"/>
    <w:rsid w:val="00176A36"/>
    <w:rsid w:val="00180E85"/>
    <w:rsid w:val="00184D28"/>
    <w:rsid w:val="00186F3E"/>
    <w:rsid w:val="0019771E"/>
    <w:rsid w:val="001A1646"/>
    <w:rsid w:val="001B2ABE"/>
    <w:rsid w:val="001B6AA4"/>
    <w:rsid w:val="001C1C51"/>
    <w:rsid w:val="001C1F56"/>
    <w:rsid w:val="001C2335"/>
    <w:rsid w:val="001C4112"/>
    <w:rsid w:val="001C4B98"/>
    <w:rsid w:val="001C4E98"/>
    <w:rsid w:val="001C7A57"/>
    <w:rsid w:val="001D2E67"/>
    <w:rsid w:val="001D395F"/>
    <w:rsid w:val="001D682C"/>
    <w:rsid w:val="001E3A6D"/>
    <w:rsid w:val="001E3A6F"/>
    <w:rsid w:val="001E4B29"/>
    <w:rsid w:val="001E5059"/>
    <w:rsid w:val="001F0AF0"/>
    <w:rsid w:val="001F440B"/>
    <w:rsid w:val="001F449E"/>
    <w:rsid w:val="001F6770"/>
    <w:rsid w:val="0020225B"/>
    <w:rsid w:val="00204B71"/>
    <w:rsid w:val="00213431"/>
    <w:rsid w:val="00215083"/>
    <w:rsid w:val="002168B2"/>
    <w:rsid w:val="002208F4"/>
    <w:rsid w:val="00221926"/>
    <w:rsid w:val="00222AF7"/>
    <w:rsid w:val="00223449"/>
    <w:rsid w:val="00226143"/>
    <w:rsid w:val="00230E1D"/>
    <w:rsid w:val="00233213"/>
    <w:rsid w:val="0023794D"/>
    <w:rsid w:val="00240291"/>
    <w:rsid w:val="002419DF"/>
    <w:rsid w:val="00252C19"/>
    <w:rsid w:val="00252EBB"/>
    <w:rsid w:val="00256A2E"/>
    <w:rsid w:val="0025761D"/>
    <w:rsid w:val="002600E7"/>
    <w:rsid w:val="00260EF0"/>
    <w:rsid w:val="0026150F"/>
    <w:rsid w:val="0026226C"/>
    <w:rsid w:val="00263CDB"/>
    <w:rsid w:val="002641B6"/>
    <w:rsid w:val="002650A8"/>
    <w:rsid w:val="00265DD3"/>
    <w:rsid w:val="002663BA"/>
    <w:rsid w:val="002703C3"/>
    <w:rsid w:val="002732CC"/>
    <w:rsid w:val="002746FD"/>
    <w:rsid w:val="0028080A"/>
    <w:rsid w:val="0028137D"/>
    <w:rsid w:val="002834B7"/>
    <w:rsid w:val="00287623"/>
    <w:rsid w:val="00292A1F"/>
    <w:rsid w:val="0029606D"/>
    <w:rsid w:val="00297B16"/>
    <w:rsid w:val="002A13B5"/>
    <w:rsid w:val="002A2970"/>
    <w:rsid w:val="002A45D7"/>
    <w:rsid w:val="002A48CF"/>
    <w:rsid w:val="002A56B3"/>
    <w:rsid w:val="002B46AF"/>
    <w:rsid w:val="002B517E"/>
    <w:rsid w:val="002C0156"/>
    <w:rsid w:val="002C2F95"/>
    <w:rsid w:val="002C4382"/>
    <w:rsid w:val="002C5648"/>
    <w:rsid w:val="002C56DE"/>
    <w:rsid w:val="002C6389"/>
    <w:rsid w:val="002D0AC7"/>
    <w:rsid w:val="002D4E02"/>
    <w:rsid w:val="002D503B"/>
    <w:rsid w:val="002E30BA"/>
    <w:rsid w:val="002E6B00"/>
    <w:rsid w:val="002F394F"/>
    <w:rsid w:val="002F5273"/>
    <w:rsid w:val="002F7031"/>
    <w:rsid w:val="00301D62"/>
    <w:rsid w:val="00305374"/>
    <w:rsid w:val="003055CE"/>
    <w:rsid w:val="00305F9A"/>
    <w:rsid w:val="00311303"/>
    <w:rsid w:val="00311304"/>
    <w:rsid w:val="003132B8"/>
    <w:rsid w:val="00314AF3"/>
    <w:rsid w:val="00314B30"/>
    <w:rsid w:val="0031686F"/>
    <w:rsid w:val="003177B2"/>
    <w:rsid w:val="00322BCE"/>
    <w:rsid w:val="00324A12"/>
    <w:rsid w:val="0032692A"/>
    <w:rsid w:val="00327551"/>
    <w:rsid w:val="00330E0A"/>
    <w:rsid w:val="00331F7E"/>
    <w:rsid w:val="00333192"/>
    <w:rsid w:val="00336F24"/>
    <w:rsid w:val="00343133"/>
    <w:rsid w:val="00344DE4"/>
    <w:rsid w:val="003548F2"/>
    <w:rsid w:val="003727AB"/>
    <w:rsid w:val="00376F7A"/>
    <w:rsid w:val="003823F8"/>
    <w:rsid w:val="00390090"/>
    <w:rsid w:val="00390343"/>
    <w:rsid w:val="003941FA"/>
    <w:rsid w:val="00395053"/>
    <w:rsid w:val="003A0986"/>
    <w:rsid w:val="003A39A6"/>
    <w:rsid w:val="003A7157"/>
    <w:rsid w:val="003B1318"/>
    <w:rsid w:val="003B2E4E"/>
    <w:rsid w:val="003B3279"/>
    <w:rsid w:val="003B3625"/>
    <w:rsid w:val="003B7CC4"/>
    <w:rsid w:val="003C47D3"/>
    <w:rsid w:val="003C4E88"/>
    <w:rsid w:val="003D27AF"/>
    <w:rsid w:val="003D4EFD"/>
    <w:rsid w:val="003D593A"/>
    <w:rsid w:val="003D6FE1"/>
    <w:rsid w:val="003D74AA"/>
    <w:rsid w:val="003D7DE7"/>
    <w:rsid w:val="003E3787"/>
    <w:rsid w:val="003E66C9"/>
    <w:rsid w:val="003E6AD8"/>
    <w:rsid w:val="003F3D71"/>
    <w:rsid w:val="003F5CC6"/>
    <w:rsid w:val="003F6E4E"/>
    <w:rsid w:val="003F75FD"/>
    <w:rsid w:val="00400DF5"/>
    <w:rsid w:val="004017CC"/>
    <w:rsid w:val="00401CA4"/>
    <w:rsid w:val="00402C68"/>
    <w:rsid w:val="004033EF"/>
    <w:rsid w:val="00403CC1"/>
    <w:rsid w:val="00404B76"/>
    <w:rsid w:val="004062AC"/>
    <w:rsid w:val="00411426"/>
    <w:rsid w:val="00414D09"/>
    <w:rsid w:val="00414F18"/>
    <w:rsid w:val="004168E8"/>
    <w:rsid w:val="0042008D"/>
    <w:rsid w:val="00424CAD"/>
    <w:rsid w:val="00424EC3"/>
    <w:rsid w:val="00425058"/>
    <w:rsid w:val="0043196D"/>
    <w:rsid w:val="00432083"/>
    <w:rsid w:val="0043487D"/>
    <w:rsid w:val="00434968"/>
    <w:rsid w:val="00434C41"/>
    <w:rsid w:val="00441491"/>
    <w:rsid w:val="004435A1"/>
    <w:rsid w:val="00443EB2"/>
    <w:rsid w:val="0044493E"/>
    <w:rsid w:val="004465FE"/>
    <w:rsid w:val="00447879"/>
    <w:rsid w:val="00454B3A"/>
    <w:rsid w:val="00455451"/>
    <w:rsid w:val="00460740"/>
    <w:rsid w:val="004609A7"/>
    <w:rsid w:val="0046359E"/>
    <w:rsid w:val="00463CFB"/>
    <w:rsid w:val="004673E4"/>
    <w:rsid w:val="00467D4C"/>
    <w:rsid w:val="004731CB"/>
    <w:rsid w:val="0048104C"/>
    <w:rsid w:val="004821D1"/>
    <w:rsid w:val="00486F8C"/>
    <w:rsid w:val="00490B93"/>
    <w:rsid w:val="004944E6"/>
    <w:rsid w:val="004951D7"/>
    <w:rsid w:val="00496A4D"/>
    <w:rsid w:val="004A083E"/>
    <w:rsid w:val="004A7157"/>
    <w:rsid w:val="004B6474"/>
    <w:rsid w:val="004C1489"/>
    <w:rsid w:val="004C1DE0"/>
    <w:rsid w:val="004C3C40"/>
    <w:rsid w:val="004C76E0"/>
    <w:rsid w:val="004D01E7"/>
    <w:rsid w:val="004D09D8"/>
    <w:rsid w:val="004D4F48"/>
    <w:rsid w:val="004D7AB2"/>
    <w:rsid w:val="004E35E2"/>
    <w:rsid w:val="004E5001"/>
    <w:rsid w:val="004F0411"/>
    <w:rsid w:val="004F69C2"/>
    <w:rsid w:val="0050175E"/>
    <w:rsid w:val="005027A9"/>
    <w:rsid w:val="00503591"/>
    <w:rsid w:val="00505238"/>
    <w:rsid w:val="005123D7"/>
    <w:rsid w:val="005132FA"/>
    <w:rsid w:val="00514268"/>
    <w:rsid w:val="00515458"/>
    <w:rsid w:val="00520407"/>
    <w:rsid w:val="005215DC"/>
    <w:rsid w:val="00524AB4"/>
    <w:rsid w:val="00526464"/>
    <w:rsid w:val="00526FD1"/>
    <w:rsid w:val="005322B0"/>
    <w:rsid w:val="005360FF"/>
    <w:rsid w:val="00536257"/>
    <w:rsid w:val="00536B1F"/>
    <w:rsid w:val="00537377"/>
    <w:rsid w:val="00540D22"/>
    <w:rsid w:val="00545C7D"/>
    <w:rsid w:val="0054612E"/>
    <w:rsid w:val="00550E57"/>
    <w:rsid w:val="005530F2"/>
    <w:rsid w:val="00555700"/>
    <w:rsid w:val="005570B6"/>
    <w:rsid w:val="00557205"/>
    <w:rsid w:val="00561DDE"/>
    <w:rsid w:val="005636EA"/>
    <w:rsid w:val="00574526"/>
    <w:rsid w:val="0057543E"/>
    <w:rsid w:val="00582195"/>
    <w:rsid w:val="0058608B"/>
    <w:rsid w:val="005863F2"/>
    <w:rsid w:val="005960D1"/>
    <w:rsid w:val="005A0935"/>
    <w:rsid w:val="005A31E8"/>
    <w:rsid w:val="005A3EDC"/>
    <w:rsid w:val="005A533D"/>
    <w:rsid w:val="005B075C"/>
    <w:rsid w:val="005B27A8"/>
    <w:rsid w:val="005B5188"/>
    <w:rsid w:val="005C6C3F"/>
    <w:rsid w:val="005D0604"/>
    <w:rsid w:val="005D7DAA"/>
    <w:rsid w:val="005E510A"/>
    <w:rsid w:val="005F1FC6"/>
    <w:rsid w:val="005F3E8A"/>
    <w:rsid w:val="005F709B"/>
    <w:rsid w:val="006009A2"/>
    <w:rsid w:val="0060142D"/>
    <w:rsid w:val="00603E9C"/>
    <w:rsid w:val="00607B32"/>
    <w:rsid w:val="006110CB"/>
    <w:rsid w:val="00612EB6"/>
    <w:rsid w:val="0061335A"/>
    <w:rsid w:val="006154AD"/>
    <w:rsid w:val="00617101"/>
    <w:rsid w:val="006231FF"/>
    <w:rsid w:val="006271F3"/>
    <w:rsid w:val="0063081F"/>
    <w:rsid w:val="00636D7A"/>
    <w:rsid w:val="006436A3"/>
    <w:rsid w:val="006439FE"/>
    <w:rsid w:val="00646A7E"/>
    <w:rsid w:val="00650B0B"/>
    <w:rsid w:val="00654716"/>
    <w:rsid w:val="0065589B"/>
    <w:rsid w:val="006615E2"/>
    <w:rsid w:val="006659BE"/>
    <w:rsid w:val="006704DA"/>
    <w:rsid w:val="00670502"/>
    <w:rsid w:val="00671841"/>
    <w:rsid w:val="006731FB"/>
    <w:rsid w:val="0067407C"/>
    <w:rsid w:val="00677F39"/>
    <w:rsid w:val="00683EA7"/>
    <w:rsid w:val="006849BD"/>
    <w:rsid w:val="00684A7D"/>
    <w:rsid w:val="006863D2"/>
    <w:rsid w:val="00686A4D"/>
    <w:rsid w:val="00696897"/>
    <w:rsid w:val="006973D9"/>
    <w:rsid w:val="006977AD"/>
    <w:rsid w:val="006A0692"/>
    <w:rsid w:val="006A5693"/>
    <w:rsid w:val="006A60A8"/>
    <w:rsid w:val="006A7BAD"/>
    <w:rsid w:val="006B099C"/>
    <w:rsid w:val="006B30CF"/>
    <w:rsid w:val="006B415A"/>
    <w:rsid w:val="006B63FB"/>
    <w:rsid w:val="006C3781"/>
    <w:rsid w:val="006C3C53"/>
    <w:rsid w:val="006C58B3"/>
    <w:rsid w:val="006C7945"/>
    <w:rsid w:val="006D11AC"/>
    <w:rsid w:val="006D322D"/>
    <w:rsid w:val="006D4A76"/>
    <w:rsid w:val="006D5319"/>
    <w:rsid w:val="006D71D9"/>
    <w:rsid w:val="006E3F84"/>
    <w:rsid w:val="006E41CE"/>
    <w:rsid w:val="006E4EBD"/>
    <w:rsid w:val="006E4F2C"/>
    <w:rsid w:val="006E5013"/>
    <w:rsid w:val="006E575A"/>
    <w:rsid w:val="006F00FE"/>
    <w:rsid w:val="006F2C75"/>
    <w:rsid w:val="006F3662"/>
    <w:rsid w:val="006F5A61"/>
    <w:rsid w:val="00713A11"/>
    <w:rsid w:val="007174D0"/>
    <w:rsid w:val="00722636"/>
    <w:rsid w:val="00723BD4"/>
    <w:rsid w:val="0073077C"/>
    <w:rsid w:val="007359E1"/>
    <w:rsid w:val="00736721"/>
    <w:rsid w:val="0074161C"/>
    <w:rsid w:val="00743275"/>
    <w:rsid w:val="007458D0"/>
    <w:rsid w:val="00747B0D"/>
    <w:rsid w:val="007500C4"/>
    <w:rsid w:val="00750DC6"/>
    <w:rsid w:val="0075473A"/>
    <w:rsid w:val="00754E88"/>
    <w:rsid w:val="00755544"/>
    <w:rsid w:val="007607C9"/>
    <w:rsid w:val="007626DF"/>
    <w:rsid w:val="00762BD5"/>
    <w:rsid w:val="00762E26"/>
    <w:rsid w:val="007631FA"/>
    <w:rsid w:val="007635C9"/>
    <w:rsid w:val="00764D59"/>
    <w:rsid w:val="0077056E"/>
    <w:rsid w:val="007706A0"/>
    <w:rsid w:val="0077748E"/>
    <w:rsid w:val="00780FE7"/>
    <w:rsid w:val="00791557"/>
    <w:rsid w:val="00792339"/>
    <w:rsid w:val="007929A2"/>
    <w:rsid w:val="00794418"/>
    <w:rsid w:val="007A0CF0"/>
    <w:rsid w:val="007A1306"/>
    <w:rsid w:val="007A2ABA"/>
    <w:rsid w:val="007A4DFF"/>
    <w:rsid w:val="007A5554"/>
    <w:rsid w:val="007A6B3A"/>
    <w:rsid w:val="007B0BED"/>
    <w:rsid w:val="007B14C7"/>
    <w:rsid w:val="007B222C"/>
    <w:rsid w:val="007B2640"/>
    <w:rsid w:val="007B2CCC"/>
    <w:rsid w:val="007B7E57"/>
    <w:rsid w:val="007C0120"/>
    <w:rsid w:val="007C0B38"/>
    <w:rsid w:val="007C5D3E"/>
    <w:rsid w:val="007C5D63"/>
    <w:rsid w:val="007C5FAF"/>
    <w:rsid w:val="007C65C8"/>
    <w:rsid w:val="007D24A1"/>
    <w:rsid w:val="007D4DCD"/>
    <w:rsid w:val="007D50FA"/>
    <w:rsid w:val="007D5B36"/>
    <w:rsid w:val="007D731B"/>
    <w:rsid w:val="007D7805"/>
    <w:rsid w:val="007E2C5A"/>
    <w:rsid w:val="007E54B7"/>
    <w:rsid w:val="007E694B"/>
    <w:rsid w:val="007F34E2"/>
    <w:rsid w:val="00802585"/>
    <w:rsid w:val="008061BD"/>
    <w:rsid w:val="00811992"/>
    <w:rsid w:val="008133ED"/>
    <w:rsid w:val="00814231"/>
    <w:rsid w:val="008145D0"/>
    <w:rsid w:val="00815596"/>
    <w:rsid w:val="0081580A"/>
    <w:rsid w:val="00817F5A"/>
    <w:rsid w:val="008206F2"/>
    <w:rsid w:val="00822D03"/>
    <w:rsid w:val="00823CE8"/>
    <w:rsid w:val="00825165"/>
    <w:rsid w:val="008252CB"/>
    <w:rsid w:val="00831B6A"/>
    <w:rsid w:val="008320E7"/>
    <w:rsid w:val="00832610"/>
    <w:rsid w:val="00833744"/>
    <w:rsid w:val="00837A05"/>
    <w:rsid w:val="00841B91"/>
    <w:rsid w:val="00842982"/>
    <w:rsid w:val="00844901"/>
    <w:rsid w:val="00850217"/>
    <w:rsid w:val="00850E7B"/>
    <w:rsid w:val="00855A53"/>
    <w:rsid w:val="00857223"/>
    <w:rsid w:val="00861528"/>
    <w:rsid w:val="00861AE4"/>
    <w:rsid w:val="00864F48"/>
    <w:rsid w:val="008672A4"/>
    <w:rsid w:val="00870B12"/>
    <w:rsid w:val="00870F8B"/>
    <w:rsid w:val="00872AC2"/>
    <w:rsid w:val="008746C6"/>
    <w:rsid w:val="00876F37"/>
    <w:rsid w:val="00883DB3"/>
    <w:rsid w:val="00883FDA"/>
    <w:rsid w:val="00885C24"/>
    <w:rsid w:val="00886F10"/>
    <w:rsid w:val="00886F2E"/>
    <w:rsid w:val="008875D7"/>
    <w:rsid w:val="008903EE"/>
    <w:rsid w:val="008910E7"/>
    <w:rsid w:val="00894B4B"/>
    <w:rsid w:val="00896CCC"/>
    <w:rsid w:val="008971BF"/>
    <w:rsid w:val="0089721C"/>
    <w:rsid w:val="008A381D"/>
    <w:rsid w:val="008A39DA"/>
    <w:rsid w:val="008A5E6E"/>
    <w:rsid w:val="008B0277"/>
    <w:rsid w:val="008B1F4F"/>
    <w:rsid w:val="008B347B"/>
    <w:rsid w:val="008C07E9"/>
    <w:rsid w:val="008C2277"/>
    <w:rsid w:val="008C41FD"/>
    <w:rsid w:val="008D5987"/>
    <w:rsid w:val="008D7E70"/>
    <w:rsid w:val="008E29E4"/>
    <w:rsid w:val="008F028A"/>
    <w:rsid w:val="008F1DCE"/>
    <w:rsid w:val="008F1F4A"/>
    <w:rsid w:val="008F377D"/>
    <w:rsid w:val="008F44DB"/>
    <w:rsid w:val="008F5334"/>
    <w:rsid w:val="008F76F5"/>
    <w:rsid w:val="009029D7"/>
    <w:rsid w:val="0091563E"/>
    <w:rsid w:val="009161F5"/>
    <w:rsid w:val="0091698C"/>
    <w:rsid w:val="00917063"/>
    <w:rsid w:val="009178F0"/>
    <w:rsid w:val="00920CEF"/>
    <w:rsid w:val="009231EF"/>
    <w:rsid w:val="00924674"/>
    <w:rsid w:val="00925109"/>
    <w:rsid w:val="00925C1D"/>
    <w:rsid w:val="00926F0E"/>
    <w:rsid w:val="0092711F"/>
    <w:rsid w:val="0092760E"/>
    <w:rsid w:val="00931F6B"/>
    <w:rsid w:val="00932F07"/>
    <w:rsid w:val="00933BC7"/>
    <w:rsid w:val="009359EF"/>
    <w:rsid w:val="00936DF1"/>
    <w:rsid w:val="009403BF"/>
    <w:rsid w:val="00941D98"/>
    <w:rsid w:val="0094344C"/>
    <w:rsid w:val="009438E0"/>
    <w:rsid w:val="009444C2"/>
    <w:rsid w:val="009446D0"/>
    <w:rsid w:val="009460BB"/>
    <w:rsid w:val="0095202E"/>
    <w:rsid w:val="00954E79"/>
    <w:rsid w:val="00956BB3"/>
    <w:rsid w:val="00960345"/>
    <w:rsid w:val="009603E3"/>
    <w:rsid w:val="00960CF5"/>
    <w:rsid w:val="009615B5"/>
    <w:rsid w:val="00961A95"/>
    <w:rsid w:val="00962032"/>
    <w:rsid w:val="009635A1"/>
    <w:rsid w:val="0096481A"/>
    <w:rsid w:val="009679F2"/>
    <w:rsid w:val="009702C9"/>
    <w:rsid w:val="00970CD2"/>
    <w:rsid w:val="00973D78"/>
    <w:rsid w:val="00974589"/>
    <w:rsid w:val="009804ED"/>
    <w:rsid w:val="009807A4"/>
    <w:rsid w:val="00980924"/>
    <w:rsid w:val="00980A7A"/>
    <w:rsid w:val="00981C2C"/>
    <w:rsid w:val="00981E93"/>
    <w:rsid w:val="00992629"/>
    <w:rsid w:val="009A16A7"/>
    <w:rsid w:val="009A5A28"/>
    <w:rsid w:val="009B1430"/>
    <w:rsid w:val="009B1713"/>
    <w:rsid w:val="009C06CE"/>
    <w:rsid w:val="009C4B0E"/>
    <w:rsid w:val="009C4C5F"/>
    <w:rsid w:val="009D1ED0"/>
    <w:rsid w:val="009D6A95"/>
    <w:rsid w:val="009F0BA2"/>
    <w:rsid w:val="009F1A4F"/>
    <w:rsid w:val="009F3BBB"/>
    <w:rsid w:val="009F515E"/>
    <w:rsid w:val="009F6611"/>
    <w:rsid w:val="00A0190C"/>
    <w:rsid w:val="00A05303"/>
    <w:rsid w:val="00A05A3C"/>
    <w:rsid w:val="00A05E7B"/>
    <w:rsid w:val="00A06C81"/>
    <w:rsid w:val="00A0765C"/>
    <w:rsid w:val="00A11FF1"/>
    <w:rsid w:val="00A12C0C"/>
    <w:rsid w:val="00A1439C"/>
    <w:rsid w:val="00A14ACD"/>
    <w:rsid w:val="00A175E9"/>
    <w:rsid w:val="00A17F33"/>
    <w:rsid w:val="00A20447"/>
    <w:rsid w:val="00A24C16"/>
    <w:rsid w:val="00A3203B"/>
    <w:rsid w:val="00A3474A"/>
    <w:rsid w:val="00A44F2D"/>
    <w:rsid w:val="00A567AD"/>
    <w:rsid w:val="00A60FA5"/>
    <w:rsid w:val="00A64D81"/>
    <w:rsid w:val="00A6698C"/>
    <w:rsid w:val="00A66D6C"/>
    <w:rsid w:val="00A7324C"/>
    <w:rsid w:val="00A815F9"/>
    <w:rsid w:val="00A85BB0"/>
    <w:rsid w:val="00A874FE"/>
    <w:rsid w:val="00A909AF"/>
    <w:rsid w:val="00A961B8"/>
    <w:rsid w:val="00A96B64"/>
    <w:rsid w:val="00AA3582"/>
    <w:rsid w:val="00AA491B"/>
    <w:rsid w:val="00AA5771"/>
    <w:rsid w:val="00AA6026"/>
    <w:rsid w:val="00AA686E"/>
    <w:rsid w:val="00AB06B3"/>
    <w:rsid w:val="00AB1514"/>
    <w:rsid w:val="00AB4815"/>
    <w:rsid w:val="00AB4D09"/>
    <w:rsid w:val="00AB63B3"/>
    <w:rsid w:val="00AC6451"/>
    <w:rsid w:val="00AD0310"/>
    <w:rsid w:val="00AD0540"/>
    <w:rsid w:val="00AD07F5"/>
    <w:rsid w:val="00AD2A05"/>
    <w:rsid w:val="00AD2D53"/>
    <w:rsid w:val="00AD3784"/>
    <w:rsid w:val="00AD5E92"/>
    <w:rsid w:val="00AD6A0D"/>
    <w:rsid w:val="00AE023A"/>
    <w:rsid w:val="00AE05B5"/>
    <w:rsid w:val="00AE6B4B"/>
    <w:rsid w:val="00AF3A9C"/>
    <w:rsid w:val="00B02EE2"/>
    <w:rsid w:val="00B0415A"/>
    <w:rsid w:val="00B07D3E"/>
    <w:rsid w:val="00B132BA"/>
    <w:rsid w:val="00B173BC"/>
    <w:rsid w:val="00B17670"/>
    <w:rsid w:val="00B223AE"/>
    <w:rsid w:val="00B2454E"/>
    <w:rsid w:val="00B24A73"/>
    <w:rsid w:val="00B32111"/>
    <w:rsid w:val="00B33932"/>
    <w:rsid w:val="00B371CA"/>
    <w:rsid w:val="00B45EAA"/>
    <w:rsid w:val="00B46515"/>
    <w:rsid w:val="00B46827"/>
    <w:rsid w:val="00B470D0"/>
    <w:rsid w:val="00B52800"/>
    <w:rsid w:val="00B53FF9"/>
    <w:rsid w:val="00B5435F"/>
    <w:rsid w:val="00B5519D"/>
    <w:rsid w:val="00B56085"/>
    <w:rsid w:val="00B61C21"/>
    <w:rsid w:val="00B66045"/>
    <w:rsid w:val="00B66CB7"/>
    <w:rsid w:val="00B755C3"/>
    <w:rsid w:val="00B756F7"/>
    <w:rsid w:val="00B77BEA"/>
    <w:rsid w:val="00B77C29"/>
    <w:rsid w:val="00B80F55"/>
    <w:rsid w:val="00B81ADD"/>
    <w:rsid w:val="00B84C6C"/>
    <w:rsid w:val="00B859BA"/>
    <w:rsid w:val="00B86F84"/>
    <w:rsid w:val="00B90A33"/>
    <w:rsid w:val="00B975FB"/>
    <w:rsid w:val="00B978F5"/>
    <w:rsid w:val="00B97C29"/>
    <w:rsid w:val="00BA0B30"/>
    <w:rsid w:val="00BA0F0B"/>
    <w:rsid w:val="00BA21AF"/>
    <w:rsid w:val="00BA2C50"/>
    <w:rsid w:val="00BA32E3"/>
    <w:rsid w:val="00BA599A"/>
    <w:rsid w:val="00BA604B"/>
    <w:rsid w:val="00BB1955"/>
    <w:rsid w:val="00BB3E27"/>
    <w:rsid w:val="00BB4F88"/>
    <w:rsid w:val="00BB7691"/>
    <w:rsid w:val="00BB77FC"/>
    <w:rsid w:val="00BC10D6"/>
    <w:rsid w:val="00BC398F"/>
    <w:rsid w:val="00BC52F1"/>
    <w:rsid w:val="00BC6516"/>
    <w:rsid w:val="00BD2279"/>
    <w:rsid w:val="00BD33C9"/>
    <w:rsid w:val="00BD5E43"/>
    <w:rsid w:val="00BD6F71"/>
    <w:rsid w:val="00BE4D15"/>
    <w:rsid w:val="00BE5BA9"/>
    <w:rsid w:val="00BF1475"/>
    <w:rsid w:val="00BF3B79"/>
    <w:rsid w:val="00BF4FE5"/>
    <w:rsid w:val="00BF548B"/>
    <w:rsid w:val="00BF7088"/>
    <w:rsid w:val="00C005D9"/>
    <w:rsid w:val="00C0352E"/>
    <w:rsid w:val="00C1060D"/>
    <w:rsid w:val="00C11D2A"/>
    <w:rsid w:val="00C14FEC"/>
    <w:rsid w:val="00C17CCA"/>
    <w:rsid w:val="00C205FF"/>
    <w:rsid w:val="00C34AF2"/>
    <w:rsid w:val="00C46C07"/>
    <w:rsid w:val="00C475DB"/>
    <w:rsid w:val="00C5391F"/>
    <w:rsid w:val="00C54199"/>
    <w:rsid w:val="00C541A4"/>
    <w:rsid w:val="00C61747"/>
    <w:rsid w:val="00C70634"/>
    <w:rsid w:val="00C765B9"/>
    <w:rsid w:val="00C77649"/>
    <w:rsid w:val="00C841AD"/>
    <w:rsid w:val="00C86F7C"/>
    <w:rsid w:val="00C95CE2"/>
    <w:rsid w:val="00C978C1"/>
    <w:rsid w:val="00CA0F73"/>
    <w:rsid w:val="00CA2D4B"/>
    <w:rsid w:val="00CA34C1"/>
    <w:rsid w:val="00CA4E7A"/>
    <w:rsid w:val="00CB3EC0"/>
    <w:rsid w:val="00CB4433"/>
    <w:rsid w:val="00CB4B13"/>
    <w:rsid w:val="00CC0342"/>
    <w:rsid w:val="00CC0BF2"/>
    <w:rsid w:val="00CC184E"/>
    <w:rsid w:val="00CC2619"/>
    <w:rsid w:val="00CD341B"/>
    <w:rsid w:val="00CD74C7"/>
    <w:rsid w:val="00CD775E"/>
    <w:rsid w:val="00CE0DFB"/>
    <w:rsid w:val="00CE3597"/>
    <w:rsid w:val="00CE5275"/>
    <w:rsid w:val="00CE5F7A"/>
    <w:rsid w:val="00CE7098"/>
    <w:rsid w:val="00CF1C1B"/>
    <w:rsid w:val="00CF2E58"/>
    <w:rsid w:val="00CF383C"/>
    <w:rsid w:val="00CF58C7"/>
    <w:rsid w:val="00CF5D04"/>
    <w:rsid w:val="00D00CB8"/>
    <w:rsid w:val="00D00D1D"/>
    <w:rsid w:val="00D016B1"/>
    <w:rsid w:val="00D05513"/>
    <w:rsid w:val="00D055A5"/>
    <w:rsid w:val="00D105D6"/>
    <w:rsid w:val="00D13A60"/>
    <w:rsid w:val="00D21B93"/>
    <w:rsid w:val="00D2295F"/>
    <w:rsid w:val="00D22EB4"/>
    <w:rsid w:val="00D24B6E"/>
    <w:rsid w:val="00D25335"/>
    <w:rsid w:val="00D253ED"/>
    <w:rsid w:val="00D3130C"/>
    <w:rsid w:val="00D3469F"/>
    <w:rsid w:val="00D36206"/>
    <w:rsid w:val="00D3646D"/>
    <w:rsid w:val="00D36821"/>
    <w:rsid w:val="00D43CA2"/>
    <w:rsid w:val="00D451F5"/>
    <w:rsid w:val="00D5334D"/>
    <w:rsid w:val="00D56FF2"/>
    <w:rsid w:val="00D60EED"/>
    <w:rsid w:val="00D62958"/>
    <w:rsid w:val="00D63641"/>
    <w:rsid w:val="00D641E7"/>
    <w:rsid w:val="00D65734"/>
    <w:rsid w:val="00D70661"/>
    <w:rsid w:val="00D7212A"/>
    <w:rsid w:val="00D7651F"/>
    <w:rsid w:val="00D81F9E"/>
    <w:rsid w:val="00D9088A"/>
    <w:rsid w:val="00D91175"/>
    <w:rsid w:val="00D91FCE"/>
    <w:rsid w:val="00D9500F"/>
    <w:rsid w:val="00D96837"/>
    <w:rsid w:val="00DA3D6F"/>
    <w:rsid w:val="00DB31A1"/>
    <w:rsid w:val="00DB5B40"/>
    <w:rsid w:val="00DB7806"/>
    <w:rsid w:val="00DC0850"/>
    <w:rsid w:val="00DC0A85"/>
    <w:rsid w:val="00DC2767"/>
    <w:rsid w:val="00DC4466"/>
    <w:rsid w:val="00DD1E81"/>
    <w:rsid w:val="00DE0810"/>
    <w:rsid w:val="00DE5449"/>
    <w:rsid w:val="00DF05B1"/>
    <w:rsid w:val="00E01281"/>
    <w:rsid w:val="00E01C05"/>
    <w:rsid w:val="00E025D1"/>
    <w:rsid w:val="00E11E27"/>
    <w:rsid w:val="00E12B3A"/>
    <w:rsid w:val="00E16A90"/>
    <w:rsid w:val="00E17F24"/>
    <w:rsid w:val="00E2076C"/>
    <w:rsid w:val="00E209E1"/>
    <w:rsid w:val="00E224AD"/>
    <w:rsid w:val="00E22FAE"/>
    <w:rsid w:val="00E25D64"/>
    <w:rsid w:val="00E25FC3"/>
    <w:rsid w:val="00E327F7"/>
    <w:rsid w:val="00E33162"/>
    <w:rsid w:val="00E34201"/>
    <w:rsid w:val="00E418F8"/>
    <w:rsid w:val="00E41DD8"/>
    <w:rsid w:val="00E51381"/>
    <w:rsid w:val="00E51938"/>
    <w:rsid w:val="00E54A21"/>
    <w:rsid w:val="00E55D2C"/>
    <w:rsid w:val="00E628E2"/>
    <w:rsid w:val="00E67C23"/>
    <w:rsid w:val="00E73E69"/>
    <w:rsid w:val="00E80693"/>
    <w:rsid w:val="00E81806"/>
    <w:rsid w:val="00E83997"/>
    <w:rsid w:val="00E87A8F"/>
    <w:rsid w:val="00E96B49"/>
    <w:rsid w:val="00EA10F8"/>
    <w:rsid w:val="00EA427C"/>
    <w:rsid w:val="00EA4306"/>
    <w:rsid w:val="00EA54B1"/>
    <w:rsid w:val="00EA635E"/>
    <w:rsid w:val="00EA6DA3"/>
    <w:rsid w:val="00EB0ADE"/>
    <w:rsid w:val="00EB34AD"/>
    <w:rsid w:val="00EB36ED"/>
    <w:rsid w:val="00EB3FAA"/>
    <w:rsid w:val="00EB58A4"/>
    <w:rsid w:val="00EC2E98"/>
    <w:rsid w:val="00EC515B"/>
    <w:rsid w:val="00EC6E7B"/>
    <w:rsid w:val="00ED3B76"/>
    <w:rsid w:val="00ED46D1"/>
    <w:rsid w:val="00EE05E8"/>
    <w:rsid w:val="00EE0A8F"/>
    <w:rsid w:val="00EE53CD"/>
    <w:rsid w:val="00EF3CA9"/>
    <w:rsid w:val="00EF7874"/>
    <w:rsid w:val="00F01A5E"/>
    <w:rsid w:val="00F03CAD"/>
    <w:rsid w:val="00F05E22"/>
    <w:rsid w:val="00F07374"/>
    <w:rsid w:val="00F077D9"/>
    <w:rsid w:val="00F15B22"/>
    <w:rsid w:val="00F16356"/>
    <w:rsid w:val="00F1755B"/>
    <w:rsid w:val="00F17E15"/>
    <w:rsid w:val="00F20C63"/>
    <w:rsid w:val="00F274E4"/>
    <w:rsid w:val="00F27907"/>
    <w:rsid w:val="00F30465"/>
    <w:rsid w:val="00F3132A"/>
    <w:rsid w:val="00F36616"/>
    <w:rsid w:val="00F3782D"/>
    <w:rsid w:val="00F432BC"/>
    <w:rsid w:val="00F43449"/>
    <w:rsid w:val="00F523C2"/>
    <w:rsid w:val="00F54668"/>
    <w:rsid w:val="00F54AC9"/>
    <w:rsid w:val="00F5736A"/>
    <w:rsid w:val="00F66C70"/>
    <w:rsid w:val="00F67651"/>
    <w:rsid w:val="00F71303"/>
    <w:rsid w:val="00F769D9"/>
    <w:rsid w:val="00F838A3"/>
    <w:rsid w:val="00F85034"/>
    <w:rsid w:val="00F92F10"/>
    <w:rsid w:val="00F9573B"/>
    <w:rsid w:val="00F9695D"/>
    <w:rsid w:val="00F96D76"/>
    <w:rsid w:val="00FA1A1B"/>
    <w:rsid w:val="00FA5457"/>
    <w:rsid w:val="00FA5545"/>
    <w:rsid w:val="00FA5A45"/>
    <w:rsid w:val="00FA5EBE"/>
    <w:rsid w:val="00FB2C99"/>
    <w:rsid w:val="00FB3664"/>
    <w:rsid w:val="00FB43D2"/>
    <w:rsid w:val="00FC21A6"/>
    <w:rsid w:val="00FC484C"/>
    <w:rsid w:val="00FD14C5"/>
    <w:rsid w:val="00FD231D"/>
    <w:rsid w:val="00FD3C4B"/>
    <w:rsid w:val="00FD7D12"/>
    <w:rsid w:val="00FE1BB7"/>
    <w:rsid w:val="00FE36EE"/>
    <w:rsid w:val="00FE5FD8"/>
    <w:rsid w:val="00FF0F54"/>
    <w:rsid w:val="00FF26F2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47B5E"/>
  <w15:docId w15:val="{E84A3AE4-8347-4F77-AA62-03828FB9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524A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A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4A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2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24A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AB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24AB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524AB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semiHidden/>
    <w:rsid w:val="00524AB4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rsid w:val="00524A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AB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524A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AB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rsid w:val="00524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24AB4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39"/>
    <w:rsid w:val="00524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625">
    <w:name w:val="box_458625"/>
    <w:basedOn w:val="Normal"/>
    <w:rsid w:val="00524AB4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524AB4"/>
  </w:style>
  <w:style w:type="character" w:customStyle="1" w:styleId="kurziv">
    <w:name w:val="kurziv"/>
    <w:basedOn w:val="DefaultParagraphFont"/>
    <w:rsid w:val="00524AB4"/>
  </w:style>
  <w:style w:type="paragraph" w:customStyle="1" w:styleId="t-9-8">
    <w:name w:val="t-9-8"/>
    <w:basedOn w:val="Normal"/>
    <w:rsid w:val="00524AB4"/>
    <w:pPr>
      <w:spacing w:before="100" w:beforeAutospacing="1" w:after="100" w:afterAutospacing="1"/>
    </w:pPr>
  </w:style>
  <w:style w:type="paragraph" w:customStyle="1" w:styleId="ti-grseq-1">
    <w:name w:val="ti-grseq-1"/>
    <w:basedOn w:val="Normal"/>
    <w:rsid w:val="00524AB4"/>
    <w:pPr>
      <w:spacing w:before="100" w:beforeAutospacing="1" w:after="100" w:afterAutospacing="1"/>
    </w:pPr>
  </w:style>
  <w:style w:type="character" w:customStyle="1" w:styleId="pt-zadanifontodlomka-000003">
    <w:name w:val="pt-zadanifontodlomka-000003"/>
    <w:basedOn w:val="DefaultParagraphFont"/>
    <w:rsid w:val="00524AB4"/>
  </w:style>
  <w:style w:type="character" w:customStyle="1" w:styleId="pt-defaultparagraphfont-000012">
    <w:name w:val="pt-defaultparagraphfont-000012"/>
    <w:basedOn w:val="DefaultParagraphFont"/>
    <w:rsid w:val="00524AB4"/>
  </w:style>
  <w:style w:type="character" w:customStyle="1" w:styleId="pt-defaultparagraphfont-000007">
    <w:name w:val="pt-defaultparagraphfont-000007"/>
    <w:basedOn w:val="DefaultParagraphFont"/>
    <w:rsid w:val="00524AB4"/>
  </w:style>
  <w:style w:type="character" w:customStyle="1" w:styleId="pt-zadanifontodlomka-000004">
    <w:name w:val="pt-zadanifontodlomka-000004"/>
    <w:basedOn w:val="DefaultParagraphFont"/>
    <w:rsid w:val="00524AB4"/>
  </w:style>
  <w:style w:type="paragraph" w:styleId="Title">
    <w:name w:val="Title"/>
    <w:basedOn w:val="Normal"/>
    <w:next w:val="Normal"/>
    <w:link w:val="TitleChar"/>
    <w:uiPriority w:val="10"/>
    <w:qFormat/>
    <w:rsid w:val="00524AB4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24AB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customStyle="1" w:styleId="t-10-9-kurz-s">
    <w:name w:val="t-10-9-kurz-s"/>
    <w:basedOn w:val="Normal"/>
    <w:rsid w:val="00524AB4"/>
    <w:pPr>
      <w:spacing w:before="100" w:beforeAutospacing="1" w:after="100" w:afterAutospacing="1"/>
    </w:pPr>
  </w:style>
  <w:style w:type="paragraph" w:customStyle="1" w:styleId="clanak-">
    <w:name w:val="clanak-"/>
    <w:basedOn w:val="Normal"/>
    <w:rsid w:val="00524AB4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524AB4"/>
    <w:pPr>
      <w:spacing w:before="100" w:beforeAutospacing="1" w:after="100" w:afterAutospacing="1"/>
    </w:pPr>
  </w:style>
  <w:style w:type="paragraph" w:customStyle="1" w:styleId="t-11-9-sred">
    <w:name w:val="t-11-9-sred"/>
    <w:basedOn w:val="Normal"/>
    <w:rsid w:val="00524AB4"/>
    <w:pPr>
      <w:spacing w:before="100" w:beforeAutospacing="1" w:after="100" w:afterAutospacing="1"/>
    </w:pPr>
  </w:style>
  <w:style w:type="character" w:customStyle="1" w:styleId="defaultparagraphfont-000011">
    <w:name w:val="defaultparagraphfont-000011"/>
    <w:basedOn w:val="DefaultParagraphFont"/>
    <w:rsid w:val="00524AB4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normal-000005">
    <w:name w:val="normal-000005"/>
    <w:basedOn w:val="Normal"/>
    <w:rsid w:val="00524AB4"/>
    <w:pPr>
      <w:shd w:val="clear" w:color="auto" w:fill="FFFFFF"/>
    </w:pPr>
    <w:rPr>
      <w:rFonts w:eastAsiaTheme="minorEastAsia"/>
    </w:rPr>
  </w:style>
  <w:style w:type="paragraph" w:customStyle="1" w:styleId="tb-na16">
    <w:name w:val="tb-na16"/>
    <w:basedOn w:val="Normal"/>
    <w:rsid w:val="00524AB4"/>
    <w:pPr>
      <w:spacing w:before="100" w:beforeAutospacing="1" w:after="100" w:afterAutospacing="1"/>
    </w:pPr>
  </w:style>
  <w:style w:type="paragraph" w:customStyle="1" w:styleId="box457776">
    <w:name w:val="box_457776"/>
    <w:basedOn w:val="Normal"/>
    <w:rsid w:val="00524AB4"/>
    <w:pPr>
      <w:spacing w:before="100" w:beforeAutospacing="1" w:after="100" w:afterAutospacing="1"/>
    </w:pPr>
    <w:rPr>
      <w:lang w:val="en-GB" w:eastAsia="en-GB"/>
    </w:rPr>
  </w:style>
  <w:style w:type="paragraph" w:customStyle="1" w:styleId="Normal1">
    <w:name w:val="Normal1"/>
    <w:basedOn w:val="Normal"/>
    <w:rsid w:val="00524AB4"/>
    <w:pPr>
      <w:jc w:val="both"/>
    </w:pPr>
    <w:rPr>
      <w:rFonts w:eastAsiaTheme="minorEastAsia"/>
    </w:rPr>
  </w:style>
  <w:style w:type="paragraph" w:customStyle="1" w:styleId="doc-ti">
    <w:name w:val="doc-ti"/>
    <w:basedOn w:val="Normal"/>
    <w:rsid w:val="00524AB4"/>
    <w:pPr>
      <w:spacing w:before="100" w:beforeAutospacing="1" w:after="100" w:afterAutospacing="1"/>
    </w:pPr>
  </w:style>
  <w:style w:type="character" w:customStyle="1" w:styleId="defaultparagraphfont-000006">
    <w:name w:val="defaultparagraphfont-000006"/>
    <w:basedOn w:val="DefaultParagraphFont"/>
    <w:rsid w:val="00524AB4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t-109curz">
    <w:name w:val="t-109curz"/>
    <w:basedOn w:val="Normal"/>
    <w:rsid w:val="00524AB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24A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24AB4"/>
    <w:rPr>
      <w:rFonts w:eastAsiaTheme="minorHAnsi"/>
    </w:rPr>
  </w:style>
  <w:style w:type="paragraph" w:customStyle="1" w:styleId="box459069">
    <w:name w:val="box_459069"/>
    <w:basedOn w:val="Normal"/>
    <w:rsid w:val="00524AB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unhideWhenUsed/>
    <w:rsid w:val="00524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A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AB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24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24AB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CommentTextChar1">
    <w:name w:val="Comment Text Char1"/>
    <w:uiPriority w:val="99"/>
    <w:locked/>
    <w:rsid w:val="00524AB4"/>
    <w:rPr>
      <w:rFonts w:ascii="Courier New" w:eastAsia="Times New Roman" w:hAnsi="Courier New" w:cs="Courier New"/>
      <w:color w:val="000000"/>
      <w:sz w:val="20"/>
      <w:szCs w:val="20"/>
      <w:lang w:val="en-US"/>
    </w:rPr>
  </w:style>
  <w:style w:type="paragraph" w:styleId="NoSpacing">
    <w:name w:val="No Spacing"/>
    <w:uiPriority w:val="1"/>
    <w:qFormat/>
    <w:rsid w:val="005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524AB4"/>
    <w:rPr>
      <w:b/>
      <w:bCs/>
    </w:rPr>
  </w:style>
  <w:style w:type="paragraph" w:styleId="Revision">
    <w:name w:val="Revision"/>
    <w:hidden/>
    <w:uiPriority w:val="99"/>
    <w:semiHidden/>
    <w:rsid w:val="005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524AB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24AB4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524AB4"/>
    <w:pP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524AB4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24AB4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524AB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524AB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524AB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524AB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524AB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524AB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2C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hr-HR"/>
    </w:rPr>
  </w:style>
  <w:style w:type="paragraph" w:customStyle="1" w:styleId="n2">
    <w:name w:val="n2"/>
    <w:basedOn w:val="Normal"/>
    <w:rsid w:val="008252CB"/>
    <w:pPr>
      <w:spacing w:before="100" w:beforeAutospacing="1" w:after="100" w:afterAutospacing="1"/>
    </w:pPr>
  </w:style>
  <w:style w:type="numbering" w:customStyle="1" w:styleId="Bezpopisa1">
    <w:name w:val="Bez popisa1"/>
    <w:next w:val="NoList"/>
    <w:uiPriority w:val="99"/>
    <w:semiHidden/>
    <w:unhideWhenUsed/>
    <w:rsid w:val="0023794D"/>
  </w:style>
  <w:style w:type="table" w:customStyle="1" w:styleId="Reetkatablice1">
    <w:name w:val="Rešetka tablice1"/>
    <w:basedOn w:val="TableNormal"/>
    <w:next w:val="TableGrid"/>
    <w:uiPriority w:val="39"/>
    <w:rsid w:val="0023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AZJMDCZ6QSYZ-1849078857-53636</_dlc_DocId>
    <_dlc_DocIdUrl xmlns="a494813a-d0d8-4dad-94cb-0d196f36ba15">
      <Url>https://ekoordinacije.vlada.hr/koordinacija-gospodarstvo/_layouts/15/DocIdRedir.aspx?ID=AZJMDCZ6QSYZ-1849078857-53636</Url>
      <Description>AZJMDCZ6QSYZ-1849078857-53636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8434A-1957-4BBE-BF5E-857A8E5DB32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494813a-d0d8-4dad-94cb-0d196f36ba1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2566D8-DB74-4E3C-9BCB-AAD73A4EA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5BF674-8B54-4AA8-B965-3B2EFF877B0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8EC82D8-F300-44B3-9C38-DA6916FBC10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DE6DBC8-B6D5-4243-BC0D-9A82DEC1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Tuschl</dc:creator>
  <cp:lastModifiedBy>Sonja Tučkar</cp:lastModifiedBy>
  <cp:revision>4</cp:revision>
  <cp:lastPrinted>2026-03-31T15:20:00Z</cp:lastPrinted>
  <dcterms:created xsi:type="dcterms:W3CDTF">2026-03-30T08:30:00Z</dcterms:created>
  <dcterms:modified xsi:type="dcterms:W3CDTF">2026-03-31T15:21:00Z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00fec9b1-56f0-4b80-9f10-8ab33c510f46</vt:lpwstr>
  </property>
</Properties>
</file>