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15DA2" w14:textId="77777777" w:rsidR="00F05D5B" w:rsidRPr="00C36EE8" w:rsidRDefault="00F05D5B" w:rsidP="00F05D5B">
      <w:pPr>
        <w:spacing w:after="0"/>
        <w:jc w:val="center"/>
        <w:rPr>
          <w:color w:val="0D0D0D" w:themeColor="text1" w:themeTint="F2"/>
          <w:lang w:eastAsia="hr-HR"/>
        </w:rPr>
      </w:pPr>
      <w:r w:rsidRPr="00C36EE8">
        <w:rPr>
          <w:noProof/>
          <w:color w:val="0D0D0D" w:themeColor="text1" w:themeTint="F2"/>
          <w:lang w:eastAsia="hr-HR"/>
        </w:rPr>
        <w:drawing>
          <wp:inline distT="0" distB="0" distL="0" distR="0" wp14:anchorId="7EE152A2" wp14:editId="252C054B">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36EE8">
        <w:rPr>
          <w:color w:val="0D0D0D" w:themeColor="text1" w:themeTint="F2"/>
          <w:lang w:eastAsia="hr-HR"/>
        </w:rPr>
        <w:fldChar w:fldCharType="begin"/>
      </w:r>
      <w:r w:rsidRPr="00C36EE8">
        <w:rPr>
          <w:color w:val="0D0D0D" w:themeColor="text1" w:themeTint="F2"/>
          <w:lang w:eastAsia="hr-HR"/>
        </w:rPr>
        <w:instrText xml:space="preserve"> INCLUDEPICTURE "http://www.inet.hr/~box/images/grb-rh.gif" \* MERGEFORMATINET </w:instrText>
      </w:r>
      <w:r w:rsidRPr="00C36EE8">
        <w:rPr>
          <w:color w:val="0D0D0D" w:themeColor="text1" w:themeTint="F2"/>
          <w:lang w:eastAsia="hr-HR"/>
        </w:rPr>
        <w:fldChar w:fldCharType="end"/>
      </w:r>
    </w:p>
    <w:p w14:paraId="61A20543" w14:textId="77777777" w:rsidR="00F05D5B" w:rsidRPr="00D42C0F" w:rsidRDefault="00F05D5B" w:rsidP="00F05D5B">
      <w:pPr>
        <w:spacing w:before="60" w:after="0"/>
        <w:jc w:val="center"/>
        <w:rPr>
          <w:rFonts w:ascii="Times New Roman" w:hAnsi="Times New Roman" w:cs="Times New Roman"/>
          <w:color w:val="0D0D0D" w:themeColor="text1" w:themeTint="F2"/>
          <w:sz w:val="24"/>
          <w:szCs w:val="24"/>
          <w:lang w:eastAsia="hr-HR"/>
        </w:rPr>
      </w:pPr>
      <w:r w:rsidRPr="00D42C0F">
        <w:rPr>
          <w:rFonts w:ascii="Times New Roman" w:hAnsi="Times New Roman" w:cs="Times New Roman"/>
          <w:color w:val="0D0D0D" w:themeColor="text1" w:themeTint="F2"/>
          <w:sz w:val="24"/>
          <w:szCs w:val="24"/>
          <w:lang w:eastAsia="hr-HR"/>
        </w:rPr>
        <w:t>VLADA REPUBLIKE HRVATSKE</w:t>
      </w:r>
    </w:p>
    <w:p w14:paraId="1FB0CD62" w14:textId="77777777" w:rsidR="00F05D5B" w:rsidRDefault="00F05D5B" w:rsidP="00F05D5B">
      <w:pPr>
        <w:spacing w:after="0"/>
        <w:jc w:val="both"/>
        <w:rPr>
          <w:rFonts w:ascii="Times New Roman" w:hAnsi="Times New Roman" w:cs="Times New Roman"/>
          <w:color w:val="0D0D0D" w:themeColor="text1" w:themeTint="F2"/>
          <w:sz w:val="24"/>
          <w:szCs w:val="24"/>
          <w:lang w:eastAsia="hr-HR"/>
        </w:rPr>
      </w:pPr>
    </w:p>
    <w:p w14:paraId="5CC3ED9C" w14:textId="77777777" w:rsidR="00F05D5B" w:rsidRDefault="00F05D5B" w:rsidP="00F05D5B">
      <w:pPr>
        <w:spacing w:after="0"/>
        <w:jc w:val="both"/>
        <w:rPr>
          <w:rFonts w:ascii="Times New Roman" w:hAnsi="Times New Roman" w:cs="Times New Roman"/>
          <w:color w:val="0D0D0D" w:themeColor="text1" w:themeTint="F2"/>
          <w:sz w:val="24"/>
          <w:szCs w:val="24"/>
          <w:lang w:eastAsia="hr-HR"/>
        </w:rPr>
      </w:pPr>
    </w:p>
    <w:p w14:paraId="637F5EAC" w14:textId="77777777" w:rsidR="00F05D5B" w:rsidRDefault="00F05D5B" w:rsidP="00F05D5B">
      <w:pPr>
        <w:spacing w:after="0"/>
        <w:jc w:val="both"/>
        <w:rPr>
          <w:rFonts w:ascii="Times New Roman" w:hAnsi="Times New Roman" w:cs="Times New Roman"/>
          <w:color w:val="0D0D0D" w:themeColor="text1" w:themeTint="F2"/>
          <w:sz w:val="24"/>
          <w:szCs w:val="24"/>
          <w:lang w:eastAsia="hr-HR"/>
        </w:rPr>
      </w:pPr>
    </w:p>
    <w:p w14:paraId="285FE6FE" w14:textId="77777777" w:rsidR="00F05D5B" w:rsidRDefault="00F05D5B" w:rsidP="00F05D5B">
      <w:pPr>
        <w:spacing w:after="0"/>
        <w:jc w:val="both"/>
        <w:rPr>
          <w:rFonts w:ascii="Times New Roman" w:hAnsi="Times New Roman" w:cs="Times New Roman"/>
          <w:color w:val="0D0D0D" w:themeColor="text1" w:themeTint="F2"/>
          <w:sz w:val="24"/>
          <w:szCs w:val="24"/>
          <w:lang w:eastAsia="hr-HR"/>
        </w:rPr>
      </w:pPr>
    </w:p>
    <w:p w14:paraId="022D7771" w14:textId="77777777" w:rsidR="00F05D5B" w:rsidRPr="00D42C0F" w:rsidRDefault="00F05D5B" w:rsidP="00F05D5B">
      <w:pPr>
        <w:spacing w:after="0"/>
        <w:jc w:val="both"/>
        <w:rPr>
          <w:rFonts w:ascii="Times New Roman" w:hAnsi="Times New Roman" w:cs="Times New Roman"/>
          <w:color w:val="0D0D0D" w:themeColor="text1" w:themeTint="F2"/>
          <w:sz w:val="24"/>
          <w:szCs w:val="24"/>
          <w:lang w:eastAsia="hr-HR"/>
        </w:rPr>
      </w:pPr>
    </w:p>
    <w:p w14:paraId="254BE35F" w14:textId="471551B9" w:rsidR="00F05D5B" w:rsidRPr="00D42C0F" w:rsidRDefault="00F05D5B" w:rsidP="00F05D5B">
      <w:pPr>
        <w:spacing w:after="0"/>
        <w:ind w:left="4956"/>
        <w:jc w:val="center"/>
        <w:rPr>
          <w:rFonts w:ascii="Times New Roman" w:hAnsi="Times New Roman" w:cs="Times New Roman"/>
          <w:color w:val="0D0D0D" w:themeColor="text1" w:themeTint="F2"/>
          <w:sz w:val="24"/>
          <w:szCs w:val="24"/>
          <w:lang w:eastAsia="hr-HR"/>
        </w:rPr>
      </w:pPr>
      <w:r>
        <w:rPr>
          <w:rFonts w:ascii="Times New Roman" w:hAnsi="Times New Roman" w:cs="Times New Roman"/>
          <w:color w:val="0D0D0D" w:themeColor="text1" w:themeTint="F2"/>
          <w:sz w:val="24"/>
          <w:szCs w:val="24"/>
          <w:lang w:eastAsia="hr-HR"/>
        </w:rPr>
        <w:tab/>
      </w:r>
      <w:r>
        <w:rPr>
          <w:rFonts w:ascii="Times New Roman" w:hAnsi="Times New Roman" w:cs="Times New Roman"/>
          <w:color w:val="0D0D0D" w:themeColor="text1" w:themeTint="F2"/>
          <w:sz w:val="24"/>
          <w:szCs w:val="24"/>
          <w:lang w:eastAsia="hr-HR"/>
        </w:rPr>
        <w:tab/>
        <w:t xml:space="preserve">     </w:t>
      </w:r>
      <w:r w:rsidRPr="00D42C0F">
        <w:rPr>
          <w:rFonts w:ascii="Times New Roman" w:hAnsi="Times New Roman" w:cs="Times New Roman"/>
          <w:color w:val="0D0D0D" w:themeColor="text1" w:themeTint="F2"/>
          <w:sz w:val="24"/>
          <w:szCs w:val="24"/>
          <w:lang w:eastAsia="hr-HR"/>
        </w:rPr>
        <w:t xml:space="preserve">Zagreb, </w:t>
      </w:r>
      <w:r w:rsidR="00576EE0">
        <w:rPr>
          <w:rFonts w:ascii="Times New Roman" w:hAnsi="Times New Roman" w:cs="Times New Roman"/>
          <w:color w:val="0D0D0D" w:themeColor="text1" w:themeTint="F2"/>
          <w:sz w:val="24"/>
          <w:szCs w:val="24"/>
          <w:lang w:eastAsia="hr-HR"/>
        </w:rPr>
        <w:t>1</w:t>
      </w:r>
      <w:r w:rsidRPr="00D42C0F">
        <w:rPr>
          <w:rFonts w:ascii="Times New Roman" w:hAnsi="Times New Roman" w:cs="Times New Roman"/>
          <w:color w:val="0D0D0D" w:themeColor="text1" w:themeTint="F2"/>
          <w:sz w:val="24"/>
          <w:szCs w:val="24"/>
          <w:lang w:eastAsia="hr-HR"/>
        </w:rPr>
        <w:t xml:space="preserve">. </w:t>
      </w:r>
      <w:r>
        <w:rPr>
          <w:rFonts w:ascii="Times New Roman" w:hAnsi="Times New Roman" w:cs="Times New Roman"/>
          <w:color w:val="0D0D0D" w:themeColor="text1" w:themeTint="F2"/>
          <w:sz w:val="24"/>
          <w:szCs w:val="24"/>
          <w:lang w:eastAsia="hr-HR"/>
        </w:rPr>
        <w:t>travnja 2026</w:t>
      </w:r>
      <w:r w:rsidRPr="00D42C0F">
        <w:rPr>
          <w:rFonts w:ascii="Times New Roman" w:hAnsi="Times New Roman" w:cs="Times New Roman"/>
          <w:color w:val="0D0D0D" w:themeColor="text1" w:themeTint="F2"/>
          <w:sz w:val="24"/>
          <w:szCs w:val="24"/>
          <w:lang w:eastAsia="hr-HR"/>
        </w:rPr>
        <w:t xml:space="preserve">.                           </w:t>
      </w:r>
    </w:p>
    <w:p w14:paraId="6B5E8BA1" w14:textId="77777777" w:rsidR="00F05D5B" w:rsidRPr="00D42C0F" w:rsidRDefault="00F05D5B" w:rsidP="00F05D5B">
      <w:pPr>
        <w:spacing w:after="0"/>
        <w:jc w:val="right"/>
        <w:rPr>
          <w:rFonts w:ascii="Times New Roman" w:hAnsi="Times New Roman" w:cs="Times New Roman"/>
          <w:color w:val="0D0D0D" w:themeColor="text1" w:themeTint="F2"/>
          <w:sz w:val="24"/>
          <w:szCs w:val="24"/>
          <w:lang w:eastAsia="hr-HR"/>
        </w:rPr>
      </w:pPr>
    </w:p>
    <w:p w14:paraId="251F8159" w14:textId="77777777" w:rsidR="00F05D5B" w:rsidRPr="00D42C0F" w:rsidRDefault="00F05D5B" w:rsidP="00F05D5B">
      <w:pPr>
        <w:spacing w:after="0"/>
        <w:jc w:val="right"/>
        <w:rPr>
          <w:rFonts w:ascii="Times New Roman" w:hAnsi="Times New Roman" w:cs="Times New Roman"/>
          <w:color w:val="0D0D0D" w:themeColor="text1" w:themeTint="F2"/>
          <w:sz w:val="24"/>
          <w:szCs w:val="24"/>
          <w:lang w:eastAsia="hr-HR"/>
        </w:rPr>
      </w:pPr>
    </w:p>
    <w:p w14:paraId="44B1EF80" w14:textId="77777777" w:rsidR="00F05D5B" w:rsidRPr="00D42C0F" w:rsidRDefault="00F05D5B" w:rsidP="00F05D5B">
      <w:pPr>
        <w:spacing w:after="0"/>
        <w:jc w:val="right"/>
        <w:rPr>
          <w:rFonts w:ascii="Times New Roman" w:hAnsi="Times New Roman" w:cs="Times New Roman"/>
          <w:color w:val="0D0D0D" w:themeColor="text1" w:themeTint="F2"/>
          <w:sz w:val="24"/>
          <w:szCs w:val="24"/>
          <w:lang w:eastAsia="hr-HR"/>
        </w:rPr>
      </w:pPr>
    </w:p>
    <w:p w14:paraId="793DD5DE" w14:textId="77777777" w:rsidR="00F05D5B" w:rsidRPr="00D42C0F" w:rsidRDefault="00F05D5B" w:rsidP="00F05D5B">
      <w:pPr>
        <w:spacing w:after="0"/>
        <w:jc w:val="both"/>
        <w:rPr>
          <w:rFonts w:ascii="Times New Roman" w:hAnsi="Times New Roman" w:cs="Times New Roman"/>
          <w:color w:val="0D0D0D" w:themeColor="text1" w:themeTint="F2"/>
          <w:sz w:val="24"/>
          <w:szCs w:val="24"/>
          <w:lang w:eastAsia="hr-HR"/>
        </w:rPr>
      </w:pPr>
      <w:r w:rsidRPr="00D42C0F">
        <w:rPr>
          <w:rFonts w:ascii="Times New Roman" w:hAnsi="Times New Roman" w:cs="Times New Roman"/>
          <w:color w:val="0D0D0D" w:themeColor="text1" w:themeTint="F2"/>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05D5B" w:rsidRPr="00D42C0F" w14:paraId="73B37D5E" w14:textId="77777777" w:rsidTr="006D2AF5">
        <w:tc>
          <w:tcPr>
            <w:tcW w:w="1951" w:type="dxa"/>
          </w:tcPr>
          <w:p w14:paraId="544293B8" w14:textId="77777777" w:rsidR="00F05D5B" w:rsidRPr="00D42C0F" w:rsidRDefault="00F05D5B" w:rsidP="006D2AF5">
            <w:pPr>
              <w:spacing w:line="360" w:lineRule="auto"/>
              <w:jc w:val="right"/>
              <w:rPr>
                <w:color w:val="0D0D0D" w:themeColor="text1" w:themeTint="F2"/>
                <w:sz w:val="24"/>
                <w:szCs w:val="24"/>
              </w:rPr>
            </w:pPr>
            <w:r w:rsidRPr="00D42C0F">
              <w:rPr>
                <w:color w:val="0D0D0D" w:themeColor="text1" w:themeTint="F2"/>
                <w:sz w:val="24"/>
                <w:szCs w:val="24"/>
              </w:rPr>
              <w:t xml:space="preserve"> </w:t>
            </w:r>
            <w:r w:rsidRPr="00D42C0F">
              <w:rPr>
                <w:b/>
                <w:smallCaps/>
                <w:color w:val="0D0D0D" w:themeColor="text1" w:themeTint="F2"/>
                <w:sz w:val="24"/>
                <w:szCs w:val="24"/>
              </w:rPr>
              <w:t>Predlagatelj</w:t>
            </w:r>
            <w:r w:rsidRPr="00D42C0F">
              <w:rPr>
                <w:b/>
                <w:color w:val="0D0D0D" w:themeColor="text1" w:themeTint="F2"/>
                <w:sz w:val="24"/>
                <w:szCs w:val="24"/>
              </w:rPr>
              <w:t>:</w:t>
            </w:r>
          </w:p>
        </w:tc>
        <w:tc>
          <w:tcPr>
            <w:tcW w:w="7229" w:type="dxa"/>
          </w:tcPr>
          <w:p w14:paraId="1929CD3E" w14:textId="77777777" w:rsidR="00F05D5B" w:rsidRPr="00D42C0F" w:rsidRDefault="00F05D5B" w:rsidP="006D2AF5">
            <w:pPr>
              <w:spacing w:line="360" w:lineRule="auto"/>
              <w:rPr>
                <w:color w:val="0D0D0D" w:themeColor="text1" w:themeTint="F2"/>
                <w:sz w:val="24"/>
                <w:szCs w:val="24"/>
              </w:rPr>
            </w:pPr>
            <w:r w:rsidRPr="00D42C0F">
              <w:rPr>
                <w:color w:val="0D0D0D" w:themeColor="text1" w:themeTint="F2"/>
                <w:sz w:val="24"/>
                <w:szCs w:val="24"/>
              </w:rPr>
              <w:t>Ministarstvo financija</w:t>
            </w:r>
          </w:p>
        </w:tc>
      </w:tr>
    </w:tbl>
    <w:p w14:paraId="47DD61AE" w14:textId="77777777" w:rsidR="00F05D5B" w:rsidRPr="00D42C0F" w:rsidRDefault="00F05D5B" w:rsidP="00F05D5B">
      <w:pPr>
        <w:spacing w:after="0"/>
        <w:jc w:val="both"/>
        <w:rPr>
          <w:rFonts w:ascii="Times New Roman" w:hAnsi="Times New Roman" w:cs="Times New Roman"/>
          <w:color w:val="0D0D0D" w:themeColor="text1" w:themeTint="F2"/>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05D5B" w:rsidRPr="00D42C0F" w14:paraId="4C6761F4" w14:textId="77777777" w:rsidTr="006D2AF5">
        <w:tc>
          <w:tcPr>
            <w:tcW w:w="1951" w:type="dxa"/>
            <w:tcBorders>
              <w:top w:val="single" w:sz="4" w:space="0" w:color="auto"/>
            </w:tcBorders>
          </w:tcPr>
          <w:p w14:paraId="12F924A8" w14:textId="77777777" w:rsidR="00F05D5B" w:rsidRPr="00D42C0F" w:rsidRDefault="00F05D5B" w:rsidP="006D2AF5">
            <w:pPr>
              <w:spacing w:line="360" w:lineRule="auto"/>
              <w:rPr>
                <w:color w:val="0D0D0D" w:themeColor="text1" w:themeTint="F2"/>
                <w:sz w:val="24"/>
                <w:szCs w:val="24"/>
              </w:rPr>
            </w:pPr>
            <w:r w:rsidRPr="00D42C0F">
              <w:rPr>
                <w:b/>
                <w:smallCaps/>
                <w:color w:val="0D0D0D" w:themeColor="text1" w:themeTint="F2"/>
                <w:sz w:val="24"/>
                <w:szCs w:val="24"/>
              </w:rPr>
              <w:t xml:space="preserve">  Predmet</w:t>
            </w:r>
            <w:r w:rsidRPr="00D42C0F">
              <w:rPr>
                <w:b/>
                <w:color w:val="0D0D0D" w:themeColor="text1" w:themeTint="F2"/>
                <w:sz w:val="24"/>
                <w:szCs w:val="24"/>
              </w:rPr>
              <w:t>:</w:t>
            </w:r>
          </w:p>
        </w:tc>
        <w:tc>
          <w:tcPr>
            <w:tcW w:w="7229" w:type="dxa"/>
            <w:tcBorders>
              <w:top w:val="single" w:sz="4" w:space="0" w:color="auto"/>
            </w:tcBorders>
          </w:tcPr>
          <w:p w14:paraId="7B000FB4" w14:textId="6588314A" w:rsidR="00F05D5B" w:rsidRPr="00D42C0F" w:rsidRDefault="00F05D5B" w:rsidP="006D2AF5">
            <w:pPr>
              <w:jc w:val="both"/>
              <w:rPr>
                <w:color w:val="0D0D0D" w:themeColor="text1" w:themeTint="F2"/>
                <w:sz w:val="24"/>
                <w:szCs w:val="24"/>
              </w:rPr>
            </w:pPr>
            <w:r w:rsidRPr="00C30849">
              <w:rPr>
                <w:color w:val="0D0D0D" w:themeColor="text1" w:themeTint="F2"/>
                <w:sz w:val="24"/>
                <w:szCs w:val="24"/>
              </w:rPr>
              <w:t xml:space="preserve">Nacrt prijedloga zakona </w:t>
            </w:r>
            <w:r w:rsidRPr="00F05D5B">
              <w:rPr>
                <w:color w:val="0D0D0D" w:themeColor="text1" w:themeTint="F2"/>
                <w:sz w:val="24"/>
                <w:szCs w:val="24"/>
              </w:rPr>
              <w:t>o izmjenama i dopuni Zakona o sanaciji kreditnih institucija i investicijskih društava</w:t>
            </w:r>
            <w:r>
              <w:rPr>
                <w:color w:val="0D0D0D" w:themeColor="text1" w:themeTint="F2"/>
                <w:sz w:val="24"/>
                <w:szCs w:val="24"/>
              </w:rPr>
              <w:t>,</w:t>
            </w:r>
            <w:r>
              <w:t xml:space="preserve"> </w:t>
            </w:r>
            <w:r w:rsidRPr="00C30849">
              <w:rPr>
                <w:color w:val="0D0D0D" w:themeColor="text1" w:themeTint="F2"/>
                <w:sz w:val="24"/>
                <w:szCs w:val="24"/>
              </w:rPr>
              <w:t>s Nacrtom konačnog prijedloga zakona</w:t>
            </w:r>
          </w:p>
        </w:tc>
      </w:tr>
    </w:tbl>
    <w:p w14:paraId="00912B9E" w14:textId="77777777" w:rsidR="00F05D5B" w:rsidRPr="00D42C0F" w:rsidRDefault="00F05D5B" w:rsidP="00F05D5B">
      <w:pPr>
        <w:pBdr>
          <w:top w:val="single" w:sz="4" w:space="1" w:color="auto"/>
        </w:pBdr>
        <w:spacing w:after="0"/>
        <w:jc w:val="both"/>
        <w:rPr>
          <w:rFonts w:ascii="Times New Roman" w:hAnsi="Times New Roman" w:cs="Times New Roman"/>
          <w:color w:val="0D0D0D" w:themeColor="text1" w:themeTint="F2"/>
          <w:sz w:val="24"/>
          <w:szCs w:val="24"/>
          <w:lang w:eastAsia="hr-HR"/>
        </w:rPr>
      </w:pPr>
    </w:p>
    <w:p w14:paraId="5C4307AA" w14:textId="77777777" w:rsidR="00F05D5B" w:rsidRPr="00D42C0F" w:rsidRDefault="00F05D5B" w:rsidP="00F05D5B">
      <w:pPr>
        <w:spacing w:after="0"/>
        <w:jc w:val="both"/>
        <w:rPr>
          <w:rFonts w:ascii="Times New Roman" w:hAnsi="Times New Roman" w:cs="Times New Roman"/>
          <w:color w:val="0D0D0D" w:themeColor="text1" w:themeTint="F2"/>
          <w:sz w:val="24"/>
          <w:szCs w:val="24"/>
          <w:lang w:eastAsia="hr-HR"/>
        </w:rPr>
      </w:pPr>
    </w:p>
    <w:p w14:paraId="1289F89A" w14:textId="77777777" w:rsidR="00F05D5B" w:rsidRPr="00D42C0F" w:rsidRDefault="00F05D5B" w:rsidP="00F05D5B">
      <w:pPr>
        <w:spacing w:after="0"/>
        <w:jc w:val="both"/>
        <w:rPr>
          <w:rFonts w:ascii="Times New Roman" w:hAnsi="Times New Roman" w:cs="Times New Roman"/>
          <w:color w:val="0D0D0D" w:themeColor="text1" w:themeTint="F2"/>
          <w:sz w:val="24"/>
          <w:szCs w:val="24"/>
          <w:lang w:eastAsia="hr-HR"/>
        </w:rPr>
      </w:pPr>
    </w:p>
    <w:p w14:paraId="5212E3D7" w14:textId="77777777" w:rsidR="00F05D5B" w:rsidRPr="00D42C0F" w:rsidRDefault="00F05D5B" w:rsidP="00F05D5B">
      <w:pPr>
        <w:spacing w:after="0"/>
        <w:jc w:val="both"/>
        <w:rPr>
          <w:rFonts w:ascii="Times New Roman" w:hAnsi="Times New Roman" w:cs="Times New Roman"/>
          <w:color w:val="0D0D0D" w:themeColor="text1" w:themeTint="F2"/>
          <w:sz w:val="24"/>
          <w:szCs w:val="24"/>
          <w:lang w:eastAsia="hr-HR"/>
        </w:rPr>
      </w:pPr>
    </w:p>
    <w:p w14:paraId="39BB9C47" w14:textId="77777777" w:rsidR="00F05D5B" w:rsidRPr="00D42C0F" w:rsidRDefault="00F05D5B" w:rsidP="00F05D5B">
      <w:pPr>
        <w:spacing w:after="0" w:line="240" w:lineRule="exact"/>
        <w:jc w:val="center"/>
        <w:rPr>
          <w:rFonts w:ascii="Times New Roman" w:hAnsi="Times New Roman" w:cs="Times New Roman"/>
          <w:color w:val="0D0D0D" w:themeColor="text1" w:themeTint="F2"/>
          <w:w w:val="61"/>
          <w:sz w:val="24"/>
          <w:szCs w:val="24"/>
        </w:rPr>
      </w:pPr>
    </w:p>
    <w:p w14:paraId="6D671C38" w14:textId="77777777" w:rsidR="00F05D5B" w:rsidRPr="00D42C0F" w:rsidRDefault="00F05D5B" w:rsidP="00F05D5B">
      <w:pPr>
        <w:spacing w:after="0" w:line="240" w:lineRule="exact"/>
        <w:jc w:val="center"/>
        <w:rPr>
          <w:rFonts w:ascii="Times New Roman" w:hAnsi="Times New Roman" w:cs="Times New Roman"/>
          <w:color w:val="0D0D0D" w:themeColor="text1" w:themeTint="F2"/>
          <w:w w:val="61"/>
          <w:sz w:val="24"/>
          <w:szCs w:val="24"/>
        </w:rPr>
      </w:pPr>
    </w:p>
    <w:p w14:paraId="27B274AD" w14:textId="77777777" w:rsidR="00F05D5B" w:rsidRPr="00D42C0F" w:rsidRDefault="00F05D5B" w:rsidP="00F05D5B">
      <w:pPr>
        <w:spacing w:after="0" w:line="240" w:lineRule="exact"/>
        <w:jc w:val="center"/>
        <w:rPr>
          <w:rFonts w:ascii="Times New Roman" w:hAnsi="Times New Roman" w:cs="Times New Roman"/>
          <w:color w:val="0D0D0D" w:themeColor="text1" w:themeTint="F2"/>
          <w:w w:val="61"/>
          <w:sz w:val="24"/>
          <w:szCs w:val="24"/>
        </w:rPr>
      </w:pPr>
    </w:p>
    <w:p w14:paraId="0432CCB8" w14:textId="77777777" w:rsidR="00F05D5B" w:rsidRPr="00D42C0F" w:rsidRDefault="00F05D5B" w:rsidP="00F05D5B">
      <w:pPr>
        <w:spacing w:after="0" w:line="240" w:lineRule="exact"/>
        <w:jc w:val="center"/>
        <w:rPr>
          <w:rFonts w:ascii="Times New Roman" w:hAnsi="Times New Roman" w:cs="Times New Roman"/>
          <w:color w:val="0D0D0D" w:themeColor="text1" w:themeTint="F2"/>
          <w:w w:val="61"/>
          <w:sz w:val="24"/>
          <w:szCs w:val="24"/>
        </w:rPr>
      </w:pPr>
    </w:p>
    <w:p w14:paraId="2BE46757" w14:textId="77777777" w:rsidR="00F05D5B" w:rsidRPr="00D42C0F" w:rsidRDefault="00F05D5B" w:rsidP="00F05D5B">
      <w:pPr>
        <w:spacing w:after="0" w:line="240" w:lineRule="exact"/>
        <w:jc w:val="center"/>
        <w:rPr>
          <w:rFonts w:ascii="Times New Roman" w:hAnsi="Times New Roman" w:cs="Times New Roman"/>
          <w:color w:val="0D0D0D" w:themeColor="text1" w:themeTint="F2"/>
          <w:w w:val="61"/>
          <w:sz w:val="24"/>
          <w:szCs w:val="24"/>
        </w:rPr>
      </w:pPr>
    </w:p>
    <w:p w14:paraId="745D4CCB" w14:textId="77777777" w:rsidR="00F05D5B" w:rsidRPr="00D42C0F" w:rsidRDefault="00F05D5B" w:rsidP="00F05D5B">
      <w:pPr>
        <w:spacing w:after="0" w:line="240" w:lineRule="exact"/>
        <w:jc w:val="center"/>
        <w:rPr>
          <w:rFonts w:ascii="Times New Roman" w:hAnsi="Times New Roman" w:cs="Times New Roman"/>
          <w:color w:val="0D0D0D" w:themeColor="text1" w:themeTint="F2"/>
          <w:w w:val="61"/>
          <w:sz w:val="24"/>
          <w:szCs w:val="24"/>
        </w:rPr>
      </w:pPr>
    </w:p>
    <w:p w14:paraId="3A57FFEF"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5D0234C9"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38AFEF5E"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507EB5A6"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280B8C9B"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5E1DCDFB"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3873EE73"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528F8A91"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67C3BFE1"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5BA50775" w14:textId="77777777" w:rsidR="00F05D5B" w:rsidRDefault="00F05D5B" w:rsidP="00F05D5B">
      <w:pPr>
        <w:spacing w:after="0"/>
        <w:rPr>
          <w:rFonts w:ascii="Times New Roman" w:hAnsi="Times New Roman" w:cs="Times New Roman"/>
          <w:color w:val="0D0D0D" w:themeColor="text1" w:themeTint="F2"/>
          <w:sz w:val="24"/>
          <w:szCs w:val="24"/>
          <w:lang w:eastAsia="hr-HR"/>
        </w:rPr>
      </w:pPr>
    </w:p>
    <w:p w14:paraId="651C02D8" w14:textId="77777777" w:rsidR="00F05D5B" w:rsidRDefault="00F05D5B" w:rsidP="00F05D5B">
      <w:pPr>
        <w:spacing w:after="0"/>
        <w:rPr>
          <w:rFonts w:ascii="Times New Roman" w:hAnsi="Times New Roman" w:cs="Times New Roman"/>
          <w:color w:val="0D0D0D" w:themeColor="text1" w:themeTint="F2"/>
          <w:sz w:val="24"/>
          <w:szCs w:val="24"/>
          <w:lang w:eastAsia="hr-HR"/>
        </w:rPr>
      </w:pPr>
    </w:p>
    <w:p w14:paraId="7EA61585"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44949597"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133B8884" w14:textId="77777777" w:rsidR="00F05D5B" w:rsidRDefault="00F05D5B" w:rsidP="00F05D5B">
      <w:pPr>
        <w:spacing w:after="0"/>
        <w:rPr>
          <w:rFonts w:ascii="Times New Roman" w:hAnsi="Times New Roman" w:cs="Times New Roman"/>
          <w:color w:val="0D0D0D" w:themeColor="text1" w:themeTint="F2"/>
          <w:sz w:val="24"/>
          <w:szCs w:val="24"/>
          <w:lang w:eastAsia="hr-HR"/>
        </w:rPr>
      </w:pPr>
    </w:p>
    <w:p w14:paraId="6DF0EE71"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5A9B7513" w14:textId="027FB95B"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2760223F" w14:textId="77777777" w:rsidR="00F05D5B" w:rsidRPr="00D42C0F" w:rsidRDefault="00F05D5B" w:rsidP="00F05D5B">
      <w:pPr>
        <w:spacing w:after="0"/>
        <w:rPr>
          <w:rFonts w:ascii="Times New Roman" w:hAnsi="Times New Roman" w:cs="Times New Roman"/>
          <w:color w:val="0D0D0D" w:themeColor="text1" w:themeTint="F2"/>
          <w:sz w:val="24"/>
          <w:szCs w:val="24"/>
          <w:lang w:eastAsia="hr-HR"/>
        </w:rPr>
      </w:pPr>
    </w:p>
    <w:p w14:paraId="1E395003" w14:textId="77777777" w:rsidR="00F05D5B" w:rsidRDefault="00F05D5B" w:rsidP="00F05D5B">
      <w:pPr>
        <w:pBdr>
          <w:top w:val="single" w:sz="4" w:space="1" w:color="404040"/>
        </w:pBdr>
        <w:tabs>
          <w:tab w:val="center" w:pos="4536"/>
          <w:tab w:val="right" w:pos="9072"/>
        </w:tabs>
        <w:spacing w:after="0"/>
        <w:jc w:val="center"/>
        <w:rPr>
          <w:rFonts w:ascii="Times New Roman" w:hAnsi="Times New Roman" w:cs="Times New Roman"/>
          <w:color w:val="0D0D0D" w:themeColor="text1" w:themeTint="F2"/>
          <w:spacing w:val="20"/>
          <w:sz w:val="20"/>
          <w:szCs w:val="20"/>
          <w:lang w:eastAsia="hr-HR"/>
        </w:rPr>
      </w:pPr>
      <w:r w:rsidRPr="007C7C89">
        <w:rPr>
          <w:rFonts w:ascii="Times New Roman" w:hAnsi="Times New Roman" w:cs="Times New Roman"/>
          <w:color w:val="0D0D0D" w:themeColor="text1" w:themeTint="F2"/>
          <w:spacing w:val="20"/>
          <w:sz w:val="20"/>
          <w:szCs w:val="20"/>
          <w:lang w:eastAsia="hr-HR"/>
        </w:rPr>
        <w:t>Banski dvori | Trg Sv. Marka 2  | 10000 Zagreb | tel. 01 4569 222 | vlada.gov.hr</w:t>
      </w:r>
    </w:p>
    <w:p w14:paraId="0FCAC6AB" w14:textId="492B53C4" w:rsidR="00CD32F5" w:rsidRPr="00F05D5B" w:rsidRDefault="00CD32F5" w:rsidP="00F05D5B">
      <w:pPr>
        <w:tabs>
          <w:tab w:val="center" w:pos="4536"/>
          <w:tab w:val="right" w:pos="9072"/>
        </w:tabs>
        <w:spacing w:after="0"/>
        <w:jc w:val="center"/>
        <w:rPr>
          <w:rFonts w:ascii="Times New Roman" w:hAnsi="Times New Roman" w:cs="Times New Roman"/>
          <w:color w:val="0D0D0D" w:themeColor="text1" w:themeTint="F2"/>
          <w:spacing w:val="20"/>
          <w:sz w:val="20"/>
          <w:szCs w:val="20"/>
          <w:lang w:eastAsia="hr-HR"/>
        </w:rPr>
      </w:pPr>
      <w:r w:rsidRPr="00CD32F5">
        <w:rPr>
          <w:rFonts w:ascii="Times New Roman" w:eastAsia="Times New Roman" w:hAnsi="Times New Roman" w:cs="Times New Roman"/>
          <w:b/>
          <w:sz w:val="24"/>
          <w:szCs w:val="24"/>
          <w:lang w:eastAsia="hr-HR"/>
        </w:rPr>
        <w:t>REPUBLIKA HRVATSKA</w:t>
      </w:r>
    </w:p>
    <w:p w14:paraId="7E12CD40" w14:textId="029B0AB1" w:rsidR="00CD32F5" w:rsidRPr="00CD32F5" w:rsidRDefault="00CD32F5"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MINISTARSTVO FINANCIJA</w:t>
      </w:r>
    </w:p>
    <w:p w14:paraId="3258FE7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B2722EE"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4773B610" w14:textId="77777777" w:rsidR="00CD32F5" w:rsidRPr="00CD32F5" w:rsidRDefault="00CD32F5" w:rsidP="00CD32F5">
      <w:pPr>
        <w:tabs>
          <w:tab w:val="left" w:pos="142"/>
        </w:tabs>
        <w:spacing w:after="0" w:line="240" w:lineRule="auto"/>
        <w:jc w:val="right"/>
        <w:rPr>
          <w:rFonts w:ascii="Times New Roman" w:eastAsia="Times New Roman" w:hAnsi="Times New Roman" w:cs="Times New Roman"/>
          <w:b/>
          <w:sz w:val="24"/>
          <w:szCs w:val="24"/>
          <w:lang w:eastAsia="hr-HR"/>
        </w:rPr>
      </w:pPr>
    </w:p>
    <w:p w14:paraId="3D1C6718" w14:textId="77777777" w:rsidR="00CD32F5" w:rsidRPr="00CD32F5" w:rsidRDefault="00CD32F5" w:rsidP="00CD32F5">
      <w:pPr>
        <w:tabs>
          <w:tab w:val="left" w:pos="142"/>
        </w:tabs>
        <w:spacing w:after="0" w:line="240" w:lineRule="auto"/>
        <w:jc w:val="right"/>
        <w:rPr>
          <w:rFonts w:ascii="Times New Roman" w:eastAsia="Times New Roman" w:hAnsi="Times New Roman" w:cs="Times New Roman"/>
          <w:b/>
          <w:sz w:val="24"/>
          <w:szCs w:val="24"/>
          <w:lang w:eastAsia="hr-HR"/>
        </w:rPr>
      </w:pPr>
    </w:p>
    <w:p w14:paraId="05ABD10C" w14:textId="77777777" w:rsidR="00CD32F5" w:rsidRPr="00CD32F5" w:rsidRDefault="00CD32F5" w:rsidP="00CD32F5">
      <w:pPr>
        <w:tabs>
          <w:tab w:val="left" w:pos="142"/>
        </w:tabs>
        <w:spacing w:after="0" w:line="240" w:lineRule="auto"/>
        <w:jc w:val="right"/>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NACRT</w:t>
      </w:r>
    </w:p>
    <w:p w14:paraId="2B7F7E3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551A0169"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61B4F58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763C3AD2"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7FA9710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2261817E"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1B18CED"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637824E1"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32BC234"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0C5FF0A"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6D5D450"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243EC4F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716677C"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518CC54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20792EB4"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3C8A776E" w14:textId="77777777" w:rsidR="00F34B4C"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PRIJEDLOG ZAKONA O IZMJENAMA</w:t>
      </w:r>
      <w:r w:rsidR="00F34B4C">
        <w:rPr>
          <w:rFonts w:ascii="Times New Roman" w:eastAsia="Times New Roman" w:hAnsi="Times New Roman" w:cs="Times New Roman"/>
          <w:b/>
          <w:sz w:val="24"/>
          <w:szCs w:val="24"/>
          <w:lang w:eastAsia="hr-HR"/>
        </w:rPr>
        <w:t xml:space="preserve"> I DOPUNI</w:t>
      </w:r>
    </w:p>
    <w:p w14:paraId="37E388BC" w14:textId="77777777" w:rsidR="006E37F6"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 xml:space="preserve">ZAKONA O </w:t>
      </w:r>
      <w:r w:rsidR="00F60CEA">
        <w:rPr>
          <w:rFonts w:ascii="Times New Roman" w:eastAsia="Times New Roman" w:hAnsi="Times New Roman" w:cs="Times New Roman"/>
          <w:b/>
          <w:sz w:val="24"/>
          <w:szCs w:val="24"/>
          <w:lang w:eastAsia="hr-HR"/>
        </w:rPr>
        <w:t xml:space="preserve">SANACIJI </w:t>
      </w:r>
      <w:r w:rsidRPr="00CD32F5">
        <w:rPr>
          <w:rFonts w:ascii="Times New Roman" w:eastAsia="Times New Roman" w:hAnsi="Times New Roman" w:cs="Times New Roman"/>
          <w:b/>
          <w:sz w:val="24"/>
          <w:szCs w:val="24"/>
          <w:lang w:eastAsia="hr-HR"/>
        </w:rPr>
        <w:t>KREDITNIH INSTITUCIJA</w:t>
      </w:r>
      <w:r w:rsidR="00F60CEA">
        <w:rPr>
          <w:rFonts w:ascii="Times New Roman" w:eastAsia="Times New Roman" w:hAnsi="Times New Roman" w:cs="Times New Roman"/>
          <w:b/>
          <w:sz w:val="24"/>
          <w:szCs w:val="24"/>
          <w:lang w:eastAsia="hr-HR"/>
        </w:rPr>
        <w:t xml:space="preserve"> I </w:t>
      </w:r>
      <w:r w:rsidR="00893986" w:rsidRPr="00893986">
        <w:rPr>
          <w:rFonts w:ascii="Times New Roman" w:eastAsia="Times New Roman" w:hAnsi="Times New Roman" w:cs="Times New Roman"/>
          <w:b/>
          <w:sz w:val="24"/>
          <w:szCs w:val="24"/>
          <w:lang w:eastAsia="hr-HR"/>
        </w:rPr>
        <w:t>INVESTICIJSKIH DRUŠTAVA</w:t>
      </w:r>
      <w:r w:rsidR="002513A9">
        <w:rPr>
          <w:rFonts w:ascii="Times New Roman" w:eastAsia="Times New Roman" w:hAnsi="Times New Roman" w:cs="Times New Roman"/>
          <w:b/>
          <w:sz w:val="24"/>
          <w:szCs w:val="24"/>
          <w:lang w:eastAsia="hr-HR"/>
        </w:rPr>
        <w:t>,</w:t>
      </w:r>
    </w:p>
    <w:p w14:paraId="2745AD46" w14:textId="4051C7C8" w:rsidR="00CD32F5" w:rsidRPr="00CD32F5" w:rsidRDefault="002513A9" w:rsidP="00CD32F5">
      <w:pPr>
        <w:tabs>
          <w:tab w:val="left" w:pos="142"/>
        </w:tab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 KONAČNIM PRIJEDLOGOM ZAKONA</w:t>
      </w:r>
    </w:p>
    <w:p w14:paraId="37152B8D"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423480E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734154EF"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C64582D"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09779DC"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6E2AB9A5"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7820EF24"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2833031"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1DDC81DF"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F6F1916"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542228FF"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3D8BADD5"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32988D2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16B3981"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989CFC6"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6F4A477"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1256324A" w14:textId="62EC671D" w:rsid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59374645" w14:textId="3472B18D" w:rsidR="0037363F" w:rsidRDefault="0037363F"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AF248D3" w14:textId="5C8D438C" w:rsidR="0094171F" w:rsidRDefault="0094171F"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0BDBA193" w14:textId="77777777" w:rsidR="00F34B4C" w:rsidRDefault="00F34B4C"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3AEDA01E" w14:textId="77777777" w:rsidR="00F34B4C" w:rsidRPr="00CD32F5" w:rsidRDefault="00F34B4C"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0FD3F82F" w14:textId="79F51F48" w:rsidR="00CD32F5" w:rsidRDefault="00CD32F5"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p>
    <w:p w14:paraId="42460932" w14:textId="3B02F25B" w:rsidR="003212F6" w:rsidRPr="00CD32F5" w:rsidRDefault="003212F6"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p>
    <w:p w14:paraId="37CF1423" w14:textId="1124B620" w:rsidR="00CD32F5" w:rsidRPr="00CD32F5" w:rsidRDefault="00CD32F5" w:rsidP="00E70B0D">
      <w:pPr>
        <w:tabs>
          <w:tab w:val="left" w:pos="142"/>
        </w:tabs>
        <w:spacing w:after="0" w:line="240" w:lineRule="auto"/>
        <w:jc w:val="center"/>
        <w:rPr>
          <w:rFonts w:ascii="Times New Roman" w:eastAsia="Times New Roman" w:hAnsi="Times New Roman" w:cs="Times New Roman"/>
          <w:b/>
          <w:sz w:val="24"/>
          <w:szCs w:val="24"/>
          <w:lang w:eastAsia="hr-HR"/>
        </w:rPr>
        <w:sectPr w:rsidR="00CD32F5" w:rsidRPr="00CD32F5" w:rsidSect="00370608">
          <w:footerReference w:type="default" r:id="rId13"/>
          <w:pgSz w:w="11906" w:h="16838"/>
          <w:pgMar w:top="1417" w:right="1417" w:bottom="1417" w:left="1417" w:header="708" w:footer="708" w:gutter="0"/>
          <w:pgNumType w:start="1" w:chapStyle="1"/>
          <w:cols w:space="720"/>
          <w:titlePg/>
          <w:docGrid w:linePitch="299"/>
        </w:sectPr>
      </w:pPr>
      <w:r w:rsidRPr="00CD32F5">
        <w:rPr>
          <w:rFonts w:ascii="Times New Roman" w:eastAsia="Times New Roman" w:hAnsi="Times New Roman" w:cs="Times New Roman"/>
          <w:b/>
          <w:sz w:val="24"/>
          <w:szCs w:val="24"/>
          <w:lang w:eastAsia="hr-HR"/>
        </w:rPr>
        <w:t>Zagreb</w:t>
      </w:r>
      <w:r w:rsidRPr="00A639A8">
        <w:rPr>
          <w:rFonts w:ascii="Times New Roman" w:eastAsia="Times New Roman" w:hAnsi="Times New Roman" w:cs="Times New Roman"/>
          <w:b/>
          <w:sz w:val="24"/>
          <w:szCs w:val="24"/>
          <w:lang w:eastAsia="hr-HR"/>
        </w:rPr>
        <w:t xml:space="preserve">, </w:t>
      </w:r>
      <w:r w:rsidR="002F1727">
        <w:rPr>
          <w:rFonts w:ascii="Times New Roman" w:eastAsia="Times New Roman" w:hAnsi="Times New Roman" w:cs="Times New Roman"/>
          <w:b/>
          <w:sz w:val="24"/>
          <w:szCs w:val="24"/>
          <w:lang w:eastAsia="hr-HR"/>
        </w:rPr>
        <w:t>travanj</w:t>
      </w:r>
      <w:bookmarkStart w:id="0" w:name="_GoBack"/>
      <w:bookmarkEnd w:id="0"/>
      <w:r w:rsidR="00783126" w:rsidRPr="00A639A8">
        <w:rPr>
          <w:rFonts w:ascii="Times New Roman" w:eastAsia="Times New Roman" w:hAnsi="Times New Roman" w:cs="Times New Roman"/>
          <w:b/>
          <w:sz w:val="24"/>
          <w:szCs w:val="24"/>
          <w:lang w:eastAsia="hr-HR"/>
        </w:rPr>
        <w:t xml:space="preserve"> </w:t>
      </w:r>
      <w:r w:rsidRPr="00A639A8">
        <w:rPr>
          <w:rFonts w:ascii="Times New Roman" w:eastAsia="Times New Roman" w:hAnsi="Times New Roman" w:cs="Times New Roman"/>
          <w:b/>
          <w:sz w:val="24"/>
          <w:szCs w:val="24"/>
          <w:lang w:eastAsia="hr-HR"/>
        </w:rPr>
        <w:t>202</w:t>
      </w:r>
      <w:r w:rsidR="006E37F6" w:rsidRPr="00A639A8">
        <w:rPr>
          <w:rFonts w:ascii="Times New Roman" w:eastAsia="Times New Roman" w:hAnsi="Times New Roman" w:cs="Times New Roman"/>
          <w:b/>
          <w:sz w:val="24"/>
          <w:szCs w:val="24"/>
          <w:lang w:eastAsia="hr-HR"/>
        </w:rPr>
        <w:t>6</w:t>
      </w:r>
      <w:r w:rsidRPr="00CD32F5">
        <w:rPr>
          <w:rFonts w:ascii="Times New Roman" w:eastAsia="Times New Roman" w:hAnsi="Times New Roman" w:cs="Times New Roman"/>
          <w:b/>
          <w:sz w:val="24"/>
          <w:szCs w:val="24"/>
          <w:lang w:eastAsia="hr-HR"/>
        </w:rPr>
        <w:t>.</w:t>
      </w:r>
    </w:p>
    <w:p w14:paraId="7F3AB99F" w14:textId="2C86AA39" w:rsidR="00CD32F5" w:rsidRDefault="00CD32F5" w:rsidP="00CD32F5">
      <w:pPr>
        <w:widowControl w:val="0"/>
        <w:tabs>
          <w:tab w:val="left" w:pos="482"/>
        </w:tabs>
        <w:autoSpaceDE w:val="0"/>
        <w:autoSpaceDN w:val="0"/>
        <w:spacing w:after="0" w:line="240" w:lineRule="auto"/>
        <w:ind w:right="-24"/>
        <w:jc w:val="center"/>
        <w:rPr>
          <w:rFonts w:ascii="Times New Roman" w:eastAsia="Times New Roman" w:hAnsi="Times New Roman" w:cs="Times New Roman"/>
          <w:b/>
          <w:sz w:val="24"/>
          <w:szCs w:val="24"/>
        </w:rPr>
      </w:pPr>
      <w:r w:rsidRPr="00CD32F5">
        <w:rPr>
          <w:rFonts w:ascii="Times New Roman" w:eastAsia="Times New Roman" w:hAnsi="Times New Roman" w:cs="Times New Roman"/>
          <w:b/>
          <w:sz w:val="24"/>
          <w:szCs w:val="24"/>
        </w:rPr>
        <w:lastRenderedPageBreak/>
        <w:t xml:space="preserve">PRIJEDLOG ZAKONA O IZMJENAMA </w:t>
      </w:r>
      <w:r w:rsidR="00F34B4C">
        <w:rPr>
          <w:rFonts w:ascii="Times New Roman" w:eastAsia="Times New Roman" w:hAnsi="Times New Roman" w:cs="Times New Roman"/>
          <w:b/>
          <w:sz w:val="24"/>
          <w:szCs w:val="24"/>
          <w:lang w:eastAsia="hr-HR"/>
        </w:rPr>
        <w:t xml:space="preserve">I DOPUNI </w:t>
      </w:r>
      <w:r w:rsidRPr="00CD32F5">
        <w:rPr>
          <w:rFonts w:ascii="Times New Roman" w:eastAsia="Times New Roman" w:hAnsi="Times New Roman" w:cs="Times New Roman"/>
          <w:b/>
          <w:sz w:val="24"/>
          <w:szCs w:val="24"/>
        </w:rPr>
        <w:t xml:space="preserve">ZAKONA O </w:t>
      </w:r>
      <w:r w:rsidR="00893986" w:rsidRPr="00893986">
        <w:rPr>
          <w:rFonts w:ascii="Times New Roman" w:eastAsia="Times New Roman" w:hAnsi="Times New Roman" w:cs="Times New Roman"/>
          <w:b/>
          <w:sz w:val="24"/>
          <w:szCs w:val="24"/>
        </w:rPr>
        <w:t>SANACIJI KREDITNIH INSTITUCIJA I INVESTICIJSKIH DRUŠTAVA</w:t>
      </w:r>
    </w:p>
    <w:p w14:paraId="0AF01269" w14:textId="77777777" w:rsidR="00CD32F5" w:rsidRPr="00CD32F5" w:rsidRDefault="00CD32F5" w:rsidP="00CD32F5">
      <w:pPr>
        <w:widowControl w:val="0"/>
        <w:tabs>
          <w:tab w:val="left" w:pos="482"/>
        </w:tabs>
        <w:autoSpaceDE w:val="0"/>
        <w:autoSpaceDN w:val="0"/>
        <w:spacing w:after="0" w:line="240" w:lineRule="auto"/>
        <w:ind w:right="-24"/>
        <w:jc w:val="center"/>
        <w:rPr>
          <w:rFonts w:ascii="Times New Roman" w:eastAsia="Times New Roman" w:hAnsi="Times New Roman" w:cs="Times New Roman"/>
          <w:b/>
          <w:sz w:val="24"/>
          <w:szCs w:val="24"/>
        </w:rPr>
      </w:pPr>
    </w:p>
    <w:p w14:paraId="36FEED2F" w14:textId="77777777" w:rsidR="00CD32F5" w:rsidRPr="00CD32F5" w:rsidRDefault="00CD32F5" w:rsidP="00CD32F5">
      <w:pPr>
        <w:tabs>
          <w:tab w:val="left" w:pos="142"/>
        </w:tabs>
        <w:spacing w:after="0" w:line="240" w:lineRule="auto"/>
        <w:rPr>
          <w:rFonts w:ascii="Times New Roman" w:eastAsia="Times New Roman" w:hAnsi="Times New Roman" w:cs="Times New Roman"/>
          <w:sz w:val="24"/>
          <w:szCs w:val="24"/>
          <w:lang w:eastAsia="hr-HR"/>
        </w:rPr>
      </w:pPr>
    </w:p>
    <w:p w14:paraId="6CDDEFE6" w14:textId="55209D8E" w:rsidR="00CD32F5" w:rsidRPr="00CD32F5" w:rsidRDefault="00CD32F5" w:rsidP="00A639A8">
      <w:pPr>
        <w:tabs>
          <w:tab w:val="left" w:pos="142"/>
        </w:tabs>
        <w:spacing w:after="0" w:line="240" w:lineRule="auto"/>
        <w:jc w:val="both"/>
        <w:outlineLvl w:val="0"/>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I.</w:t>
      </w:r>
      <w:r w:rsidR="00D44A3E">
        <w:rPr>
          <w:rFonts w:ascii="Times New Roman" w:eastAsia="Times New Roman" w:hAnsi="Times New Roman" w:cs="Times New Roman"/>
          <w:b/>
          <w:sz w:val="24"/>
          <w:szCs w:val="24"/>
          <w:lang w:eastAsia="hr-HR"/>
        </w:rPr>
        <w:tab/>
      </w:r>
      <w:r w:rsidRPr="00CD32F5">
        <w:rPr>
          <w:rFonts w:ascii="Times New Roman" w:eastAsia="Times New Roman" w:hAnsi="Times New Roman" w:cs="Times New Roman"/>
          <w:b/>
          <w:sz w:val="24"/>
          <w:szCs w:val="24"/>
          <w:lang w:eastAsia="hr-HR"/>
        </w:rPr>
        <w:t>USTAVNA OSNOVA ZA DONOŠENJE ZAKONA</w:t>
      </w:r>
    </w:p>
    <w:p w14:paraId="194943DE" w14:textId="77777777" w:rsidR="00CD32F5" w:rsidRPr="00CD32F5" w:rsidRDefault="00CD32F5" w:rsidP="00CD32F5">
      <w:pPr>
        <w:tabs>
          <w:tab w:val="left" w:pos="142"/>
        </w:tabs>
        <w:spacing w:after="0" w:line="240" w:lineRule="auto"/>
        <w:rPr>
          <w:rFonts w:ascii="Times New Roman" w:eastAsia="Times New Roman" w:hAnsi="Times New Roman" w:cs="Times New Roman"/>
          <w:sz w:val="24"/>
          <w:szCs w:val="24"/>
          <w:lang w:eastAsia="hr-HR"/>
        </w:rPr>
      </w:pPr>
    </w:p>
    <w:p w14:paraId="4AF855F3" w14:textId="453D293E" w:rsidR="008723B9" w:rsidRPr="00CD32F5" w:rsidRDefault="00CD32F5" w:rsidP="00A639A8">
      <w:pPr>
        <w:pStyle w:val="NoSpacing"/>
        <w:ind w:firstLine="708"/>
        <w:jc w:val="both"/>
        <w:rPr>
          <w:lang w:eastAsia="hr-HR"/>
        </w:rPr>
      </w:pPr>
      <w:r w:rsidRPr="00CD32F5">
        <w:rPr>
          <w:rFonts w:ascii="Times New Roman" w:eastAsia="Times New Roman" w:hAnsi="Times New Roman" w:cs="Times New Roman"/>
          <w:sz w:val="24"/>
          <w:szCs w:val="24"/>
          <w:lang w:eastAsia="hr-HR"/>
        </w:rPr>
        <w:t xml:space="preserve">Ustavna osnova za donošenje ovoga Zakona sadržana je u odredbi članka 2. stavka 4. podstavka 1. Ustava Republike Hrvatske </w:t>
      </w:r>
      <w:bookmarkStart w:id="1" w:name="_Hlk167877771"/>
      <w:r w:rsidRPr="00CD32F5">
        <w:rPr>
          <w:rFonts w:ascii="Times New Roman" w:eastAsia="Times New Roman" w:hAnsi="Times New Roman" w:cs="Times New Roman"/>
          <w:sz w:val="24"/>
          <w:szCs w:val="24"/>
          <w:lang w:eastAsia="hr-HR"/>
        </w:rPr>
        <w:t xml:space="preserve">(„Narodne novine“, br. 85/10. </w:t>
      </w:r>
      <w:bookmarkEnd w:id="1"/>
      <w:r w:rsidRPr="00CD32F5">
        <w:rPr>
          <w:rFonts w:ascii="Times New Roman" w:eastAsia="Times New Roman" w:hAnsi="Times New Roman" w:cs="Times New Roman"/>
          <w:sz w:val="24"/>
          <w:szCs w:val="24"/>
          <w:lang w:eastAsia="hr-HR"/>
        </w:rPr>
        <w:t>– pročišćeni tekst i 5/14. – Odluka Ustavnog suda Republike Hrvatske).</w:t>
      </w:r>
    </w:p>
    <w:p w14:paraId="0BC2D8A1" w14:textId="77777777" w:rsidR="00CD32F5" w:rsidRPr="00CD32F5" w:rsidRDefault="00CD32F5" w:rsidP="00CD32F5">
      <w:pPr>
        <w:tabs>
          <w:tab w:val="left" w:pos="142"/>
        </w:tabs>
        <w:spacing w:after="0" w:line="240" w:lineRule="auto"/>
        <w:ind w:firstLine="705"/>
        <w:jc w:val="both"/>
        <w:rPr>
          <w:rFonts w:ascii="Times New Roman" w:eastAsia="Times New Roman" w:hAnsi="Times New Roman" w:cs="Times New Roman"/>
          <w:sz w:val="24"/>
          <w:szCs w:val="24"/>
          <w:lang w:eastAsia="hr-HR"/>
        </w:rPr>
      </w:pPr>
    </w:p>
    <w:p w14:paraId="4CFD4F56" w14:textId="2223DEA1" w:rsidR="00CD32F5" w:rsidRPr="00CD32F5" w:rsidRDefault="00CD32F5" w:rsidP="00A639A8">
      <w:pPr>
        <w:spacing w:after="0" w:line="240" w:lineRule="auto"/>
        <w:ind w:left="709" w:hanging="709"/>
        <w:jc w:val="both"/>
        <w:outlineLvl w:val="0"/>
        <w:rPr>
          <w:rFonts w:ascii="Times New Roman" w:eastAsia="Times New Roman" w:hAnsi="Times New Roman" w:cs="Times New Roman"/>
          <w:b/>
          <w:bCs/>
          <w:color w:val="000000"/>
          <w:sz w:val="24"/>
          <w:szCs w:val="24"/>
          <w:shd w:val="clear" w:color="auto" w:fill="FFFFFF"/>
        </w:rPr>
      </w:pPr>
      <w:r w:rsidRPr="00CD32F5">
        <w:rPr>
          <w:rFonts w:ascii="Times New Roman" w:eastAsia="Times New Roman" w:hAnsi="Times New Roman" w:cs="Times New Roman"/>
          <w:b/>
          <w:bCs/>
          <w:color w:val="000000"/>
          <w:sz w:val="24"/>
          <w:szCs w:val="24"/>
          <w:shd w:val="clear" w:color="auto" w:fill="FFFFFF"/>
        </w:rPr>
        <w:t>II.</w:t>
      </w:r>
      <w:r w:rsidR="00D44A3E">
        <w:rPr>
          <w:rFonts w:ascii="Times New Roman" w:eastAsia="Times New Roman" w:hAnsi="Times New Roman" w:cs="Times New Roman"/>
          <w:b/>
          <w:bCs/>
          <w:color w:val="000000"/>
          <w:sz w:val="24"/>
          <w:szCs w:val="24"/>
          <w:shd w:val="clear" w:color="auto" w:fill="FFFFFF"/>
        </w:rPr>
        <w:tab/>
      </w:r>
      <w:r w:rsidRPr="00420B40">
        <w:rPr>
          <w:rFonts w:ascii="Times New Roman" w:eastAsia="Times New Roman" w:hAnsi="Times New Roman" w:cs="Times New Roman"/>
          <w:b/>
          <w:sz w:val="24"/>
          <w:szCs w:val="24"/>
          <w:lang w:eastAsia="hr-HR"/>
        </w:rPr>
        <w:t>OCJENA</w:t>
      </w:r>
      <w:r w:rsidRPr="00CD32F5">
        <w:rPr>
          <w:rFonts w:ascii="Times New Roman" w:eastAsia="Times New Roman" w:hAnsi="Times New Roman" w:cs="Times New Roman"/>
          <w:b/>
          <w:bCs/>
          <w:color w:val="000000"/>
          <w:sz w:val="24"/>
          <w:szCs w:val="24"/>
          <w:shd w:val="clear" w:color="auto" w:fill="FFFFFF"/>
        </w:rPr>
        <w:t> STANJA I OSNOVNA PITANJA KOJA SE UREĐUJU ZAKONOM TE POSLJEDICE KOJE ĆE DONOŠENJEM ZAKONA PROISTEĆI</w:t>
      </w:r>
    </w:p>
    <w:p w14:paraId="62CA277E" w14:textId="77777777" w:rsidR="00B76F52" w:rsidRPr="00CD32F5" w:rsidRDefault="00B76F52" w:rsidP="00CD32F5">
      <w:pPr>
        <w:tabs>
          <w:tab w:val="left" w:pos="142"/>
        </w:tabs>
        <w:spacing w:after="0" w:line="240" w:lineRule="auto"/>
        <w:contextualSpacing/>
        <w:jc w:val="both"/>
        <w:rPr>
          <w:rFonts w:ascii="Times New Roman" w:eastAsia="Times New Roman" w:hAnsi="Times New Roman" w:cs="Times New Roman"/>
          <w:sz w:val="24"/>
          <w:szCs w:val="24"/>
          <w:lang w:eastAsia="hr-HR"/>
        </w:rPr>
      </w:pPr>
    </w:p>
    <w:p w14:paraId="4C6121D0" w14:textId="1DB4668F" w:rsidR="0048516F" w:rsidRPr="00A639A8" w:rsidRDefault="00391C26" w:rsidP="00A639A8">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sidR="0048177D" w:rsidRPr="00A639A8">
        <w:rPr>
          <w:rFonts w:ascii="Times New Roman" w:hAnsi="Times New Roman" w:cs="Times New Roman"/>
          <w:sz w:val="24"/>
          <w:szCs w:val="24"/>
          <w:lang w:eastAsia="hr-HR"/>
        </w:rPr>
        <w:t>Zakon o sanaciji kreditnih institucija i investicijskih društava („Narodn</w:t>
      </w:r>
      <w:r w:rsidR="0048516F" w:rsidRPr="00A639A8">
        <w:rPr>
          <w:rFonts w:ascii="Times New Roman" w:hAnsi="Times New Roman" w:cs="Times New Roman"/>
          <w:sz w:val="24"/>
          <w:szCs w:val="24"/>
          <w:lang w:eastAsia="hr-HR"/>
        </w:rPr>
        <w:t>e novine“, br. 146/20., 21/22., 27/24. i 145/24.)</w:t>
      </w:r>
      <w:r w:rsidR="0048177D" w:rsidRPr="00A639A8">
        <w:rPr>
          <w:rFonts w:ascii="Times New Roman" w:hAnsi="Times New Roman" w:cs="Times New Roman"/>
          <w:sz w:val="24"/>
          <w:szCs w:val="24"/>
          <w:lang w:eastAsia="hr-HR"/>
        </w:rPr>
        <w:t xml:space="preserve"> </w:t>
      </w:r>
      <w:r w:rsidR="0048516F" w:rsidRPr="00A639A8">
        <w:rPr>
          <w:rFonts w:ascii="Times New Roman" w:hAnsi="Times New Roman" w:cs="Times New Roman"/>
          <w:sz w:val="24"/>
          <w:szCs w:val="24"/>
          <w:lang w:eastAsia="hr-HR"/>
        </w:rPr>
        <w:t>(</w:t>
      </w:r>
      <w:r w:rsidR="0048177D" w:rsidRPr="00A639A8">
        <w:rPr>
          <w:rFonts w:ascii="Times New Roman" w:hAnsi="Times New Roman" w:cs="Times New Roman"/>
          <w:sz w:val="24"/>
          <w:szCs w:val="24"/>
          <w:lang w:eastAsia="hr-HR"/>
        </w:rPr>
        <w:t>u daljnjem tekstu: važeći Zakon) jest propis kojim se uređuju pravila, postupci i instrumenti za sanaciju kreditnih institucija i investicijskih društava (u daljnjem tekstu: institucija), ovlasti i zadaci sanacijskih i nadležnih tijela te financiranje i korištenje sredstava sanacij</w:t>
      </w:r>
      <w:r w:rsidR="0048516F" w:rsidRPr="00A639A8">
        <w:rPr>
          <w:rFonts w:ascii="Times New Roman" w:hAnsi="Times New Roman" w:cs="Times New Roman"/>
          <w:sz w:val="24"/>
          <w:szCs w:val="24"/>
          <w:lang w:eastAsia="hr-HR"/>
        </w:rPr>
        <w:t>skog fonda i upravljanje njime.</w:t>
      </w:r>
    </w:p>
    <w:p w14:paraId="6CF90540" w14:textId="77777777" w:rsidR="0048516F" w:rsidRPr="00A639A8" w:rsidRDefault="0048516F" w:rsidP="00A639A8">
      <w:pPr>
        <w:pStyle w:val="NoSpacing"/>
        <w:jc w:val="both"/>
        <w:rPr>
          <w:rFonts w:ascii="Times New Roman" w:hAnsi="Times New Roman" w:cs="Times New Roman"/>
          <w:sz w:val="24"/>
          <w:szCs w:val="24"/>
          <w:lang w:eastAsia="hr-HR"/>
        </w:rPr>
      </w:pPr>
    </w:p>
    <w:p w14:paraId="4CDAFCD8" w14:textId="0C055CAC" w:rsidR="0048516F" w:rsidRPr="00A639A8" w:rsidRDefault="0048177D" w:rsidP="00A639A8">
      <w:pPr>
        <w:pStyle w:val="NoSpacing"/>
        <w:jc w:val="both"/>
        <w:rPr>
          <w:rFonts w:ascii="Times New Roman" w:hAnsi="Times New Roman" w:cs="Times New Roman"/>
          <w:sz w:val="24"/>
          <w:szCs w:val="24"/>
          <w:lang w:eastAsia="hr-HR"/>
        </w:rPr>
      </w:pPr>
      <w:r w:rsidRPr="00A639A8">
        <w:rPr>
          <w:rFonts w:ascii="Times New Roman" w:hAnsi="Times New Roman" w:cs="Times New Roman"/>
          <w:sz w:val="24"/>
          <w:szCs w:val="24"/>
          <w:lang w:eastAsia="hr-HR"/>
        </w:rPr>
        <w:t>Financijska kriza pokazala je da je na razini Europske unije postojao značajan nedostatak odgovarajućih instrumenata za djelotvorno rješavanje problema propadajućih institucija. Stoga je 2014. godine donesena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w:t>
      </w:r>
      <w:r w:rsidR="0048516F" w:rsidRPr="00A639A8">
        <w:rPr>
          <w:rFonts w:ascii="Times New Roman" w:hAnsi="Times New Roman" w:cs="Times New Roman"/>
          <w:sz w:val="24"/>
          <w:szCs w:val="24"/>
          <w:lang w:eastAsia="hr-HR"/>
        </w:rPr>
        <w:t>L L 173, 12.6.2014.)</w:t>
      </w:r>
      <w:r w:rsidRPr="00A639A8">
        <w:rPr>
          <w:rFonts w:ascii="Times New Roman" w:hAnsi="Times New Roman" w:cs="Times New Roman"/>
          <w:sz w:val="24"/>
          <w:szCs w:val="24"/>
          <w:lang w:eastAsia="hr-HR"/>
        </w:rPr>
        <w:t xml:space="preserve"> </w:t>
      </w:r>
      <w:r w:rsidR="0048516F" w:rsidRPr="00A639A8">
        <w:rPr>
          <w:rFonts w:ascii="Times New Roman" w:hAnsi="Times New Roman" w:cs="Times New Roman"/>
          <w:sz w:val="24"/>
          <w:szCs w:val="24"/>
          <w:lang w:eastAsia="hr-HR"/>
        </w:rPr>
        <w:t>(</w:t>
      </w:r>
      <w:r w:rsidRPr="00A639A8">
        <w:rPr>
          <w:rFonts w:ascii="Times New Roman" w:hAnsi="Times New Roman" w:cs="Times New Roman"/>
          <w:sz w:val="24"/>
          <w:szCs w:val="24"/>
          <w:lang w:eastAsia="hr-HR"/>
        </w:rPr>
        <w:t>u daljnjem tekstu: Direktiva 2014/59/EU) s namjerom uspostavljanja usklađenog sustava koji će nadležnim i sanacijskim tijelima država članica pružiti skup instrumenata za dovoljno ranu i brzu intervenciju u instituciji koja propada ili će vjerojatno propasti, kako bi se osigurao nastavak ključnih funkcija institucije uz istovremeno ograničavanje utjecaja njezinog propadanja na gospodarski i financijski s</w:t>
      </w:r>
      <w:r w:rsidR="00E15C85" w:rsidRPr="00A639A8">
        <w:rPr>
          <w:rFonts w:ascii="Times New Roman" w:hAnsi="Times New Roman" w:cs="Times New Roman"/>
          <w:sz w:val="24"/>
          <w:szCs w:val="24"/>
          <w:lang w:eastAsia="hr-HR"/>
        </w:rPr>
        <w:t>ustav na najmanju moguću mjeru.</w:t>
      </w:r>
    </w:p>
    <w:p w14:paraId="44C0DC12" w14:textId="31A4CABD" w:rsidR="00E15C85" w:rsidRPr="00A639A8" w:rsidRDefault="00E15C85" w:rsidP="00A639A8">
      <w:pPr>
        <w:pStyle w:val="NoSpacing"/>
        <w:jc w:val="both"/>
        <w:rPr>
          <w:rFonts w:ascii="Times New Roman" w:hAnsi="Times New Roman" w:cs="Times New Roman"/>
          <w:sz w:val="24"/>
          <w:szCs w:val="24"/>
          <w:lang w:eastAsia="hr-HR"/>
        </w:rPr>
      </w:pPr>
    </w:p>
    <w:p w14:paraId="1A0276D3" w14:textId="2930F0A7" w:rsidR="00E15C85" w:rsidRPr="00A639A8" w:rsidRDefault="00E15C85" w:rsidP="00A639A8">
      <w:pPr>
        <w:pStyle w:val="NoSpacing"/>
        <w:jc w:val="both"/>
        <w:rPr>
          <w:rFonts w:ascii="Times New Roman" w:hAnsi="Times New Roman" w:cs="Times New Roman"/>
          <w:sz w:val="24"/>
          <w:szCs w:val="24"/>
          <w:lang w:eastAsia="hr-HR"/>
        </w:rPr>
      </w:pPr>
      <w:r w:rsidRPr="00A639A8">
        <w:rPr>
          <w:rFonts w:ascii="Times New Roman" w:hAnsi="Times New Roman" w:cs="Times New Roman"/>
          <w:sz w:val="24"/>
          <w:szCs w:val="24"/>
          <w:lang w:eastAsia="hr-HR"/>
        </w:rPr>
        <w:t>Direktiva 2014/59/EU izmijenjena je, među ostalim, na temelju Direktive (EU) 2017/2399 Europskog parlamenta i Vijeća od 12. prosinca 2017. o izmjeni Direktive 2014/59/EU u pogledu rangiranja neosiguranih dužničkih instrumenata u insolvencijskoj hijerarhiji (SL L 345, 27.12.2017.)</w:t>
      </w:r>
      <w:r w:rsidR="0095203D" w:rsidRPr="00A639A8">
        <w:rPr>
          <w:rFonts w:ascii="Times New Roman" w:hAnsi="Times New Roman" w:cs="Times New Roman"/>
          <w:sz w:val="24"/>
          <w:szCs w:val="24"/>
          <w:lang w:eastAsia="hr-HR"/>
        </w:rPr>
        <w:t xml:space="preserve"> (u daljnjem tekstu: Direktiva (EU) 2017/2399). </w:t>
      </w:r>
      <w:r w:rsidR="00BA1D6B" w:rsidRPr="00A639A8">
        <w:rPr>
          <w:rFonts w:ascii="Times New Roman" w:hAnsi="Times New Roman" w:cs="Times New Roman"/>
          <w:sz w:val="24"/>
          <w:szCs w:val="24"/>
          <w:lang w:eastAsia="hr-HR"/>
        </w:rPr>
        <w:t xml:space="preserve">Direktiva (EU) 2017/2399 donesena je radi uklanjanja znatnih prepreka funkcioniranju unutarnjeg tržišta i izbjegavanja narušavanja tržišnog natjecanja kao posljedica nepostojanja usklađenih pravila na razini </w:t>
      </w:r>
      <w:r w:rsidR="00B6446F" w:rsidRPr="00A639A8">
        <w:rPr>
          <w:rFonts w:ascii="Times New Roman" w:hAnsi="Times New Roman" w:cs="Times New Roman"/>
          <w:sz w:val="24"/>
          <w:szCs w:val="24"/>
          <w:lang w:eastAsia="hr-HR"/>
        </w:rPr>
        <w:t>Europske u</w:t>
      </w:r>
      <w:r w:rsidR="00BA1D6B" w:rsidRPr="00A639A8">
        <w:rPr>
          <w:rFonts w:ascii="Times New Roman" w:hAnsi="Times New Roman" w:cs="Times New Roman"/>
          <w:sz w:val="24"/>
          <w:szCs w:val="24"/>
          <w:lang w:eastAsia="hr-HR"/>
        </w:rPr>
        <w:t>nije o hijerarhiji vjerovnika banaka</w:t>
      </w:r>
      <w:r w:rsidR="00B6446F" w:rsidRPr="00A639A8">
        <w:rPr>
          <w:rFonts w:ascii="Times New Roman" w:hAnsi="Times New Roman" w:cs="Times New Roman"/>
          <w:sz w:val="24"/>
          <w:szCs w:val="24"/>
          <w:lang w:eastAsia="hr-HR"/>
        </w:rPr>
        <w:t>, kao</w:t>
      </w:r>
      <w:r w:rsidR="00BA1D6B" w:rsidRPr="00A639A8">
        <w:rPr>
          <w:rFonts w:ascii="Times New Roman" w:hAnsi="Times New Roman" w:cs="Times New Roman"/>
          <w:sz w:val="24"/>
          <w:szCs w:val="24"/>
          <w:lang w:eastAsia="hr-HR"/>
        </w:rPr>
        <w:t xml:space="preserve"> i </w:t>
      </w:r>
      <w:r w:rsidR="00B6446F" w:rsidRPr="00A639A8">
        <w:rPr>
          <w:rFonts w:ascii="Times New Roman" w:hAnsi="Times New Roman" w:cs="Times New Roman"/>
          <w:sz w:val="24"/>
          <w:szCs w:val="24"/>
          <w:lang w:eastAsia="hr-HR"/>
        </w:rPr>
        <w:t>radi sprječavanja pojavljivanja</w:t>
      </w:r>
      <w:r w:rsidR="00BA1D6B" w:rsidRPr="00A639A8">
        <w:rPr>
          <w:rFonts w:ascii="Times New Roman" w:hAnsi="Times New Roman" w:cs="Times New Roman"/>
          <w:sz w:val="24"/>
          <w:szCs w:val="24"/>
          <w:lang w:eastAsia="hr-HR"/>
        </w:rPr>
        <w:t xml:space="preserve"> takvih prepreka i narušavanja u </w:t>
      </w:r>
      <w:r w:rsidR="00BA1D6B" w:rsidRPr="00A639A8">
        <w:rPr>
          <w:rFonts w:ascii="Times New Roman" w:hAnsi="Times New Roman" w:cs="Times New Roman"/>
          <w:sz w:val="24"/>
          <w:szCs w:val="24"/>
          <w:lang w:eastAsia="hr-HR"/>
        </w:rPr>
        <w:lastRenderedPageBreak/>
        <w:t>budućnosti.</w:t>
      </w:r>
      <w:r w:rsidR="00B6446F" w:rsidRPr="00A639A8">
        <w:rPr>
          <w:rFonts w:ascii="Times New Roman" w:hAnsi="Times New Roman" w:cs="Times New Roman"/>
          <w:sz w:val="24"/>
          <w:szCs w:val="24"/>
          <w:lang w:eastAsia="hr-HR"/>
        </w:rPr>
        <w:t xml:space="preserve"> Stoga je, kako bi se poboljšala mogućnost sanacije institucija, Direktivom (EU) 2017/2399 uspostavljena nova kategorija nepovlaštenog nadređenog duga</w:t>
      </w:r>
      <w:r w:rsidR="001C4A87" w:rsidRPr="00A639A8">
        <w:rPr>
          <w:rFonts w:ascii="Times New Roman" w:hAnsi="Times New Roman" w:cs="Times New Roman"/>
          <w:sz w:val="24"/>
          <w:szCs w:val="24"/>
          <w:lang w:eastAsia="hr-HR"/>
        </w:rPr>
        <w:t xml:space="preserve"> (nepovlašteni neosigurani dužnički instrumenti)</w:t>
      </w:r>
      <w:r w:rsidR="00B6446F" w:rsidRPr="00A639A8">
        <w:rPr>
          <w:rFonts w:ascii="Times New Roman" w:hAnsi="Times New Roman" w:cs="Times New Roman"/>
          <w:sz w:val="24"/>
          <w:szCs w:val="24"/>
          <w:lang w:eastAsia="hr-HR"/>
        </w:rPr>
        <w:t xml:space="preserve"> koji </w:t>
      </w:r>
      <w:r w:rsidR="008D3BC3" w:rsidRPr="00A639A8">
        <w:rPr>
          <w:rFonts w:ascii="Times New Roman" w:hAnsi="Times New Roman" w:cs="Times New Roman"/>
          <w:sz w:val="24"/>
          <w:szCs w:val="24"/>
          <w:lang w:eastAsia="hr-HR"/>
        </w:rPr>
        <w:t>bi</w:t>
      </w:r>
      <w:r w:rsidR="00B6446F" w:rsidRPr="00A639A8">
        <w:rPr>
          <w:rFonts w:ascii="Times New Roman" w:hAnsi="Times New Roman" w:cs="Times New Roman"/>
          <w:sz w:val="24"/>
          <w:szCs w:val="24"/>
          <w:lang w:eastAsia="hr-HR"/>
        </w:rPr>
        <w:t xml:space="preserve"> u insolvencijskoj hijerarhiji </w:t>
      </w:r>
      <w:r w:rsidR="008D3BC3" w:rsidRPr="00A639A8">
        <w:rPr>
          <w:rFonts w:ascii="Times New Roman" w:hAnsi="Times New Roman" w:cs="Times New Roman"/>
          <w:sz w:val="24"/>
          <w:szCs w:val="24"/>
          <w:lang w:eastAsia="hr-HR"/>
        </w:rPr>
        <w:t xml:space="preserve">trebao biti </w:t>
      </w:r>
      <w:r w:rsidR="00B6446F" w:rsidRPr="00A639A8">
        <w:rPr>
          <w:rFonts w:ascii="Times New Roman" w:hAnsi="Times New Roman" w:cs="Times New Roman"/>
          <w:sz w:val="24"/>
          <w:szCs w:val="24"/>
          <w:lang w:eastAsia="hr-HR"/>
        </w:rPr>
        <w:t>rangiran iznad instrumenata regulatornog kapitala i podređenih obveza koje nisu instrumenti regulatornog kapitala, ali ispod drugih nadređenih obveza.</w:t>
      </w:r>
    </w:p>
    <w:p w14:paraId="4947E822" w14:textId="7DDF90A6" w:rsidR="00B6446F" w:rsidRPr="00A639A8" w:rsidRDefault="00B6446F" w:rsidP="00A639A8">
      <w:pPr>
        <w:pStyle w:val="NoSpacing"/>
        <w:jc w:val="both"/>
        <w:rPr>
          <w:rFonts w:ascii="Times New Roman" w:hAnsi="Times New Roman" w:cs="Times New Roman"/>
          <w:sz w:val="24"/>
          <w:szCs w:val="24"/>
          <w:lang w:eastAsia="hr-HR"/>
        </w:rPr>
      </w:pPr>
    </w:p>
    <w:p w14:paraId="04BD353B" w14:textId="0305BBFC" w:rsidR="00B6446F" w:rsidRPr="00A639A8" w:rsidRDefault="00B6446F" w:rsidP="00A639A8">
      <w:pPr>
        <w:pStyle w:val="NoSpacing"/>
        <w:jc w:val="both"/>
        <w:rPr>
          <w:rFonts w:ascii="Times New Roman" w:hAnsi="Times New Roman" w:cs="Times New Roman"/>
          <w:sz w:val="24"/>
          <w:szCs w:val="24"/>
          <w:lang w:eastAsia="hr-HR"/>
        </w:rPr>
      </w:pPr>
      <w:r w:rsidRPr="00A639A8">
        <w:rPr>
          <w:rFonts w:ascii="Times New Roman" w:hAnsi="Times New Roman" w:cs="Times New Roman"/>
          <w:sz w:val="24"/>
          <w:szCs w:val="24"/>
          <w:lang w:eastAsia="hr-HR"/>
        </w:rPr>
        <w:t>Važećim s</w:t>
      </w:r>
      <w:r w:rsidR="00D67719">
        <w:rPr>
          <w:rFonts w:ascii="Times New Roman" w:hAnsi="Times New Roman" w:cs="Times New Roman"/>
          <w:sz w:val="24"/>
          <w:szCs w:val="24"/>
          <w:lang w:eastAsia="hr-HR"/>
        </w:rPr>
        <w:t>u</w:t>
      </w:r>
      <w:r w:rsidRPr="00A639A8">
        <w:rPr>
          <w:rFonts w:ascii="Times New Roman" w:hAnsi="Times New Roman" w:cs="Times New Roman"/>
          <w:sz w:val="24"/>
          <w:szCs w:val="24"/>
          <w:lang w:eastAsia="hr-HR"/>
        </w:rPr>
        <w:t xml:space="preserve"> Zakonom u hrvatsko zakonodavstvo pren</w:t>
      </w:r>
      <w:r w:rsidR="00D67719">
        <w:rPr>
          <w:rFonts w:ascii="Times New Roman" w:hAnsi="Times New Roman" w:cs="Times New Roman"/>
          <w:sz w:val="24"/>
          <w:szCs w:val="24"/>
          <w:lang w:eastAsia="hr-HR"/>
        </w:rPr>
        <w:t>esene</w:t>
      </w:r>
      <w:r w:rsidRPr="00A639A8">
        <w:rPr>
          <w:rFonts w:ascii="Times New Roman" w:hAnsi="Times New Roman" w:cs="Times New Roman"/>
          <w:sz w:val="24"/>
          <w:szCs w:val="24"/>
          <w:lang w:eastAsia="hr-HR"/>
        </w:rPr>
        <w:t>, među ostalim, Direktiva 2014/59/EU te Direktiva (EU) 2017/2399.</w:t>
      </w:r>
    </w:p>
    <w:p w14:paraId="1A89DF1E" w14:textId="471B1217" w:rsidR="00B6446F" w:rsidRPr="00A639A8" w:rsidRDefault="00B6446F" w:rsidP="00A639A8">
      <w:pPr>
        <w:pStyle w:val="NoSpacing"/>
        <w:jc w:val="both"/>
        <w:rPr>
          <w:rFonts w:ascii="Times New Roman" w:hAnsi="Times New Roman" w:cs="Times New Roman"/>
          <w:sz w:val="24"/>
          <w:szCs w:val="24"/>
          <w:lang w:eastAsia="hr-HR"/>
        </w:rPr>
      </w:pPr>
    </w:p>
    <w:p w14:paraId="11E530F3" w14:textId="7A98FF45" w:rsidR="00B6446F" w:rsidRPr="00A639A8" w:rsidRDefault="00ED0844" w:rsidP="00A639A8">
      <w:pPr>
        <w:pStyle w:val="NoSpacing"/>
        <w:jc w:val="both"/>
        <w:rPr>
          <w:rFonts w:ascii="Times New Roman" w:hAnsi="Times New Roman" w:cs="Times New Roman"/>
          <w:sz w:val="24"/>
          <w:szCs w:val="24"/>
          <w:lang w:eastAsia="hr-HR"/>
        </w:rPr>
      </w:pPr>
      <w:r w:rsidRPr="00A639A8">
        <w:rPr>
          <w:rFonts w:ascii="Times New Roman" w:hAnsi="Times New Roman" w:cs="Times New Roman"/>
          <w:sz w:val="24"/>
          <w:szCs w:val="24"/>
          <w:lang w:eastAsia="hr-HR"/>
        </w:rPr>
        <w:t xml:space="preserve">U okviru EU </w:t>
      </w:r>
      <w:r w:rsidR="00EB603D">
        <w:rPr>
          <w:rFonts w:ascii="Times New Roman" w:hAnsi="Times New Roman" w:cs="Times New Roman"/>
          <w:sz w:val="24"/>
          <w:szCs w:val="24"/>
          <w:lang w:eastAsia="hr-HR"/>
        </w:rPr>
        <w:t>Pilot</w:t>
      </w:r>
      <w:r w:rsidRPr="00A639A8">
        <w:rPr>
          <w:rFonts w:ascii="Times New Roman" w:hAnsi="Times New Roman" w:cs="Times New Roman"/>
          <w:sz w:val="24"/>
          <w:szCs w:val="24"/>
          <w:lang w:eastAsia="hr-HR"/>
        </w:rPr>
        <w:t xml:space="preserve"> predmeta EUP(2024)10691, kojim je Europska komisija pozvala hrvatska nadležna tijela na dostavu informacija o </w:t>
      </w:r>
      <w:r w:rsidR="00EB603D">
        <w:rPr>
          <w:rFonts w:ascii="Times New Roman" w:hAnsi="Times New Roman" w:cs="Times New Roman"/>
          <w:sz w:val="24"/>
          <w:szCs w:val="24"/>
          <w:lang w:eastAsia="hr-HR"/>
        </w:rPr>
        <w:t xml:space="preserve">nacionalnim </w:t>
      </w:r>
      <w:r w:rsidRPr="00A639A8">
        <w:rPr>
          <w:rFonts w:ascii="Times New Roman" w:hAnsi="Times New Roman" w:cs="Times New Roman"/>
          <w:sz w:val="24"/>
          <w:szCs w:val="24"/>
          <w:lang w:eastAsia="hr-HR"/>
        </w:rPr>
        <w:t>mjerama za prenošenje Direktive (EU) 2019/879 Europskog parlamenta i Vijeća od 20. svibnja 2019. o izmjeni Direktive 2014/59/EU u pogledu kapaciteta pokrivanja gubitaka i dokapitalizacije kreditnih institucija i investicijskih društava te Direktive 98/26/EZ (SL L 150, 7.6.2019</w:t>
      </w:r>
      <w:r w:rsidR="008D3BC3" w:rsidRPr="00A639A8">
        <w:rPr>
          <w:rFonts w:ascii="Times New Roman" w:hAnsi="Times New Roman" w:cs="Times New Roman"/>
          <w:sz w:val="24"/>
          <w:szCs w:val="24"/>
          <w:lang w:eastAsia="hr-HR"/>
        </w:rPr>
        <w:t>.</w:t>
      </w:r>
      <w:r w:rsidRPr="00A639A8">
        <w:rPr>
          <w:rFonts w:ascii="Times New Roman" w:hAnsi="Times New Roman" w:cs="Times New Roman"/>
          <w:sz w:val="24"/>
          <w:szCs w:val="24"/>
          <w:lang w:eastAsia="hr-HR"/>
        </w:rPr>
        <w:t xml:space="preserve">), kao i </w:t>
      </w:r>
      <w:r w:rsidR="00EC086C">
        <w:rPr>
          <w:rFonts w:ascii="Times New Roman" w:hAnsi="Times New Roman" w:cs="Times New Roman"/>
          <w:sz w:val="24"/>
          <w:szCs w:val="24"/>
          <w:lang w:eastAsia="hr-HR"/>
        </w:rPr>
        <w:t xml:space="preserve">na dostavu </w:t>
      </w:r>
      <w:r w:rsidR="00EC086C" w:rsidRPr="004C7E5C">
        <w:rPr>
          <w:rFonts w:ascii="Times New Roman" w:hAnsi="Times New Roman" w:cs="Times New Roman"/>
          <w:sz w:val="24"/>
          <w:szCs w:val="24"/>
          <w:lang w:eastAsia="hr-HR"/>
        </w:rPr>
        <w:t xml:space="preserve">informacija </w:t>
      </w:r>
      <w:r w:rsidR="003212F6" w:rsidRPr="00C4795F">
        <w:rPr>
          <w:rFonts w:ascii="Times New Roman" w:hAnsi="Times New Roman" w:cs="Times New Roman"/>
          <w:sz w:val="24"/>
          <w:szCs w:val="24"/>
          <w:lang w:eastAsia="hr-HR"/>
        </w:rPr>
        <w:t xml:space="preserve">o </w:t>
      </w:r>
      <w:r w:rsidR="003212F6">
        <w:rPr>
          <w:rFonts w:ascii="Times New Roman" w:hAnsi="Times New Roman" w:cs="Times New Roman"/>
          <w:sz w:val="24"/>
          <w:szCs w:val="24"/>
          <w:lang w:eastAsia="hr-HR"/>
        </w:rPr>
        <w:t xml:space="preserve">nacionalnim </w:t>
      </w:r>
      <w:r w:rsidR="003212F6" w:rsidRPr="00C4795F">
        <w:rPr>
          <w:rFonts w:ascii="Times New Roman" w:hAnsi="Times New Roman" w:cs="Times New Roman"/>
          <w:sz w:val="24"/>
          <w:szCs w:val="24"/>
          <w:lang w:eastAsia="hr-HR"/>
        </w:rPr>
        <w:t>mjerama za prenošenje</w:t>
      </w:r>
      <w:r w:rsidR="003212F6">
        <w:rPr>
          <w:rFonts w:ascii="Times New Roman" w:hAnsi="Times New Roman" w:cs="Times New Roman"/>
          <w:sz w:val="24"/>
          <w:szCs w:val="24"/>
          <w:lang w:eastAsia="hr-HR"/>
        </w:rPr>
        <w:t xml:space="preserve"> </w:t>
      </w:r>
      <w:r w:rsidRPr="00A639A8">
        <w:rPr>
          <w:rFonts w:ascii="Times New Roman" w:hAnsi="Times New Roman" w:cs="Times New Roman"/>
          <w:sz w:val="24"/>
          <w:szCs w:val="24"/>
          <w:lang w:eastAsia="hr-HR"/>
        </w:rPr>
        <w:t xml:space="preserve">Direktive (EU) 2017/2399, </w:t>
      </w:r>
      <w:r w:rsidR="008D3BC3" w:rsidRPr="00A639A8">
        <w:rPr>
          <w:rFonts w:ascii="Times New Roman" w:hAnsi="Times New Roman" w:cs="Times New Roman"/>
          <w:sz w:val="24"/>
          <w:szCs w:val="24"/>
          <w:lang w:eastAsia="hr-HR"/>
        </w:rPr>
        <w:t>kojima se izmjenjuje Direktiva 2014/59/EU, utvrđena je potreba daljnjeg usklađivanja važećeg Zakona s Direktivom 2014/59/EU, kako je izmijenjena Direktivom (EU) 2017/2399</w:t>
      </w:r>
      <w:r w:rsidRPr="00A639A8">
        <w:rPr>
          <w:rFonts w:ascii="Times New Roman" w:hAnsi="Times New Roman" w:cs="Times New Roman"/>
          <w:sz w:val="24"/>
          <w:szCs w:val="24"/>
          <w:lang w:eastAsia="hr-HR"/>
        </w:rPr>
        <w:t>.</w:t>
      </w:r>
    </w:p>
    <w:p w14:paraId="2B653FA8" w14:textId="77777777" w:rsidR="00B6446F" w:rsidRPr="00A639A8" w:rsidRDefault="00B6446F" w:rsidP="00A639A8">
      <w:pPr>
        <w:pStyle w:val="NoSpacing"/>
        <w:jc w:val="both"/>
        <w:rPr>
          <w:rFonts w:ascii="Times New Roman" w:hAnsi="Times New Roman" w:cs="Times New Roman"/>
          <w:sz w:val="24"/>
          <w:szCs w:val="24"/>
          <w:lang w:eastAsia="hr-HR"/>
        </w:rPr>
      </w:pPr>
    </w:p>
    <w:p w14:paraId="5503540E" w14:textId="77777777" w:rsidR="00EB603D" w:rsidRPr="00A639A8" w:rsidRDefault="008D3BC3" w:rsidP="00EB603D">
      <w:pPr>
        <w:pStyle w:val="NoSpacing"/>
        <w:jc w:val="both"/>
        <w:rPr>
          <w:rFonts w:ascii="Times New Roman" w:hAnsi="Times New Roman" w:cs="Times New Roman"/>
          <w:sz w:val="24"/>
          <w:szCs w:val="24"/>
          <w:lang w:eastAsia="hr-HR"/>
        </w:rPr>
      </w:pPr>
      <w:r w:rsidRPr="00A639A8">
        <w:rPr>
          <w:rFonts w:ascii="Times New Roman" w:hAnsi="Times New Roman" w:cs="Times New Roman"/>
          <w:sz w:val="24"/>
          <w:szCs w:val="24"/>
          <w:lang w:eastAsia="hr-HR"/>
        </w:rPr>
        <w:t>Stoga se u</w:t>
      </w:r>
      <w:r w:rsidR="0048516F" w:rsidRPr="00A639A8">
        <w:rPr>
          <w:rFonts w:ascii="Times New Roman" w:hAnsi="Times New Roman" w:cs="Times New Roman"/>
          <w:sz w:val="24"/>
          <w:szCs w:val="24"/>
          <w:lang w:eastAsia="hr-HR"/>
        </w:rPr>
        <w:t xml:space="preserve"> skladu s obvezom kontinuiranog usklađivanja zakonodavstva Republike Hrvatske s pravnom stečevinom Europsk</w:t>
      </w:r>
      <w:r w:rsidRPr="00A639A8">
        <w:rPr>
          <w:rFonts w:ascii="Times New Roman" w:hAnsi="Times New Roman" w:cs="Times New Roman"/>
          <w:sz w:val="24"/>
          <w:szCs w:val="24"/>
          <w:lang w:eastAsia="hr-HR"/>
        </w:rPr>
        <w:t>e unije</w:t>
      </w:r>
      <w:r w:rsidR="0048516F" w:rsidRPr="00A639A8">
        <w:rPr>
          <w:rFonts w:ascii="Times New Roman" w:hAnsi="Times New Roman" w:cs="Times New Roman"/>
          <w:sz w:val="24"/>
          <w:szCs w:val="24"/>
          <w:lang w:eastAsia="hr-HR"/>
        </w:rPr>
        <w:t xml:space="preserve"> ovaj </w:t>
      </w:r>
      <w:r w:rsidR="00EB603D" w:rsidRPr="00A639A8">
        <w:rPr>
          <w:rFonts w:ascii="Times New Roman" w:hAnsi="Times New Roman" w:cs="Times New Roman"/>
          <w:sz w:val="24"/>
          <w:szCs w:val="24"/>
          <w:lang w:eastAsia="hr-HR"/>
        </w:rPr>
        <w:t>Konačni prijedlog</w:t>
      </w:r>
      <w:r w:rsidR="0048516F" w:rsidRPr="00A639A8">
        <w:rPr>
          <w:rFonts w:ascii="Times New Roman" w:hAnsi="Times New Roman" w:cs="Times New Roman"/>
          <w:sz w:val="24"/>
          <w:szCs w:val="24"/>
          <w:lang w:eastAsia="hr-HR"/>
        </w:rPr>
        <w:t xml:space="preserve"> zakona podnosi radi usklađivanja važećeg Zakona s </w:t>
      </w:r>
      <w:r w:rsidR="00EB603D" w:rsidRPr="00A639A8">
        <w:rPr>
          <w:rFonts w:ascii="Times New Roman" w:hAnsi="Times New Roman" w:cs="Times New Roman"/>
          <w:sz w:val="24"/>
          <w:szCs w:val="24"/>
          <w:lang w:eastAsia="hr-HR"/>
        </w:rPr>
        <w:t>Direktivom 2014/59/EU, kako je izmijenjena Direktivom (EU) 2017/2399</w:t>
      </w:r>
      <w:r w:rsidR="0048516F" w:rsidRPr="00A639A8">
        <w:rPr>
          <w:rFonts w:ascii="Times New Roman" w:hAnsi="Times New Roman" w:cs="Times New Roman"/>
          <w:sz w:val="24"/>
          <w:szCs w:val="24"/>
          <w:lang w:eastAsia="hr-HR"/>
        </w:rPr>
        <w:t>.</w:t>
      </w:r>
    </w:p>
    <w:p w14:paraId="1D84D517" w14:textId="77777777" w:rsidR="00EB603D" w:rsidRPr="00A639A8" w:rsidRDefault="00EB603D" w:rsidP="00F52003">
      <w:pPr>
        <w:pStyle w:val="NoSpacing"/>
        <w:jc w:val="both"/>
        <w:rPr>
          <w:rFonts w:ascii="Times New Roman" w:hAnsi="Times New Roman" w:cs="Times New Roman"/>
          <w:sz w:val="24"/>
          <w:szCs w:val="24"/>
          <w:lang w:eastAsia="hr-HR"/>
        </w:rPr>
      </w:pPr>
    </w:p>
    <w:p w14:paraId="46B2B696" w14:textId="5C599FF6" w:rsidR="006052CE" w:rsidRDefault="00F52003" w:rsidP="006052CE">
      <w:pPr>
        <w:spacing w:after="0"/>
        <w:jc w:val="both"/>
        <w:rPr>
          <w:rFonts w:ascii="Times New Roman" w:hAnsi="Times New Roman" w:cs="Times New Roman"/>
          <w:color w:val="231F20"/>
          <w:sz w:val="24"/>
          <w:szCs w:val="24"/>
          <w:lang w:eastAsia="hr-HR"/>
        </w:rPr>
      </w:pPr>
      <w:r>
        <w:rPr>
          <w:rStyle w:val="fontstyle01"/>
          <w:rFonts w:ascii="Times New Roman" w:hAnsi="Times New Roman" w:cs="Times New Roman"/>
          <w:bCs/>
        </w:rPr>
        <w:t>U tom smislu</w:t>
      </w:r>
      <w:r w:rsidR="00EB603D">
        <w:rPr>
          <w:rStyle w:val="fontstyle01"/>
          <w:rFonts w:ascii="Times New Roman" w:hAnsi="Times New Roman" w:cs="Times New Roman"/>
          <w:bCs/>
        </w:rPr>
        <w:t xml:space="preserve"> cilj</w:t>
      </w:r>
      <w:r w:rsidR="00EB603D" w:rsidRPr="00EB603D">
        <w:rPr>
          <w:rStyle w:val="fontstyle01"/>
          <w:rFonts w:ascii="Times New Roman" w:hAnsi="Times New Roman" w:cs="Times New Roman"/>
          <w:bCs/>
        </w:rPr>
        <w:t xml:space="preserve"> </w:t>
      </w:r>
      <w:r>
        <w:rPr>
          <w:rStyle w:val="fontstyle01"/>
          <w:rFonts w:ascii="Times New Roman" w:hAnsi="Times New Roman" w:cs="Times New Roman"/>
          <w:bCs/>
        </w:rPr>
        <w:t xml:space="preserve">je </w:t>
      </w:r>
      <w:r w:rsidR="00EB603D" w:rsidRPr="00EB603D">
        <w:rPr>
          <w:rStyle w:val="fontstyle01"/>
          <w:rFonts w:ascii="Times New Roman" w:hAnsi="Times New Roman" w:cs="Times New Roman"/>
          <w:bCs/>
        </w:rPr>
        <w:t>osigurati da su</w:t>
      </w:r>
      <w:r w:rsidR="00EB603D" w:rsidRPr="00F52003">
        <w:rPr>
          <w:rStyle w:val="fontstyle01"/>
          <w:rFonts w:ascii="Times New Roman" w:hAnsi="Times New Roman" w:cs="Times New Roman"/>
          <w:bCs/>
        </w:rPr>
        <w:t xml:space="preserve"> nepovlašteni </w:t>
      </w:r>
      <w:r w:rsidR="00EB603D" w:rsidRPr="00A639A8">
        <w:rPr>
          <w:rFonts w:ascii="Times New Roman" w:hAnsi="Times New Roman" w:cs="Times New Roman"/>
          <w:color w:val="231F20"/>
          <w:sz w:val="24"/>
          <w:szCs w:val="24"/>
          <w:lang w:eastAsia="hr-HR"/>
        </w:rPr>
        <w:t xml:space="preserve">neosigurani dužnički instrumenti koje izdaju institucije blago subordinirani u odnosu na opći likvidacijski, odnosno stečajni red u kojem se nalaze obične neosigurane obveze. </w:t>
      </w:r>
      <w:r>
        <w:rPr>
          <w:rFonts w:ascii="Times New Roman" w:hAnsi="Times New Roman" w:cs="Times New Roman"/>
          <w:color w:val="231F20"/>
          <w:sz w:val="24"/>
          <w:szCs w:val="24"/>
          <w:lang w:eastAsia="hr-HR"/>
        </w:rPr>
        <w:t>Stoga se</w:t>
      </w:r>
      <w:r w:rsidR="00EB603D" w:rsidRPr="00A639A8">
        <w:rPr>
          <w:rFonts w:ascii="Times New Roman" w:hAnsi="Times New Roman" w:cs="Times New Roman"/>
          <w:color w:val="231F20"/>
          <w:sz w:val="24"/>
          <w:szCs w:val="24"/>
          <w:lang w:eastAsia="hr-HR"/>
        </w:rPr>
        <w:t xml:space="preserve"> propisuje da se nepovlašteni neosigurani dužnički instrumenti u redovnom postupku zbog insolventnosti </w:t>
      </w:r>
      <w:r w:rsidR="000673BF">
        <w:rPr>
          <w:rFonts w:ascii="Times New Roman" w:hAnsi="Times New Roman" w:cs="Times New Roman"/>
          <w:bCs/>
          <w:sz w:val="24"/>
          <w:szCs w:val="24"/>
        </w:rPr>
        <w:t>utvrđuju</w:t>
      </w:r>
      <w:r w:rsidR="000673BF" w:rsidRPr="00320D35">
        <w:rPr>
          <w:rFonts w:ascii="Times New Roman" w:hAnsi="Times New Roman" w:cs="Times New Roman"/>
          <w:bCs/>
          <w:sz w:val="24"/>
          <w:szCs w:val="24"/>
        </w:rPr>
        <w:t xml:space="preserve"> kao poseban viši isplatni red </w:t>
      </w:r>
      <w:r w:rsidR="000673BF">
        <w:rPr>
          <w:rFonts w:ascii="Times New Roman" w:hAnsi="Times New Roman" w:cs="Times New Roman"/>
          <w:bCs/>
          <w:sz w:val="24"/>
          <w:szCs w:val="24"/>
        </w:rPr>
        <w:t>koji</w:t>
      </w:r>
      <w:r w:rsidR="000673BF" w:rsidRPr="00320D35">
        <w:rPr>
          <w:rFonts w:ascii="Times New Roman" w:hAnsi="Times New Roman" w:cs="Times New Roman"/>
          <w:bCs/>
          <w:sz w:val="24"/>
          <w:szCs w:val="24"/>
        </w:rPr>
        <w:t xml:space="preserve"> se </w:t>
      </w:r>
      <w:r w:rsidR="000673BF">
        <w:rPr>
          <w:rFonts w:ascii="Times New Roman" w:hAnsi="Times New Roman" w:cs="Times New Roman"/>
          <w:bCs/>
          <w:sz w:val="24"/>
          <w:szCs w:val="24"/>
        </w:rPr>
        <w:t>namiruje</w:t>
      </w:r>
      <w:r w:rsidR="000673BF" w:rsidRPr="00320D35">
        <w:rPr>
          <w:rFonts w:ascii="Times New Roman" w:hAnsi="Times New Roman" w:cs="Times New Roman"/>
          <w:bCs/>
          <w:sz w:val="24"/>
          <w:szCs w:val="24"/>
        </w:rPr>
        <w:t xml:space="preserve"> poslije </w:t>
      </w:r>
      <w:r w:rsidR="000673BF">
        <w:rPr>
          <w:rFonts w:ascii="Times New Roman" w:hAnsi="Times New Roman" w:cs="Times New Roman"/>
          <w:bCs/>
          <w:sz w:val="24"/>
          <w:szCs w:val="24"/>
        </w:rPr>
        <w:t>drugih tražbina viš</w:t>
      </w:r>
      <w:r w:rsidR="000673BF" w:rsidRPr="00320D35">
        <w:rPr>
          <w:rFonts w:ascii="Times New Roman" w:hAnsi="Times New Roman" w:cs="Times New Roman"/>
          <w:bCs/>
          <w:sz w:val="24"/>
          <w:szCs w:val="24"/>
        </w:rPr>
        <w:t xml:space="preserve">ih isplatnih redova, a prije </w:t>
      </w:r>
      <w:r w:rsidR="000673BF">
        <w:rPr>
          <w:rFonts w:ascii="Times New Roman" w:hAnsi="Times New Roman" w:cs="Times New Roman"/>
          <w:bCs/>
          <w:sz w:val="24"/>
          <w:szCs w:val="24"/>
        </w:rPr>
        <w:t>traž</w:t>
      </w:r>
      <w:r w:rsidR="000673BF" w:rsidRPr="00320D35">
        <w:rPr>
          <w:rFonts w:ascii="Times New Roman" w:hAnsi="Times New Roman" w:cs="Times New Roman"/>
          <w:bCs/>
          <w:sz w:val="24"/>
          <w:szCs w:val="24"/>
        </w:rPr>
        <w:t xml:space="preserve">bina </w:t>
      </w:r>
      <w:r w:rsidR="000673BF">
        <w:rPr>
          <w:rFonts w:ascii="Times New Roman" w:hAnsi="Times New Roman" w:cs="Times New Roman"/>
          <w:bCs/>
          <w:sz w:val="24"/>
          <w:szCs w:val="24"/>
        </w:rPr>
        <w:t>niž</w:t>
      </w:r>
      <w:r w:rsidR="000673BF" w:rsidRPr="00320D35">
        <w:rPr>
          <w:rFonts w:ascii="Times New Roman" w:hAnsi="Times New Roman" w:cs="Times New Roman"/>
          <w:bCs/>
          <w:sz w:val="24"/>
          <w:szCs w:val="24"/>
        </w:rPr>
        <w:t xml:space="preserve">ih </w:t>
      </w:r>
      <w:r w:rsidR="000673BF">
        <w:rPr>
          <w:rFonts w:ascii="Times New Roman" w:hAnsi="Times New Roman" w:cs="Times New Roman"/>
          <w:bCs/>
          <w:sz w:val="24"/>
          <w:szCs w:val="24"/>
        </w:rPr>
        <w:t>isplatnih</w:t>
      </w:r>
      <w:r w:rsidR="000673BF" w:rsidRPr="00320D35">
        <w:rPr>
          <w:rFonts w:ascii="Times New Roman" w:hAnsi="Times New Roman" w:cs="Times New Roman"/>
          <w:bCs/>
          <w:sz w:val="24"/>
          <w:szCs w:val="24"/>
        </w:rPr>
        <w:t xml:space="preserve"> </w:t>
      </w:r>
      <w:r w:rsidR="000673BF">
        <w:rPr>
          <w:rFonts w:ascii="Times New Roman" w:hAnsi="Times New Roman" w:cs="Times New Roman"/>
          <w:bCs/>
          <w:sz w:val="24"/>
          <w:szCs w:val="24"/>
        </w:rPr>
        <w:t>redova</w:t>
      </w:r>
      <w:r w:rsidR="00EB603D" w:rsidRPr="00A639A8">
        <w:rPr>
          <w:rFonts w:ascii="Times New Roman" w:hAnsi="Times New Roman" w:cs="Times New Roman"/>
          <w:color w:val="231F20"/>
          <w:sz w:val="24"/>
          <w:szCs w:val="24"/>
          <w:lang w:eastAsia="hr-HR"/>
        </w:rPr>
        <w:t>.</w:t>
      </w:r>
      <w:r w:rsidR="006052CE">
        <w:rPr>
          <w:rFonts w:ascii="Times New Roman" w:hAnsi="Times New Roman" w:cs="Times New Roman"/>
          <w:color w:val="231F20"/>
          <w:sz w:val="24"/>
          <w:szCs w:val="24"/>
          <w:lang w:eastAsia="hr-HR"/>
        </w:rPr>
        <w:t xml:space="preserve"> Predložena h</w:t>
      </w:r>
      <w:r w:rsidR="006052CE" w:rsidRPr="004F022C">
        <w:rPr>
          <w:rFonts w:ascii="Times New Roman" w:hAnsi="Times New Roman" w:cs="Times New Roman"/>
          <w:color w:val="231F20"/>
          <w:sz w:val="24"/>
          <w:szCs w:val="24"/>
          <w:lang w:eastAsia="hr-HR"/>
        </w:rPr>
        <w:t xml:space="preserve">ijerarhija tražbina </w:t>
      </w:r>
      <w:r w:rsidR="004D6707" w:rsidRPr="004D6707">
        <w:rPr>
          <w:rFonts w:ascii="Times New Roman" w:hAnsi="Times New Roman" w:cs="Times New Roman"/>
          <w:color w:val="231F20"/>
          <w:sz w:val="24"/>
          <w:szCs w:val="24"/>
          <w:lang w:eastAsia="hr-HR"/>
        </w:rPr>
        <w:t xml:space="preserve">u postupku prisilne likvidacije </w:t>
      </w:r>
      <w:r w:rsidR="006052CE">
        <w:rPr>
          <w:rFonts w:ascii="Times New Roman" w:hAnsi="Times New Roman" w:cs="Times New Roman"/>
          <w:color w:val="231F20"/>
          <w:sz w:val="24"/>
          <w:szCs w:val="24"/>
          <w:lang w:eastAsia="hr-HR"/>
        </w:rPr>
        <w:t>prikazana je niže.</w:t>
      </w:r>
    </w:p>
    <w:p w14:paraId="511371E2" w14:textId="7A528AE1" w:rsidR="006052CE" w:rsidRPr="00625776" w:rsidRDefault="00212F97" w:rsidP="006052CE">
      <w:pPr>
        <w:spacing w:after="0"/>
        <w:jc w:val="both"/>
        <w:rPr>
          <w:rFonts w:ascii="Times New Roman" w:hAnsi="Times New Roman" w:cs="Times New Roman"/>
          <w:color w:val="231F20"/>
          <w:sz w:val="24"/>
          <w:szCs w:val="24"/>
          <w:lang w:eastAsia="hr-HR"/>
        </w:rPr>
      </w:pPr>
      <w:r w:rsidRPr="00625776">
        <w:rPr>
          <w:rFonts w:ascii="Times New Roman" w:hAnsi="Times New Roman" w:cs="Times New Roman"/>
          <w:b/>
          <w:bCs/>
          <w:noProof/>
          <w:color w:val="231F20"/>
          <w:sz w:val="24"/>
          <w:szCs w:val="24"/>
          <w:lang w:eastAsia="hr-HR"/>
        </w:rPr>
        <mc:AlternateContent>
          <mc:Choice Requires="wps">
            <w:drawing>
              <wp:anchor distT="0" distB="0" distL="114300" distR="114300" simplePos="0" relativeHeight="251659264" behindDoc="0" locked="0" layoutInCell="1" allowOverlap="1" wp14:anchorId="0B80EB6B" wp14:editId="22122AE0">
                <wp:simplePos x="0" y="0"/>
                <wp:positionH relativeFrom="column">
                  <wp:posOffset>4153156</wp:posOffset>
                </wp:positionH>
                <wp:positionV relativeFrom="paragraph">
                  <wp:posOffset>473034</wp:posOffset>
                </wp:positionV>
                <wp:extent cx="333375" cy="2280062"/>
                <wp:effectExtent l="0" t="0" r="47625" b="25400"/>
                <wp:wrapNone/>
                <wp:docPr id="3" name="Desna vitičasta zagrada 3"/>
                <wp:cNvGraphicFramePr/>
                <a:graphic xmlns:a="http://schemas.openxmlformats.org/drawingml/2006/main">
                  <a:graphicData uri="http://schemas.microsoft.com/office/word/2010/wordprocessingShape">
                    <wps:wsp>
                      <wps:cNvSpPr/>
                      <wps:spPr>
                        <a:xfrm>
                          <a:off x="0" y="0"/>
                          <a:ext cx="333375" cy="2280062"/>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AC0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a vitičasta zagrada 3" o:spid="_x0000_s1026" type="#_x0000_t88" style="position:absolute;margin-left:327pt;margin-top:37.25pt;width:26.25pt;height:1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" adj="263" strokecolor="black [3213]" strokeweight="1.5pt">
                <v:stroke joinstyle="miter"/>
              </v:shape>
            </w:pict>
          </mc:Fallback>
        </mc:AlternateContent>
      </w:r>
      <w:r w:rsidR="006052CE" w:rsidRPr="00625776">
        <w:rPr>
          <w:rFonts w:ascii="Times New Roman" w:hAnsi="Times New Roman" w:cs="Times New Roman"/>
          <w:noProof/>
          <w:color w:val="231F20"/>
          <w:sz w:val="24"/>
          <w:szCs w:val="24"/>
          <w:lang w:eastAsia="hr-HR"/>
        </w:rPr>
        <mc:AlternateContent>
          <mc:Choice Requires="wps">
            <w:drawing>
              <wp:anchor distT="45720" distB="45720" distL="114300" distR="114300" simplePos="0" relativeHeight="251660288" behindDoc="0" locked="0" layoutInCell="1" allowOverlap="1" wp14:anchorId="530670A5" wp14:editId="6674F24D">
                <wp:simplePos x="0" y="0"/>
                <wp:positionH relativeFrom="column">
                  <wp:posOffset>4643397</wp:posOffset>
                </wp:positionH>
                <wp:positionV relativeFrom="paragraph">
                  <wp:posOffset>1532282</wp:posOffset>
                </wp:positionV>
                <wp:extent cx="987324" cy="197511"/>
                <wp:effectExtent l="0" t="0" r="22860" b="12065"/>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324" cy="197511"/>
                        </a:xfrm>
                        <a:prstGeom prst="rect">
                          <a:avLst/>
                        </a:prstGeom>
                        <a:solidFill>
                          <a:schemeClr val="bg1"/>
                        </a:solidFill>
                        <a:ln w="9525">
                          <a:solidFill>
                            <a:srgbClr val="000000"/>
                          </a:solidFill>
                          <a:miter lim="800000"/>
                          <a:headEnd/>
                          <a:tailEnd/>
                        </a:ln>
                      </wps:spPr>
                      <wps:txbx>
                        <w:txbxContent>
                          <w:p w14:paraId="6555A381" w14:textId="77777777" w:rsidR="006052CE" w:rsidRPr="004F022C" w:rsidRDefault="006052CE" w:rsidP="006052CE">
                            <w:pPr>
                              <w:rPr>
                                <w:sz w:val="14"/>
                                <w:szCs w:val="14"/>
                              </w:rPr>
                            </w:pPr>
                            <w:r w:rsidRPr="00625776">
                              <w:rPr>
                                <w:sz w:val="14"/>
                                <w:szCs w:val="14"/>
                              </w:rPr>
                              <w:t>VIŠI ISPLATNI REDOVI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70A5" id="_x0000_t202" coordsize="21600,21600" o:spt="202" path="m,l,21600r21600,l21600,xe">
                <v:stroke joinstyle="miter"/>
                <v:path gradientshapeok="t" o:connecttype="rect"/>
              </v:shapetype>
              <v:shape id="Tekstni okvir 2" o:spid="_x0000_s1026" type="#_x0000_t202" style="position:absolute;left:0;text-align:left;margin-left:365.6pt;margin-top:120.65pt;width:77.7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" fillcolor="white [3212]">
                <v:textbox>
                  <w:txbxContent>
                    <w:p w14:paraId="6555A381" w14:textId="77777777" w:rsidR="006052CE" w:rsidRPr="004F022C" w:rsidRDefault="006052CE" w:rsidP="006052CE">
                      <w:pPr>
                        <w:rPr>
                          <w:sz w:val="14"/>
                          <w:szCs w:val="14"/>
                        </w:rPr>
                      </w:pPr>
                      <w:r w:rsidRPr="00625776">
                        <w:rPr>
                          <w:sz w:val="14"/>
                          <w:szCs w:val="14"/>
                        </w:rPr>
                        <w:t>VIŠI ISPLATNI REDOVI</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1"/>
      </w:tblGrid>
      <w:tr w:rsidR="006052CE" w:rsidRPr="00625776" w14:paraId="3A469745" w14:textId="77777777" w:rsidTr="00F5018E">
        <w:tc>
          <w:tcPr>
            <w:tcW w:w="6261" w:type="dxa"/>
            <w:tcBorders>
              <w:top w:val="single" w:sz="4" w:space="0" w:color="auto"/>
              <w:left w:val="single" w:sz="4" w:space="0" w:color="auto"/>
              <w:bottom w:val="single" w:sz="4" w:space="0" w:color="auto"/>
              <w:right w:val="single" w:sz="4" w:space="0" w:color="auto"/>
            </w:tcBorders>
            <w:shd w:val="clear" w:color="auto" w:fill="auto"/>
          </w:tcPr>
          <w:p w14:paraId="7204B953" w14:textId="77777777" w:rsidR="006052CE" w:rsidRPr="00625776" w:rsidRDefault="006052CE" w:rsidP="00F5018E">
            <w:pPr>
              <w:jc w:val="both"/>
              <w:rPr>
                <w:b/>
                <w:bCs/>
                <w:color w:val="231F20"/>
                <w:sz w:val="24"/>
                <w:szCs w:val="24"/>
              </w:rPr>
            </w:pPr>
            <w:r w:rsidRPr="00625776">
              <w:rPr>
                <w:color w:val="231F20"/>
                <w:sz w:val="24"/>
                <w:szCs w:val="24"/>
              </w:rPr>
              <w:t>Tražbine iz radnih odnosa (plaće, otpremnine, doprinosi, štete zbog ozljede na radu)</w:t>
            </w:r>
          </w:p>
        </w:tc>
      </w:tr>
      <w:tr w:rsidR="006052CE" w:rsidRPr="00625776" w14:paraId="6992ACBF" w14:textId="77777777" w:rsidTr="00F5018E">
        <w:trPr>
          <w:trHeight w:val="113"/>
        </w:trPr>
        <w:tc>
          <w:tcPr>
            <w:tcW w:w="6261" w:type="dxa"/>
            <w:tcBorders>
              <w:top w:val="single" w:sz="4" w:space="0" w:color="auto"/>
              <w:bottom w:val="single" w:sz="4" w:space="0" w:color="auto"/>
            </w:tcBorders>
          </w:tcPr>
          <w:p w14:paraId="4125FE1E" w14:textId="77777777" w:rsidR="006052CE" w:rsidRPr="00625776" w:rsidRDefault="006052CE" w:rsidP="00F5018E">
            <w:pPr>
              <w:jc w:val="both"/>
              <w:rPr>
                <w:color w:val="231F20"/>
                <w:sz w:val="24"/>
                <w:szCs w:val="24"/>
              </w:rPr>
            </w:pPr>
          </w:p>
        </w:tc>
      </w:tr>
      <w:tr w:rsidR="006052CE" w:rsidRPr="00625776" w14:paraId="269711D3" w14:textId="77777777" w:rsidTr="00F5018E">
        <w:tc>
          <w:tcPr>
            <w:tcW w:w="6261" w:type="dxa"/>
            <w:tcBorders>
              <w:top w:val="single" w:sz="4" w:space="0" w:color="auto"/>
              <w:left w:val="single" w:sz="4" w:space="0" w:color="auto"/>
              <w:bottom w:val="single" w:sz="4" w:space="0" w:color="auto"/>
              <w:right w:val="single" w:sz="4" w:space="0" w:color="auto"/>
            </w:tcBorders>
            <w:shd w:val="clear" w:color="auto" w:fill="auto"/>
          </w:tcPr>
          <w:p w14:paraId="3AFA1226" w14:textId="77777777" w:rsidR="006052CE" w:rsidRPr="00625776" w:rsidRDefault="006052CE" w:rsidP="00F5018E">
            <w:pPr>
              <w:jc w:val="both"/>
              <w:rPr>
                <w:color w:val="231F20"/>
                <w:sz w:val="24"/>
                <w:szCs w:val="24"/>
              </w:rPr>
            </w:pPr>
            <w:r w:rsidRPr="00625776">
              <w:rPr>
                <w:color w:val="231F20"/>
                <w:sz w:val="24"/>
                <w:szCs w:val="24"/>
              </w:rPr>
              <w:t xml:space="preserve">Tražbine </w:t>
            </w:r>
            <w:r>
              <w:rPr>
                <w:color w:val="231F20"/>
                <w:sz w:val="24"/>
                <w:szCs w:val="24"/>
              </w:rPr>
              <w:t>Hrvatske narodne banke</w:t>
            </w:r>
            <w:r w:rsidRPr="00625776">
              <w:rPr>
                <w:color w:val="231F20"/>
                <w:sz w:val="24"/>
                <w:szCs w:val="24"/>
              </w:rPr>
              <w:t xml:space="preserve"> i tražbine po osnovi javnih davanja </w:t>
            </w:r>
          </w:p>
        </w:tc>
      </w:tr>
      <w:tr w:rsidR="006052CE" w:rsidRPr="00625776" w14:paraId="14834401" w14:textId="77777777" w:rsidTr="00F5018E">
        <w:trPr>
          <w:trHeight w:val="113"/>
        </w:trPr>
        <w:tc>
          <w:tcPr>
            <w:tcW w:w="6261" w:type="dxa"/>
            <w:tcBorders>
              <w:top w:val="single" w:sz="4" w:space="0" w:color="auto"/>
              <w:bottom w:val="single" w:sz="4" w:space="0" w:color="auto"/>
            </w:tcBorders>
          </w:tcPr>
          <w:p w14:paraId="0C939336" w14:textId="77777777" w:rsidR="006052CE" w:rsidRPr="00625776" w:rsidRDefault="006052CE" w:rsidP="00F5018E">
            <w:pPr>
              <w:jc w:val="both"/>
              <w:rPr>
                <w:color w:val="231F20"/>
                <w:sz w:val="24"/>
                <w:szCs w:val="24"/>
              </w:rPr>
            </w:pPr>
          </w:p>
        </w:tc>
      </w:tr>
      <w:tr w:rsidR="006052CE" w:rsidRPr="00625776" w14:paraId="18777597" w14:textId="77777777" w:rsidTr="00F5018E">
        <w:trPr>
          <w:trHeight w:val="283"/>
        </w:trPr>
        <w:tc>
          <w:tcPr>
            <w:tcW w:w="6261" w:type="dxa"/>
            <w:tcBorders>
              <w:top w:val="single" w:sz="4" w:space="0" w:color="auto"/>
              <w:left w:val="single" w:sz="4" w:space="0" w:color="auto"/>
              <w:bottom w:val="single" w:sz="4" w:space="0" w:color="auto"/>
              <w:right w:val="single" w:sz="4" w:space="0" w:color="auto"/>
            </w:tcBorders>
            <w:shd w:val="clear" w:color="auto" w:fill="auto"/>
          </w:tcPr>
          <w:p w14:paraId="0AD4957C" w14:textId="77777777" w:rsidR="006052CE" w:rsidRPr="00625776" w:rsidRDefault="006052CE" w:rsidP="00F5018E">
            <w:pPr>
              <w:jc w:val="both"/>
              <w:rPr>
                <w:color w:val="231F20"/>
                <w:sz w:val="24"/>
                <w:szCs w:val="24"/>
              </w:rPr>
            </w:pPr>
            <w:r w:rsidRPr="00625776">
              <w:rPr>
                <w:color w:val="231F20"/>
                <w:sz w:val="24"/>
                <w:szCs w:val="24"/>
              </w:rPr>
              <w:t>Tražbine osiguranih depozita/H</w:t>
            </w:r>
            <w:r>
              <w:rPr>
                <w:color w:val="231F20"/>
                <w:sz w:val="24"/>
                <w:szCs w:val="24"/>
              </w:rPr>
              <w:t>rvatske agencije za osiguranje depozita</w:t>
            </w:r>
          </w:p>
        </w:tc>
      </w:tr>
      <w:tr w:rsidR="006052CE" w:rsidRPr="00625776" w14:paraId="67C0ED7B" w14:textId="77777777" w:rsidTr="00F5018E">
        <w:trPr>
          <w:trHeight w:val="113"/>
        </w:trPr>
        <w:tc>
          <w:tcPr>
            <w:tcW w:w="6261" w:type="dxa"/>
            <w:tcBorders>
              <w:top w:val="single" w:sz="4" w:space="0" w:color="auto"/>
              <w:bottom w:val="single" w:sz="4" w:space="0" w:color="auto"/>
            </w:tcBorders>
          </w:tcPr>
          <w:p w14:paraId="39E6D688" w14:textId="77777777" w:rsidR="006052CE" w:rsidRPr="00625776" w:rsidRDefault="006052CE" w:rsidP="00F5018E">
            <w:pPr>
              <w:jc w:val="both"/>
              <w:rPr>
                <w:color w:val="231F20"/>
                <w:sz w:val="24"/>
                <w:szCs w:val="24"/>
              </w:rPr>
            </w:pPr>
          </w:p>
        </w:tc>
      </w:tr>
      <w:tr w:rsidR="006052CE" w:rsidRPr="00625776" w14:paraId="542DD181" w14:textId="77777777" w:rsidTr="00F5018E">
        <w:tc>
          <w:tcPr>
            <w:tcW w:w="6261" w:type="dxa"/>
            <w:tcBorders>
              <w:top w:val="single" w:sz="4" w:space="0" w:color="auto"/>
              <w:left w:val="single" w:sz="4" w:space="0" w:color="auto"/>
              <w:bottom w:val="single" w:sz="4" w:space="0" w:color="auto"/>
              <w:right w:val="single" w:sz="4" w:space="0" w:color="auto"/>
            </w:tcBorders>
            <w:shd w:val="clear" w:color="auto" w:fill="auto"/>
          </w:tcPr>
          <w:p w14:paraId="6F636BDC" w14:textId="77777777" w:rsidR="006052CE" w:rsidRPr="00625776" w:rsidRDefault="006052CE" w:rsidP="00F5018E">
            <w:pPr>
              <w:jc w:val="both"/>
              <w:rPr>
                <w:color w:val="231F20"/>
                <w:sz w:val="24"/>
                <w:szCs w:val="24"/>
              </w:rPr>
            </w:pPr>
            <w:r w:rsidRPr="00625776">
              <w:rPr>
                <w:color w:val="231F20"/>
                <w:sz w:val="24"/>
                <w:szCs w:val="24"/>
              </w:rPr>
              <w:t>Tražbine prihvatljivih depozita fizičkih osoba, mikro, malih i srednjih subjekata malog gospodarstva</w:t>
            </w:r>
          </w:p>
        </w:tc>
      </w:tr>
      <w:tr w:rsidR="006052CE" w:rsidRPr="00625776" w14:paraId="17E40F34" w14:textId="77777777" w:rsidTr="00F5018E">
        <w:trPr>
          <w:trHeight w:val="113"/>
        </w:trPr>
        <w:tc>
          <w:tcPr>
            <w:tcW w:w="6261" w:type="dxa"/>
            <w:tcBorders>
              <w:top w:val="single" w:sz="4" w:space="0" w:color="auto"/>
              <w:bottom w:val="single" w:sz="4" w:space="0" w:color="auto"/>
            </w:tcBorders>
          </w:tcPr>
          <w:p w14:paraId="7CCB21FE" w14:textId="77777777" w:rsidR="006052CE" w:rsidRPr="00625776" w:rsidRDefault="006052CE" w:rsidP="00F5018E">
            <w:pPr>
              <w:jc w:val="both"/>
              <w:rPr>
                <w:color w:val="231F20"/>
                <w:sz w:val="24"/>
                <w:szCs w:val="24"/>
              </w:rPr>
            </w:pPr>
          </w:p>
        </w:tc>
      </w:tr>
      <w:tr w:rsidR="006052CE" w:rsidRPr="00625776" w14:paraId="4E3576E4" w14:textId="77777777" w:rsidTr="00F5018E">
        <w:tc>
          <w:tcPr>
            <w:tcW w:w="6261" w:type="dxa"/>
            <w:tcBorders>
              <w:top w:val="single" w:sz="4" w:space="0" w:color="auto"/>
              <w:left w:val="single" w:sz="4" w:space="0" w:color="auto"/>
              <w:bottom w:val="single" w:sz="4" w:space="0" w:color="auto"/>
              <w:right w:val="single" w:sz="4" w:space="0" w:color="auto"/>
            </w:tcBorders>
            <w:shd w:val="clear" w:color="auto" w:fill="auto"/>
          </w:tcPr>
          <w:p w14:paraId="2327F02B" w14:textId="77777777" w:rsidR="006052CE" w:rsidRPr="00625776" w:rsidRDefault="006052CE" w:rsidP="00F5018E">
            <w:pPr>
              <w:jc w:val="both"/>
              <w:rPr>
                <w:color w:val="231F20"/>
                <w:sz w:val="24"/>
                <w:szCs w:val="24"/>
              </w:rPr>
            </w:pPr>
            <w:r w:rsidRPr="00625776">
              <w:rPr>
                <w:color w:val="231F20"/>
                <w:sz w:val="24"/>
                <w:szCs w:val="24"/>
              </w:rPr>
              <w:t>Tražbine ostalih prihvatljivih depozita</w:t>
            </w:r>
          </w:p>
        </w:tc>
      </w:tr>
      <w:tr w:rsidR="006052CE" w:rsidRPr="00625776" w14:paraId="5E3B5F31" w14:textId="77777777" w:rsidTr="00F5018E">
        <w:trPr>
          <w:trHeight w:val="113"/>
        </w:trPr>
        <w:tc>
          <w:tcPr>
            <w:tcW w:w="6261" w:type="dxa"/>
            <w:tcBorders>
              <w:top w:val="single" w:sz="4" w:space="0" w:color="auto"/>
              <w:bottom w:val="single" w:sz="4" w:space="0" w:color="auto"/>
            </w:tcBorders>
          </w:tcPr>
          <w:p w14:paraId="741ED76D" w14:textId="77777777" w:rsidR="006052CE" w:rsidRPr="00625776" w:rsidRDefault="006052CE" w:rsidP="00F5018E">
            <w:pPr>
              <w:jc w:val="both"/>
              <w:rPr>
                <w:color w:val="231F20"/>
                <w:sz w:val="24"/>
                <w:szCs w:val="24"/>
              </w:rPr>
            </w:pPr>
          </w:p>
        </w:tc>
      </w:tr>
      <w:tr w:rsidR="006052CE" w:rsidRPr="00625776" w14:paraId="24174287" w14:textId="77777777" w:rsidTr="00F5018E">
        <w:tc>
          <w:tcPr>
            <w:tcW w:w="6261" w:type="dxa"/>
            <w:tcBorders>
              <w:top w:val="single" w:sz="4" w:space="0" w:color="auto"/>
              <w:left w:val="single" w:sz="4" w:space="0" w:color="auto"/>
              <w:bottom w:val="single" w:sz="4" w:space="0" w:color="auto"/>
              <w:right w:val="single" w:sz="4" w:space="0" w:color="auto"/>
            </w:tcBorders>
            <w:shd w:val="clear" w:color="auto" w:fill="auto"/>
          </w:tcPr>
          <w:p w14:paraId="26BFB88A" w14:textId="77777777" w:rsidR="006052CE" w:rsidRPr="00625776" w:rsidRDefault="006052CE" w:rsidP="00F5018E">
            <w:pPr>
              <w:jc w:val="both"/>
              <w:rPr>
                <w:color w:val="231F20"/>
                <w:sz w:val="24"/>
                <w:szCs w:val="24"/>
              </w:rPr>
            </w:pPr>
            <w:r w:rsidRPr="00625776">
              <w:rPr>
                <w:color w:val="231F20"/>
                <w:sz w:val="24"/>
                <w:szCs w:val="24"/>
              </w:rPr>
              <w:t>Obične neosigurane tražbine</w:t>
            </w:r>
          </w:p>
        </w:tc>
      </w:tr>
    </w:tbl>
    <w:p w14:paraId="2B5FF7F5" w14:textId="651E77EF" w:rsidR="006052CE" w:rsidRPr="00625776" w:rsidRDefault="000673BF" w:rsidP="006052CE">
      <w:pPr>
        <w:jc w:val="both"/>
        <w:rPr>
          <w:rFonts w:ascii="Times New Roman" w:hAnsi="Times New Roman" w:cs="Times New Roman"/>
          <w:color w:val="231F20"/>
          <w:sz w:val="24"/>
          <w:szCs w:val="24"/>
          <w:lang w:eastAsia="hr-HR"/>
        </w:rPr>
      </w:pPr>
      <w:r w:rsidRPr="00625776">
        <w:rPr>
          <w:rFonts w:ascii="Times New Roman" w:hAnsi="Times New Roman" w:cs="Times New Roman"/>
          <w:noProof/>
          <w:color w:val="231F20"/>
          <w:sz w:val="24"/>
          <w:szCs w:val="24"/>
          <w:lang w:eastAsia="hr-HR"/>
        </w:rPr>
        <mc:AlternateContent>
          <mc:Choice Requires="wps">
            <w:drawing>
              <wp:anchor distT="45720" distB="45720" distL="114300" distR="114300" simplePos="0" relativeHeight="251663360" behindDoc="0" locked="0" layoutInCell="1" allowOverlap="1" wp14:anchorId="55FE6537" wp14:editId="4CF2F379">
                <wp:simplePos x="0" y="0"/>
                <wp:positionH relativeFrom="column">
                  <wp:posOffset>4559139</wp:posOffset>
                </wp:positionH>
                <wp:positionV relativeFrom="paragraph">
                  <wp:posOffset>274822</wp:posOffset>
                </wp:positionV>
                <wp:extent cx="1045845" cy="334370"/>
                <wp:effectExtent l="0" t="0" r="20955" b="27940"/>
                <wp:wrapNone/>
                <wp:docPr id="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34370"/>
                        </a:xfrm>
                        <a:prstGeom prst="rect">
                          <a:avLst/>
                        </a:prstGeom>
                        <a:solidFill>
                          <a:schemeClr val="bg1"/>
                        </a:solidFill>
                        <a:ln w="9525">
                          <a:solidFill>
                            <a:srgbClr val="000000"/>
                          </a:solidFill>
                          <a:miter lim="800000"/>
                          <a:headEnd/>
                          <a:tailEnd/>
                        </a:ln>
                      </wps:spPr>
                      <wps:txbx>
                        <w:txbxContent>
                          <w:p w14:paraId="1710D0E0" w14:textId="72209E72" w:rsidR="006052CE" w:rsidRPr="004F022C" w:rsidRDefault="006052CE" w:rsidP="006052CE">
                            <w:pPr>
                              <w:rPr>
                                <w:sz w:val="14"/>
                                <w:szCs w:val="14"/>
                              </w:rPr>
                            </w:pPr>
                            <w:r w:rsidRPr="0016351D">
                              <w:rPr>
                                <w:sz w:val="14"/>
                                <w:szCs w:val="14"/>
                              </w:rPr>
                              <w:t>POSEB</w:t>
                            </w:r>
                            <w:r w:rsidR="000673BF">
                              <w:rPr>
                                <w:sz w:val="14"/>
                                <w:szCs w:val="14"/>
                              </w:rPr>
                              <w:t>AN</w:t>
                            </w:r>
                            <w:r w:rsidRPr="0016351D">
                              <w:rPr>
                                <w:sz w:val="14"/>
                                <w:szCs w:val="14"/>
                              </w:rPr>
                              <w:t xml:space="preserve"> </w:t>
                            </w:r>
                            <w:r w:rsidR="000673BF">
                              <w:rPr>
                                <w:sz w:val="14"/>
                                <w:szCs w:val="14"/>
                              </w:rPr>
                              <w:t>VIŠI ISPLATNI 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E6537" id="_x0000_s1027" type="#_x0000_t202" style="position:absolute;left:0;text-align:left;margin-left:359pt;margin-top:21.65pt;width:82.35pt;height:26.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" fillcolor="white [3212]">
                <v:textbox>
                  <w:txbxContent>
                    <w:p w14:paraId="1710D0E0" w14:textId="72209E72" w:rsidR="006052CE" w:rsidRPr="004F022C" w:rsidRDefault="006052CE" w:rsidP="006052CE">
                      <w:pPr>
                        <w:rPr>
                          <w:sz w:val="14"/>
                          <w:szCs w:val="14"/>
                        </w:rPr>
                      </w:pPr>
                      <w:r w:rsidRPr="0016351D">
                        <w:rPr>
                          <w:sz w:val="14"/>
                          <w:szCs w:val="14"/>
                        </w:rPr>
                        <w:t>POSEB</w:t>
                      </w:r>
                      <w:r w:rsidR="000673BF">
                        <w:rPr>
                          <w:sz w:val="14"/>
                          <w:szCs w:val="14"/>
                        </w:rPr>
                        <w:t>AN</w:t>
                      </w:r>
                      <w:r w:rsidRPr="0016351D">
                        <w:rPr>
                          <w:sz w:val="14"/>
                          <w:szCs w:val="14"/>
                        </w:rPr>
                        <w:t xml:space="preserve"> </w:t>
                      </w:r>
                      <w:r w:rsidR="000673BF">
                        <w:rPr>
                          <w:sz w:val="14"/>
                          <w:szCs w:val="14"/>
                        </w:rPr>
                        <w:t>VIŠI ISPLATNI RED</w:t>
                      </w:r>
                    </w:p>
                  </w:txbxContent>
                </v:textbox>
              </v:shape>
            </w:pict>
          </mc:Fallback>
        </mc:AlternateContent>
      </w:r>
      <w:r w:rsidR="006052CE" w:rsidRPr="00625776">
        <w:rPr>
          <w:rFonts w:ascii="Times New Roman" w:hAnsi="Times New Roman" w:cs="Times New Roman"/>
          <w:noProof/>
          <w:color w:val="231F20"/>
          <w:sz w:val="24"/>
          <w:szCs w:val="24"/>
          <w:lang w:eastAsia="hr-HR"/>
        </w:rPr>
        <mc:AlternateContent>
          <mc:Choice Requires="wps">
            <w:drawing>
              <wp:anchor distT="45720" distB="45720" distL="114300" distR="114300" simplePos="0" relativeHeight="251664384" behindDoc="0" locked="0" layoutInCell="1" allowOverlap="1" wp14:anchorId="45465EB1" wp14:editId="37AB7E59">
                <wp:simplePos x="0" y="0"/>
                <wp:positionH relativeFrom="column">
                  <wp:posOffset>4576141</wp:posOffset>
                </wp:positionH>
                <wp:positionV relativeFrom="paragraph">
                  <wp:posOffset>1178753</wp:posOffset>
                </wp:positionV>
                <wp:extent cx="1002183" cy="189865"/>
                <wp:effectExtent l="0" t="0" r="26670" b="19685"/>
                <wp:wrapNone/>
                <wp:docPr id="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183" cy="189865"/>
                        </a:xfrm>
                        <a:prstGeom prst="rect">
                          <a:avLst/>
                        </a:prstGeom>
                        <a:solidFill>
                          <a:schemeClr val="bg1"/>
                        </a:solidFill>
                        <a:ln w="9525">
                          <a:solidFill>
                            <a:srgbClr val="000000"/>
                          </a:solidFill>
                          <a:miter lim="800000"/>
                          <a:headEnd/>
                          <a:tailEnd/>
                        </a:ln>
                      </wps:spPr>
                      <wps:txbx>
                        <w:txbxContent>
                          <w:p w14:paraId="25824212" w14:textId="77777777" w:rsidR="006052CE" w:rsidRPr="004F022C" w:rsidRDefault="006052CE" w:rsidP="006052CE">
                            <w:pPr>
                              <w:rPr>
                                <w:sz w:val="14"/>
                                <w:szCs w:val="14"/>
                              </w:rPr>
                            </w:pPr>
                            <w:r w:rsidRPr="004F022C">
                              <w:rPr>
                                <w:sz w:val="14"/>
                                <w:szCs w:val="14"/>
                              </w:rPr>
                              <w:t>NIŽI ISPLATNI REDOVI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65EB1" id="_x0000_s1028" type="#_x0000_t202" style="position:absolute;left:0;text-align:left;margin-left:360.35pt;margin-top:92.8pt;width:78.9pt;height:14.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" fillcolor="white [3212]">
                <v:textbox>
                  <w:txbxContent>
                    <w:p w14:paraId="25824212" w14:textId="77777777" w:rsidR="006052CE" w:rsidRPr="004F022C" w:rsidRDefault="006052CE" w:rsidP="006052CE">
                      <w:pPr>
                        <w:rPr>
                          <w:sz w:val="14"/>
                          <w:szCs w:val="14"/>
                        </w:rPr>
                      </w:pPr>
                      <w:r w:rsidRPr="004F022C">
                        <w:rPr>
                          <w:sz w:val="14"/>
                          <w:szCs w:val="14"/>
                        </w:rPr>
                        <w:t>NIŽI ISPLATNI REDOVI</w:t>
                      </w:r>
                    </w:p>
                  </w:txbxContent>
                </v:textbox>
              </v:shape>
            </w:pict>
          </mc:Fallback>
        </mc:AlternateContent>
      </w:r>
      <w:r w:rsidR="006052CE" w:rsidRPr="00625776">
        <w:rPr>
          <w:rFonts w:ascii="Times New Roman" w:hAnsi="Times New Roman" w:cs="Times New Roman"/>
          <w:b/>
          <w:bCs/>
          <w:noProof/>
          <w:color w:val="231F20"/>
          <w:sz w:val="24"/>
          <w:szCs w:val="24"/>
          <w:lang w:eastAsia="hr-HR"/>
        </w:rPr>
        <mc:AlternateContent>
          <mc:Choice Requires="wps">
            <w:drawing>
              <wp:anchor distT="0" distB="0" distL="114300" distR="114300" simplePos="0" relativeHeight="251662336" behindDoc="0" locked="0" layoutInCell="1" allowOverlap="1" wp14:anchorId="491AF233" wp14:editId="2FD0D727">
                <wp:simplePos x="0" y="0"/>
                <wp:positionH relativeFrom="column">
                  <wp:posOffset>4108836</wp:posOffset>
                </wp:positionH>
                <wp:positionV relativeFrom="paragraph">
                  <wp:posOffset>951092</wp:posOffset>
                </wp:positionV>
                <wp:extent cx="323850" cy="657225"/>
                <wp:effectExtent l="0" t="0" r="38100" b="28575"/>
                <wp:wrapNone/>
                <wp:docPr id="6" name="Desna vitičasta zagrada 6"/>
                <wp:cNvGraphicFramePr/>
                <a:graphic xmlns:a="http://schemas.openxmlformats.org/drawingml/2006/main">
                  <a:graphicData uri="http://schemas.microsoft.com/office/word/2010/wordprocessingShape">
                    <wps:wsp>
                      <wps:cNvSpPr/>
                      <wps:spPr>
                        <a:xfrm>
                          <a:off x="0" y="0"/>
                          <a:ext cx="323850" cy="65722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09B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a vitičasta zagrada 6" o:spid="_x0000_s1026" type="#_x0000_t88" style="position:absolute;margin-left:323.55pt;margin-top:74.9pt;width:25.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" adj="887" strokecolor="black [3213]" strokeweight="1.5pt">
                <v:stroke joinstyle="miter"/>
              </v:shape>
            </w:pict>
          </mc:Fallback>
        </mc:AlternateContent>
      </w:r>
      <w:r w:rsidR="006052CE" w:rsidRPr="00625776">
        <w:rPr>
          <w:rFonts w:ascii="Times New Roman" w:hAnsi="Times New Roman" w:cs="Times New Roman"/>
          <w:b/>
          <w:bCs/>
          <w:noProof/>
          <w:color w:val="231F20"/>
          <w:sz w:val="24"/>
          <w:szCs w:val="24"/>
          <w:lang w:eastAsia="hr-HR"/>
        </w:rPr>
        <mc:AlternateContent>
          <mc:Choice Requires="wps">
            <w:drawing>
              <wp:anchor distT="0" distB="0" distL="114300" distR="114300" simplePos="0" relativeHeight="251661312" behindDoc="0" locked="0" layoutInCell="1" allowOverlap="1" wp14:anchorId="44966610" wp14:editId="58D651B2">
                <wp:simplePos x="0" y="0"/>
                <wp:positionH relativeFrom="column">
                  <wp:posOffset>4151326</wp:posOffset>
                </wp:positionH>
                <wp:positionV relativeFrom="paragraph">
                  <wp:posOffset>366920</wp:posOffset>
                </wp:positionV>
                <wp:extent cx="285750" cy="175564"/>
                <wp:effectExtent l="0" t="0" r="38100" b="15240"/>
                <wp:wrapNone/>
                <wp:docPr id="5" name="Desna vitičasta zagrada 5"/>
                <wp:cNvGraphicFramePr/>
                <a:graphic xmlns:a="http://schemas.openxmlformats.org/drawingml/2006/main">
                  <a:graphicData uri="http://schemas.microsoft.com/office/word/2010/wordprocessingShape">
                    <wps:wsp>
                      <wps:cNvSpPr/>
                      <wps:spPr>
                        <a:xfrm>
                          <a:off x="0" y="0"/>
                          <a:ext cx="285750" cy="175564"/>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E016D" id="Desna vitičasta zagrada 5" o:spid="_x0000_s1026" type="#_x0000_t88" style="position:absolute;margin-left:326.9pt;margin-top:28.9pt;width:22.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" strokecolor="black [3213]" strokeweight="1.5pt">
                <v:stroke joinstyle="miter"/>
              </v:shape>
            </w:pict>
          </mc:Fallback>
        </mc:AlternateContent>
      </w:r>
      <w:r w:rsidR="006052CE" w:rsidRPr="00625776">
        <w:rPr>
          <w:rFonts w:ascii="Times New Roman" w:hAnsi="Times New Roman" w:cs="Times New Roman"/>
          <w:color w:val="231F20"/>
          <w:sz w:val="24"/>
          <w:szCs w:val="24"/>
          <w:lang w:eastAsia="hr-H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1"/>
      </w:tblGrid>
      <w:tr w:rsidR="006052CE" w:rsidRPr="00625776" w14:paraId="03B083C8" w14:textId="77777777" w:rsidTr="00F5018E">
        <w:tc>
          <w:tcPr>
            <w:tcW w:w="6261" w:type="dxa"/>
            <w:tcBorders>
              <w:top w:val="single" w:sz="4" w:space="0" w:color="auto"/>
              <w:left w:val="single" w:sz="4" w:space="0" w:color="auto"/>
              <w:bottom w:val="single" w:sz="4" w:space="0" w:color="auto"/>
              <w:right w:val="single" w:sz="4" w:space="0" w:color="auto"/>
            </w:tcBorders>
            <w:shd w:val="clear" w:color="auto" w:fill="auto"/>
          </w:tcPr>
          <w:p w14:paraId="1BB82D5A" w14:textId="77777777" w:rsidR="006052CE" w:rsidRPr="00625776" w:rsidRDefault="006052CE" w:rsidP="00F5018E">
            <w:pPr>
              <w:jc w:val="both"/>
              <w:rPr>
                <w:b/>
                <w:bCs/>
                <w:color w:val="231F20"/>
                <w:sz w:val="24"/>
                <w:szCs w:val="24"/>
              </w:rPr>
            </w:pPr>
            <w:r w:rsidRPr="00625776">
              <w:rPr>
                <w:color w:val="231F20"/>
                <w:sz w:val="24"/>
                <w:szCs w:val="24"/>
              </w:rPr>
              <w:lastRenderedPageBreak/>
              <w:t>Tražbine po osnovi neosiguranih nepovlaštenih dužničkih instrumenata</w:t>
            </w:r>
          </w:p>
        </w:tc>
      </w:tr>
      <w:tr w:rsidR="006052CE" w:rsidRPr="00625776" w14:paraId="40BBF44B" w14:textId="77777777" w:rsidTr="00F5018E">
        <w:trPr>
          <w:trHeight w:val="113"/>
        </w:trPr>
        <w:tc>
          <w:tcPr>
            <w:tcW w:w="6261" w:type="dxa"/>
            <w:tcBorders>
              <w:top w:val="single" w:sz="4" w:space="0" w:color="auto"/>
              <w:bottom w:val="single" w:sz="4" w:space="0" w:color="auto"/>
            </w:tcBorders>
          </w:tcPr>
          <w:p w14:paraId="25BC37F8" w14:textId="77777777" w:rsidR="006052CE" w:rsidRPr="00625776" w:rsidRDefault="006052CE" w:rsidP="00F5018E">
            <w:pPr>
              <w:jc w:val="both"/>
              <w:rPr>
                <w:color w:val="231F20"/>
                <w:sz w:val="24"/>
                <w:szCs w:val="24"/>
              </w:rPr>
            </w:pPr>
          </w:p>
        </w:tc>
      </w:tr>
      <w:tr w:rsidR="006052CE" w:rsidRPr="00625776" w14:paraId="28E86D0E" w14:textId="77777777" w:rsidTr="00F5018E">
        <w:tc>
          <w:tcPr>
            <w:tcW w:w="6261" w:type="dxa"/>
            <w:tcBorders>
              <w:top w:val="single" w:sz="4" w:space="0" w:color="auto"/>
              <w:left w:val="single" w:sz="4" w:space="0" w:color="auto"/>
              <w:bottom w:val="single" w:sz="4" w:space="0" w:color="auto"/>
              <w:right w:val="single" w:sz="4" w:space="0" w:color="auto"/>
            </w:tcBorders>
            <w:shd w:val="clear" w:color="auto" w:fill="auto"/>
          </w:tcPr>
          <w:p w14:paraId="0597BADD" w14:textId="77777777" w:rsidR="006052CE" w:rsidRPr="00625776" w:rsidRDefault="006052CE" w:rsidP="00F5018E">
            <w:pPr>
              <w:jc w:val="both"/>
              <w:rPr>
                <w:color w:val="231F20"/>
                <w:sz w:val="24"/>
                <w:szCs w:val="24"/>
              </w:rPr>
            </w:pPr>
            <w:r w:rsidRPr="00625776">
              <w:rPr>
                <w:color w:val="231F20"/>
                <w:sz w:val="24"/>
                <w:szCs w:val="24"/>
              </w:rPr>
              <w:t>Tražbine ostalih nižih isplatnih redova</w:t>
            </w:r>
          </w:p>
        </w:tc>
      </w:tr>
      <w:tr w:rsidR="006052CE" w:rsidRPr="00625776" w14:paraId="2D8A226C" w14:textId="77777777" w:rsidTr="00F5018E">
        <w:trPr>
          <w:trHeight w:val="113"/>
        </w:trPr>
        <w:tc>
          <w:tcPr>
            <w:tcW w:w="6261" w:type="dxa"/>
            <w:tcBorders>
              <w:top w:val="single" w:sz="4" w:space="0" w:color="auto"/>
              <w:bottom w:val="single" w:sz="4" w:space="0" w:color="auto"/>
            </w:tcBorders>
          </w:tcPr>
          <w:p w14:paraId="77AC7179" w14:textId="77777777" w:rsidR="006052CE" w:rsidRPr="00625776" w:rsidRDefault="006052CE" w:rsidP="00F5018E">
            <w:pPr>
              <w:jc w:val="both"/>
              <w:rPr>
                <w:color w:val="231F20"/>
                <w:sz w:val="24"/>
                <w:szCs w:val="24"/>
              </w:rPr>
            </w:pPr>
          </w:p>
        </w:tc>
      </w:tr>
      <w:tr w:rsidR="006052CE" w:rsidRPr="00625776" w14:paraId="5DFC6786" w14:textId="77777777" w:rsidTr="00F5018E">
        <w:trPr>
          <w:trHeight w:val="283"/>
        </w:trPr>
        <w:tc>
          <w:tcPr>
            <w:tcW w:w="6261" w:type="dxa"/>
            <w:tcBorders>
              <w:top w:val="single" w:sz="4" w:space="0" w:color="auto"/>
              <w:left w:val="single" w:sz="4" w:space="0" w:color="auto"/>
              <w:bottom w:val="single" w:sz="4" w:space="0" w:color="auto"/>
              <w:right w:val="single" w:sz="4" w:space="0" w:color="auto"/>
            </w:tcBorders>
            <w:shd w:val="clear" w:color="auto" w:fill="auto"/>
          </w:tcPr>
          <w:p w14:paraId="27575FA1" w14:textId="77777777" w:rsidR="006052CE" w:rsidRPr="00625776" w:rsidRDefault="006052CE" w:rsidP="00F5018E">
            <w:pPr>
              <w:jc w:val="both"/>
              <w:rPr>
                <w:color w:val="231F20"/>
                <w:sz w:val="24"/>
                <w:szCs w:val="24"/>
              </w:rPr>
            </w:pPr>
            <w:r w:rsidRPr="00625776">
              <w:rPr>
                <w:color w:val="231F20"/>
                <w:sz w:val="24"/>
                <w:szCs w:val="24"/>
              </w:rPr>
              <w:t>Tražbine po osnovi instrumenata dopunskog kapitala</w:t>
            </w:r>
          </w:p>
        </w:tc>
      </w:tr>
      <w:tr w:rsidR="006052CE" w:rsidRPr="00625776" w14:paraId="553B99A5" w14:textId="77777777" w:rsidTr="00F5018E">
        <w:trPr>
          <w:trHeight w:val="113"/>
        </w:trPr>
        <w:tc>
          <w:tcPr>
            <w:tcW w:w="6261" w:type="dxa"/>
            <w:tcBorders>
              <w:top w:val="single" w:sz="4" w:space="0" w:color="auto"/>
              <w:bottom w:val="single" w:sz="4" w:space="0" w:color="auto"/>
            </w:tcBorders>
          </w:tcPr>
          <w:p w14:paraId="371C56D2" w14:textId="77777777" w:rsidR="006052CE" w:rsidRPr="00625776" w:rsidRDefault="006052CE" w:rsidP="00F5018E">
            <w:pPr>
              <w:jc w:val="both"/>
              <w:rPr>
                <w:color w:val="231F20"/>
                <w:sz w:val="24"/>
                <w:szCs w:val="24"/>
              </w:rPr>
            </w:pPr>
          </w:p>
        </w:tc>
      </w:tr>
      <w:tr w:rsidR="006052CE" w:rsidRPr="00625776" w14:paraId="1D8E9BE7" w14:textId="77777777" w:rsidTr="00F5018E">
        <w:tc>
          <w:tcPr>
            <w:tcW w:w="6261" w:type="dxa"/>
            <w:tcBorders>
              <w:top w:val="single" w:sz="4" w:space="0" w:color="auto"/>
              <w:left w:val="single" w:sz="4" w:space="0" w:color="auto"/>
              <w:bottom w:val="single" w:sz="4" w:space="0" w:color="auto"/>
              <w:right w:val="single" w:sz="4" w:space="0" w:color="auto"/>
            </w:tcBorders>
            <w:shd w:val="clear" w:color="auto" w:fill="auto"/>
          </w:tcPr>
          <w:p w14:paraId="6A82233C" w14:textId="77777777" w:rsidR="006052CE" w:rsidRPr="00625776" w:rsidRDefault="006052CE" w:rsidP="00F5018E">
            <w:pPr>
              <w:jc w:val="both"/>
              <w:rPr>
                <w:color w:val="231F20"/>
                <w:sz w:val="24"/>
                <w:szCs w:val="24"/>
              </w:rPr>
            </w:pPr>
            <w:r w:rsidRPr="00625776">
              <w:rPr>
                <w:color w:val="231F20"/>
                <w:sz w:val="24"/>
                <w:szCs w:val="24"/>
              </w:rPr>
              <w:t>Tražbine po osnovi instrumenata dodatnog osnovnog kapitala</w:t>
            </w:r>
          </w:p>
        </w:tc>
      </w:tr>
    </w:tbl>
    <w:p w14:paraId="02FF9E00" w14:textId="77777777" w:rsidR="006052CE" w:rsidRPr="00625776" w:rsidRDefault="006052CE" w:rsidP="006052CE">
      <w:pPr>
        <w:jc w:val="both"/>
        <w:rPr>
          <w:rFonts w:ascii="Times New Roman" w:hAnsi="Times New Roman" w:cs="Times New Roman"/>
          <w:color w:val="231F20"/>
          <w:sz w:val="24"/>
          <w:szCs w:val="24"/>
          <w:lang w:eastAsia="hr-HR"/>
        </w:rPr>
      </w:pPr>
      <w:r w:rsidRPr="00625776">
        <w:rPr>
          <w:rFonts w:ascii="Times New Roman" w:hAnsi="Times New Roman" w:cs="Times New Roman"/>
          <w:noProof/>
          <w:color w:val="231F20"/>
          <w:sz w:val="24"/>
          <w:szCs w:val="24"/>
          <w:lang w:eastAsia="hr-HR"/>
        </w:rPr>
        <mc:AlternateContent>
          <mc:Choice Requires="wps">
            <w:drawing>
              <wp:anchor distT="45720" distB="45720" distL="114300" distR="114300" simplePos="0" relativeHeight="251666432" behindDoc="0" locked="0" layoutInCell="1" allowOverlap="1" wp14:anchorId="31090A5C" wp14:editId="42DF2617">
                <wp:simplePos x="0" y="0"/>
                <wp:positionH relativeFrom="column">
                  <wp:posOffset>4589780</wp:posOffset>
                </wp:positionH>
                <wp:positionV relativeFrom="paragraph">
                  <wp:posOffset>255546</wp:posOffset>
                </wp:positionV>
                <wp:extent cx="1008989" cy="212141"/>
                <wp:effectExtent l="0" t="0" r="20320" b="16510"/>
                <wp:wrapNone/>
                <wp:docPr id="1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989" cy="212141"/>
                        </a:xfrm>
                        <a:prstGeom prst="rect">
                          <a:avLst/>
                        </a:prstGeom>
                        <a:solidFill>
                          <a:schemeClr val="bg1"/>
                        </a:solidFill>
                        <a:ln w="9525">
                          <a:solidFill>
                            <a:srgbClr val="000000"/>
                          </a:solidFill>
                          <a:miter lim="800000"/>
                          <a:headEnd/>
                          <a:tailEnd/>
                        </a:ln>
                      </wps:spPr>
                      <wps:txbx>
                        <w:txbxContent>
                          <w:p w14:paraId="0FE2D4D8" w14:textId="77777777" w:rsidR="006052CE" w:rsidRPr="004F022C" w:rsidRDefault="006052CE" w:rsidP="006052CE">
                            <w:pPr>
                              <w:rPr>
                                <w:sz w:val="14"/>
                                <w:szCs w:val="14"/>
                              </w:rPr>
                            </w:pPr>
                            <w:r w:rsidRPr="004F022C">
                              <w:rPr>
                                <w:sz w:val="14"/>
                                <w:szCs w:val="14"/>
                              </w:rPr>
                              <w:t>PRAVA IZ DIONICA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90A5C" id="_x0000_s1029" type="#_x0000_t202" style="position:absolute;left:0;text-align:left;margin-left:361.4pt;margin-top:20.1pt;width:79.45pt;height:1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" fillcolor="white [3212]">
                <v:textbox>
                  <w:txbxContent>
                    <w:p w14:paraId="0FE2D4D8" w14:textId="77777777" w:rsidR="006052CE" w:rsidRPr="004F022C" w:rsidRDefault="006052CE" w:rsidP="006052CE">
                      <w:pPr>
                        <w:rPr>
                          <w:sz w:val="14"/>
                          <w:szCs w:val="14"/>
                        </w:rPr>
                      </w:pPr>
                      <w:r w:rsidRPr="004F022C">
                        <w:rPr>
                          <w:sz w:val="14"/>
                          <w:szCs w:val="14"/>
                        </w:rPr>
                        <w:t>PRAVA IZ DIONICA</w:t>
                      </w:r>
                    </w:p>
                  </w:txbxContent>
                </v:textbox>
              </v:shape>
            </w:pict>
          </mc:Fallback>
        </mc:AlternateContent>
      </w:r>
      <w:r w:rsidRPr="00625776">
        <w:rPr>
          <w:rFonts w:ascii="Times New Roman" w:hAnsi="Times New Roman" w:cs="Times New Roman"/>
          <w:b/>
          <w:bCs/>
          <w:noProof/>
          <w:color w:val="231F20"/>
          <w:sz w:val="24"/>
          <w:szCs w:val="24"/>
          <w:lang w:eastAsia="hr-HR"/>
        </w:rPr>
        <mc:AlternateContent>
          <mc:Choice Requires="wps">
            <w:drawing>
              <wp:anchor distT="0" distB="0" distL="114300" distR="114300" simplePos="0" relativeHeight="251665408" behindDoc="0" locked="0" layoutInCell="1" allowOverlap="1" wp14:anchorId="05C522D1" wp14:editId="76D552F6">
                <wp:simplePos x="0" y="0"/>
                <wp:positionH relativeFrom="column">
                  <wp:posOffset>4122089</wp:posOffset>
                </wp:positionH>
                <wp:positionV relativeFrom="paragraph">
                  <wp:posOffset>265347</wp:posOffset>
                </wp:positionV>
                <wp:extent cx="285750" cy="200025"/>
                <wp:effectExtent l="0" t="0" r="38100" b="28575"/>
                <wp:wrapNone/>
                <wp:docPr id="10" name="Desna vitičasta zagrada 10"/>
                <wp:cNvGraphicFramePr/>
                <a:graphic xmlns:a="http://schemas.openxmlformats.org/drawingml/2006/main">
                  <a:graphicData uri="http://schemas.microsoft.com/office/word/2010/wordprocessingShape">
                    <wps:wsp>
                      <wps:cNvSpPr/>
                      <wps:spPr>
                        <a:xfrm>
                          <a:off x="0" y="0"/>
                          <a:ext cx="285750" cy="20002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9CD4B" id="Desna vitičasta zagrada 10" o:spid="_x0000_s1026" type="#_x0000_t88" style="position:absolute;margin-left:324.55pt;margin-top:20.9pt;width:2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" strokecolor="black [3213]" strokeweight="1.5pt">
                <v:stroke joinstyle="miter"/>
              </v:shape>
            </w:pict>
          </mc:Fallback>
        </mc:AlternateContent>
      </w:r>
      <w:r w:rsidRPr="00625776">
        <w:rPr>
          <w:rFonts w:ascii="Times New Roman" w:hAnsi="Times New Roman" w:cs="Times New Roman"/>
          <w:color w:val="231F20"/>
          <w:sz w:val="24"/>
          <w:szCs w:val="24"/>
          <w:lang w:eastAsia="hr-H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1"/>
      </w:tblGrid>
      <w:tr w:rsidR="006052CE" w:rsidRPr="004F022C" w14:paraId="4581D0AD" w14:textId="77777777" w:rsidTr="00F5018E">
        <w:tc>
          <w:tcPr>
            <w:tcW w:w="6261" w:type="dxa"/>
            <w:tcBorders>
              <w:top w:val="single" w:sz="4" w:space="0" w:color="auto"/>
              <w:left w:val="single" w:sz="4" w:space="0" w:color="auto"/>
              <w:bottom w:val="single" w:sz="4" w:space="0" w:color="auto"/>
              <w:right w:val="single" w:sz="4" w:space="0" w:color="auto"/>
            </w:tcBorders>
            <w:shd w:val="clear" w:color="auto" w:fill="auto"/>
          </w:tcPr>
          <w:p w14:paraId="235D1881" w14:textId="77777777" w:rsidR="006052CE" w:rsidRPr="004F022C" w:rsidRDefault="006052CE" w:rsidP="00F5018E">
            <w:pPr>
              <w:jc w:val="both"/>
              <w:rPr>
                <w:color w:val="231F20"/>
                <w:sz w:val="24"/>
                <w:szCs w:val="24"/>
              </w:rPr>
            </w:pPr>
            <w:r w:rsidRPr="00625776">
              <w:rPr>
                <w:color w:val="231F20"/>
                <w:sz w:val="24"/>
                <w:szCs w:val="24"/>
              </w:rPr>
              <w:t>Pravo dioničara na podjelu preostalog dijela likvidacijske mase</w:t>
            </w:r>
          </w:p>
        </w:tc>
      </w:tr>
    </w:tbl>
    <w:p w14:paraId="1B24FB0E" w14:textId="181A4957" w:rsidR="00EB603D" w:rsidRDefault="00EB603D" w:rsidP="00EB603D">
      <w:pPr>
        <w:pStyle w:val="NoSpacing"/>
        <w:jc w:val="both"/>
        <w:rPr>
          <w:rFonts w:ascii="Times New Roman" w:hAnsi="Times New Roman" w:cs="Times New Roman"/>
          <w:color w:val="231F20"/>
          <w:sz w:val="24"/>
          <w:szCs w:val="24"/>
          <w:lang w:eastAsia="hr-HR"/>
        </w:rPr>
      </w:pPr>
    </w:p>
    <w:p w14:paraId="049C5A5B" w14:textId="254AEA52" w:rsidR="00EB603D" w:rsidRDefault="009B6F32" w:rsidP="00EB603D">
      <w:pPr>
        <w:pStyle w:val="NoSpacing"/>
        <w:jc w:val="both"/>
        <w:rPr>
          <w:rStyle w:val="fontstyle01"/>
          <w:rFonts w:ascii="Times New Roman" w:hAnsi="Times New Roman" w:cs="Times New Roman"/>
          <w:bCs/>
        </w:rPr>
      </w:pPr>
      <w:r w:rsidRPr="009B6F32">
        <w:rPr>
          <w:rStyle w:val="fontstyle01"/>
          <w:rFonts w:ascii="Times New Roman" w:hAnsi="Times New Roman" w:cs="Times New Roman"/>
          <w:bCs/>
        </w:rPr>
        <w:t xml:space="preserve">Naposljetku, Konačnim prijedlogom zakona mijenja se važeći Zakon </w:t>
      </w:r>
      <w:r w:rsidR="001E3AF6">
        <w:rPr>
          <w:rStyle w:val="fontstyle01"/>
          <w:rFonts w:ascii="Times New Roman" w:hAnsi="Times New Roman" w:cs="Times New Roman"/>
          <w:bCs/>
        </w:rPr>
        <w:t xml:space="preserve">u dijelu </w:t>
      </w:r>
      <w:r w:rsidR="00B6242D" w:rsidRPr="00B6242D">
        <w:rPr>
          <w:rStyle w:val="fontstyle01"/>
          <w:rFonts w:ascii="Times New Roman" w:hAnsi="Times New Roman" w:cs="Times New Roman"/>
          <w:bCs/>
        </w:rPr>
        <w:t xml:space="preserve">kada Hrvatska narodna banka odnosno Hrvatska agencija za nadzor financijskih usluga mora ishoditi suglasnost Ministarstva financija </w:t>
      </w:r>
      <w:r w:rsidR="00A828B8">
        <w:rPr>
          <w:rStyle w:val="fontstyle01"/>
          <w:rFonts w:ascii="Times New Roman" w:hAnsi="Times New Roman" w:cs="Times New Roman"/>
          <w:bCs/>
        </w:rPr>
        <w:t>prije donošenja</w:t>
      </w:r>
      <w:r w:rsidR="00B6242D" w:rsidRPr="00B6242D">
        <w:rPr>
          <w:rStyle w:val="fontstyle01"/>
          <w:rFonts w:ascii="Times New Roman" w:hAnsi="Times New Roman" w:cs="Times New Roman"/>
          <w:bCs/>
        </w:rPr>
        <w:t xml:space="preserve"> odluka koje imaju izravni fiskalni učinak ili sistemske implikacije</w:t>
      </w:r>
      <w:r w:rsidR="00A828B8">
        <w:rPr>
          <w:rStyle w:val="fontstyle01"/>
          <w:rFonts w:ascii="Times New Roman" w:hAnsi="Times New Roman" w:cs="Times New Roman"/>
          <w:bCs/>
        </w:rPr>
        <w:t>.</w:t>
      </w:r>
      <w:r w:rsidR="001E3AF6">
        <w:rPr>
          <w:rStyle w:val="fontstyle01"/>
          <w:rFonts w:ascii="Times New Roman" w:hAnsi="Times New Roman" w:cs="Times New Roman"/>
          <w:bCs/>
        </w:rPr>
        <w:t xml:space="preserve"> </w:t>
      </w:r>
      <w:r w:rsidR="00D20648">
        <w:rPr>
          <w:rStyle w:val="fontstyle01"/>
          <w:rFonts w:ascii="Times New Roman" w:hAnsi="Times New Roman" w:cs="Times New Roman"/>
          <w:bCs/>
        </w:rPr>
        <w:t xml:space="preserve">Predmetna promjena povezana je s lekcijama naučenim iz testiranja koje je Hrvatska narodna banka u zadnjem kvartalu 2025. godine provela na temelju </w:t>
      </w:r>
      <w:r w:rsidR="00507308">
        <w:rPr>
          <w:rStyle w:val="fontstyle01"/>
          <w:rFonts w:ascii="Times New Roman" w:hAnsi="Times New Roman" w:cs="Times New Roman"/>
          <w:bCs/>
        </w:rPr>
        <w:t xml:space="preserve">smjernice </w:t>
      </w:r>
      <w:r w:rsidR="00507308">
        <w:rPr>
          <w:rFonts w:ascii="Times New Roman" w:hAnsi="Times New Roman" w:cs="Times New Roman"/>
          <w:bCs/>
          <w:iCs/>
          <w:color w:val="000000"/>
          <w:sz w:val="24"/>
          <w:szCs w:val="24"/>
        </w:rPr>
        <w:t xml:space="preserve">koju je izdalo </w:t>
      </w:r>
      <w:r w:rsidR="00507308" w:rsidRPr="00A478F5">
        <w:rPr>
          <w:rFonts w:ascii="Times New Roman" w:hAnsi="Times New Roman" w:cs="Times New Roman"/>
          <w:bCs/>
          <w:iCs/>
          <w:color w:val="000000"/>
          <w:sz w:val="24"/>
          <w:szCs w:val="24"/>
        </w:rPr>
        <w:t>Europsko nadzorno tijelo za bankarstvo</w:t>
      </w:r>
      <w:r w:rsidR="00507308">
        <w:rPr>
          <w:rFonts w:ascii="Times New Roman" w:hAnsi="Times New Roman" w:cs="Times New Roman"/>
          <w:bCs/>
          <w:iCs/>
          <w:color w:val="000000"/>
          <w:sz w:val="24"/>
          <w:szCs w:val="24"/>
        </w:rPr>
        <w:t>, i to</w:t>
      </w:r>
      <w:r w:rsidR="00507308" w:rsidRPr="00D20648">
        <w:rPr>
          <w:rFonts w:ascii="Times New Roman" w:hAnsi="Times New Roman" w:cs="Times New Roman"/>
          <w:bCs/>
          <w:i/>
          <w:iCs/>
          <w:color w:val="000000"/>
          <w:sz w:val="24"/>
          <w:szCs w:val="24"/>
        </w:rPr>
        <w:t xml:space="preserve"> </w:t>
      </w:r>
      <w:r w:rsidR="00D20648" w:rsidRPr="00D20648">
        <w:rPr>
          <w:rFonts w:ascii="Times New Roman" w:hAnsi="Times New Roman" w:cs="Times New Roman"/>
          <w:bCs/>
          <w:i/>
          <w:iCs/>
          <w:color w:val="000000"/>
          <w:sz w:val="24"/>
          <w:szCs w:val="24"/>
        </w:rPr>
        <w:t>Smjernice o izmjeni Smjernica EBA/GL/2022/01 o poboljšanju mogućnosti sanacije za institucije i sanacijska tijela u skladu s člancima 15. i 16. Direktive 2014/59/EU (Smjernice o mogućnosti sanacije) radi uvođenja novog odjeljka o testiranju mogućnosti sanacije</w:t>
      </w:r>
      <w:r w:rsidR="00D20648">
        <w:rPr>
          <w:rFonts w:ascii="Times New Roman" w:hAnsi="Times New Roman" w:cs="Times New Roman"/>
          <w:bCs/>
          <w:color w:val="000000"/>
          <w:sz w:val="24"/>
          <w:szCs w:val="24"/>
        </w:rPr>
        <w:t xml:space="preserve">. U sklopu tog testiranja </w:t>
      </w:r>
      <w:r w:rsidR="00A24E4A">
        <w:rPr>
          <w:rFonts w:ascii="Times New Roman" w:hAnsi="Times New Roman" w:cs="Times New Roman"/>
          <w:bCs/>
          <w:color w:val="000000"/>
          <w:sz w:val="24"/>
          <w:szCs w:val="24"/>
        </w:rPr>
        <w:t>Hrvatska narodna banka provela je radnje koje su usmjerene na sanaciju fiktivne propadajuće banke u scenariju prema kojem je od trenutka kada se utvrđuje da takva fiktivna banka propada do trenutka otvaranja postupka sanacije na raspolaganju samo nekoliko dana. Budući da postoji niz aktivnosti koje treba u vrlo kratkom vremenu provesti</w:t>
      </w:r>
      <w:r w:rsidR="00E250B0">
        <w:rPr>
          <w:rFonts w:ascii="Times New Roman" w:hAnsi="Times New Roman" w:cs="Times New Roman"/>
          <w:bCs/>
          <w:color w:val="000000"/>
          <w:sz w:val="24"/>
          <w:szCs w:val="24"/>
        </w:rPr>
        <w:t>,</w:t>
      </w:r>
      <w:r w:rsidR="00A24E4A">
        <w:rPr>
          <w:rFonts w:ascii="Times New Roman" w:hAnsi="Times New Roman" w:cs="Times New Roman"/>
          <w:bCs/>
          <w:color w:val="000000"/>
          <w:sz w:val="24"/>
          <w:szCs w:val="24"/>
        </w:rPr>
        <w:t xml:space="preserve"> za što treba jako pažljivo posvetiti vrijeme i resurse,</w:t>
      </w:r>
      <w:r w:rsidR="00D20648" w:rsidRPr="00D20648">
        <w:rPr>
          <w:rFonts w:ascii="Times New Roman" w:hAnsi="Times New Roman" w:cs="Times New Roman"/>
          <w:bCs/>
          <w:color w:val="000000"/>
          <w:sz w:val="24"/>
          <w:szCs w:val="24"/>
        </w:rPr>
        <w:t xml:space="preserve"> </w:t>
      </w:r>
      <w:r w:rsidR="00A24E4A">
        <w:rPr>
          <w:rStyle w:val="fontstyle01"/>
          <w:rFonts w:ascii="Times New Roman" w:hAnsi="Times New Roman" w:cs="Times New Roman"/>
          <w:bCs/>
        </w:rPr>
        <w:t>s</w:t>
      </w:r>
      <w:r w:rsidR="00A828B8" w:rsidRPr="00655D50">
        <w:rPr>
          <w:rStyle w:val="fontstyle01"/>
          <w:rFonts w:ascii="Times New Roman" w:hAnsi="Times New Roman" w:cs="Times New Roman"/>
          <w:bCs/>
        </w:rPr>
        <w:t>matra se da je pribavljanje suglasnosti Ministarstva financija primjereno samo</w:t>
      </w:r>
      <w:r w:rsidR="00A828B8" w:rsidRPr="009B6F32">
        <w:rPr>
          <w:rStyle w:val="fontstyle01"/>
          <w:rFonts w:ascii="Times New Roman" w:hAnsi="Times New Roman" w:cs="Times New Roman"/>
          <w:bCs/>
        </w:rPr>
        <w:t xml:space="preserve"> u onim situacijama u kojima se odstupa od mjera koje su predviđene u sanacijskom planu, odnosno kada se planiraju poduzeti drugačije mjere, poput primjene drugog</w:t>
      </w:r>
      <w:r w:rsidR="00A828B8">
        <w:rPr>
          <w:rStyle w:val="fontstyle01"/>
          <w:rFonts w:ascii="Times New Roman" w:hAnsi="Times New Roman" w:cs="Times New Roman"/>
          <w:bCs/>
        </w:rPr>
        <w:t>a</w:t>
      </w:r>
      <w:r w:rsidR="00A828B8" w:rsidRPr="009B6F32">
        <w:rPr>
          <w:rStyle w:val="fontstyle01"/>
          <w:rFonts w:ascii="Times New Roman" w:hAnsi="Times New Roman" w:cs="Times New Roman"/>
          <w:bCs/>
        </w:rPr>
        <w:t xml:space="preserve"> instrumenta sanacije, pod uvjetom da se njime bolje postižu ciljevi sanacije</w:t>
      </w:r>
      <w:r w:rsidR="00A828B8">
        <w:rPr>
          <w:rStyle w:val="fontstyle01"/>
          <w:rFonts w:ascii="Times New Roman" w:hAnsi="Times New Roman" w:cs="Times New Roman"/>
          <w:bCs/>
        </w:rPr>
        <w:t>. Navedenu izmjenu</w:t>
      </w:r>
      <w:r w:rsidR="00A24E4A">
        <w:rPr>
          <w:rStyle w:val="fontstyle01"/>
          <w:rFonts w:ascii="Times New Roman" w:hAnsi="Times New Roman" w:cs="Times New Roman"/>
          <w:bCs/>
        </w:rPr>
        <w:t xml:space="preserve"> dakle</w:t>
      </w:r>
      <w:r w:rsidR="00A828B8">
        <w:rPr>
          <w:rStyle w:val="fontstyle01"/>
          <w:rFonts w:ascii="Times New Roman" w:hAnsi="Times New Roman" w:cs="Times New Roman"/>
          <w:bCs/>
        </w:rPr>
        <w:t xml:space="preserve"> opravdava </w:t>
      </w:r>
      <w:r w:rsidRPr="009B6F32">
        <w:rPr>
          <w:rStyle w:val="fontstyle01"/>
          <w:rFonts w:ascii="Times New Roman" w:hAnsi="Times New Roman" w:cs="Times New Roman"/>
          <w:bCs/>
        </w:rPr>
        <w:t>ograničenost vremena u brzo razvijajućem scenariju krizne situacije</w:t>
      </w:r>
      <w:r w:rsidR="00A828B8">
        <w:rPr>
          <w:rStyle w:val="fontstyle01"/>
          <w:rFonts w:ascii="Times New Roman" w:hAnsi="Times New Roman" w:cs="Times New Roman"/>
          <w:bCs/>
        </w:rPr>
        <w:t xml:space="preserve">, kao i </w:t>
      </w:r>
      <w:r w:rsidRPr="009B6F32">
        <w:rPr>
          <w:rStyle w:val="fontstyle01"/>
          <w:rFonts w:ascii="Times New Roman" w:hAnsi="Times New Roman" w:cs="Times New Roman"/>
          <w:bCs/>
        </w:rPr>
        <w:t xml:space="preserve">okolnost da je u fazi redovnog obavljanja poslova Ministarstvo financija obaviješteno o mjerama koje su predviđene u sanacijskom planu, slijedom čega o tim mjerama Ministarstvo financija već u toj fazi može dati </w:t>
      </w:r>
      <w:r w:rsidRPr="00655D50">
        <w:rPr>
          <w:rStyle w:val="fontstyle01"/>
          <w:rFonts w:ascii="Times New Roman" w:hAnsi="Times New Roman" w:cs="Times New Roman"/>
          <w:bCs/>
        </w:rPr>
        <w:t>svoje mišljenje</w:t>
      </w:r>
      <w:r w:rsidRPr="009B6F32">
        <w:rPr>
          <w:rStyle w:val="fontstyle01"/>
          <w:rFonts w:ascii="Times New Roman" w:hAnsi="Times New Roman" w:cs="Times New Roman"/>
          <w:bCs/>
        </w:rPr>
        <w:t>.</w:t>
      </w:r>
      <w:r w:rsidR="00B6242D">
        <w:rPr>
          <w:rStyle w:val="fontstyle01"/>
          <w:rFonts w:ascii="Times New Roman" w:hAnsi="Times New Roman" w:cs="Times New Roman"/>
          <w:bCs/>
        </w:rPr>
        <w:t xml:space="preserve"> </w:t>
      </w:r>
      <w:r w:rsidR="00B6242D" w:rsidRPr="00B6242D">
        <w:rPr>
          <w:rStyle w:val="fontstyle01"/>
          <w:rFonts w:ascii="Times New Roman" w:hAnsi="Times New Roman" w:cs="Times New Roman"/>
          <w:bCs/>
        </w:rPr>
        <w:t>Uzimajući u obzir navedenu izmjenu,</w:t>
      </w:r>
      <w:r w:rsidR="00B6242D">
        <w:rPr>
          <w:rStyle w:val="fontstyle01"/>
          <w:rFonts w:ascii="Times New Roman" w:hAnsi="Times New Roman" w:cs="Times New Roman"/>
          <w:bCs/>
        </w:rPr>
        <w:t xml:space="preserve"> sam</w:t>
      </w:r>
      <w:r w:rsidR="00E250B0">
        <w:rPr>
          <w:rStyle w:val="fontstyle01"/>
          <w:rFonts w:ascii="Times New Roman" w:hAnsi="Times New Roman" w:cs="Times New Roman"/>
          <w:bCs/>
        </w:rPr>
        <w:t>a</w:t>
      </w:r>
      <w:r w:rsidR="00B6242D">
        <w:rPr>
          <w:rStyle w:val="fontstyle01"/>
          <w:rFonts w:ascii="Times New Roman" w:hAnsi="Times New Roman" w:cs="Times New Roman"/>
          <w:bCs/>
        </w:rPr>
        <w:t xml:space="preserve"> razmjen</w:t>
      </w:r>
      <w:r w:rsidR="00E250B0">
        <w:rPr>
          <w:rStyle w:val="fontstyle01"/>
          <w:rFonts w:ascii="Times New Roman" w:hAnsi="Times New Roman" w:cs="Times New Roman"/>
          <w:bCs/>
        </w:rPr>
        <w:t>a</w:t>
      </w:r>
      <w:r w:rsidR="00B6242D">
        <w:rPr>
          <w:rStyle w:val="fontstyle01"/>
          <w:rFonts w:ascii="Times New Roman" w:hAnsi="Times New Roman" w:cs="Times New Roman"/>
          <w:bCs/>
        </w:rPr>
        <w:t xml:space="preserve"> informacija Hrvatske narodne banke odnosno </w:t>
      </w:r>
      <w:r w:rsidR="00B6242D" w:rsidRPr="00B6242D">
        <w:rPr>
          <w:rStyle w:val="fontstyle01"/>
          <w:rFonts w:ascii="Times New Roman" w:hAnsi="Times New Roman" w:cs="Times New Roman"/>
          <w:bCs/>
        </w:rPr>
        <w:t>Hrvatsk</w:t>
      </w:r>
      <w:r w:rsidR="00B6242D">
        <w:rPr>
          <w:rStyle w:val="fontstyle01"/>
          <w:rFonts w:ascii="Times New Roman" w:hAnsi="Times New Roman" w:cs="Times New Roman"/>
          <w:bCs/>
        </w:rPr>
        <w:t>e</w:t>
      </w:r>
      <w:r w:rsidR="00B6242D" w:rsidRPr="00B6242D">
        <w:rPr>
          <w:rStyle w:val="fontstyle01"/>
          <w:rFonts w:ascii="Times New Roman" w:hAnsi="Times New Roman" w:cs="Times New Roman"/>
          <w:bCs/>
        </w:rPr>
        <w:t xml:space="preserve"> agencij</w:t>
      </w:r>
      <w:r w:rsidR="00B6242D">
        <w:rPr>
          <w:rStyle w:val="fontstyle01"/>
          <w:rFonts w:ascii="Times New Roman" w:hAnsi="Times New Roman" w:cs="Times New Roman"/>
          <w:bCs/>
        </w:rPr>
        <w:t>e</w:t>
      </w:r>
      <w:r w:rsidR="00B6242D" w:rsidRPr="00B6242D">
        <w:rPr>
          <w:rStyle w:val="fontstyle01"/>
          <w:rFonts w:ascii="Times New Roman" w:hAnsi="Times New Roman" w:cs="Times New Roman"/>
          <w:bCs/>
        </w:rPr>
        <w:t xml:space="preserve"> za nadzor financijskih usluga </w:t>
      </w:r>
      <w:r w:rsidR="00B6242D">
        <w:rPr>
          <w:rStyle w:val="fontstyle01"/>
          <w:rFonts w:ascii="Times New Roman" w:hAnsi="Times New Roman" w:cs="Times New Roman"/>
          <w:bCs/>
        </w:rPr>
        <w:t>s</w:t>
      </w:r>
      <w:r w:rsidR="00B6242D" w:rsidRPr="00B6242D">
        <w:rPr>
          <w:rStyle w:val="fontstyle01"/>
          <w:rFonts w:ascii="Times New Roman" w:hAnsi="Times New Roman" w:cs="Times New Roman"/>
          <w:bCs/>
        </w:rPr>
        <w:t xml:space="preserve"> Ministarstv</w:t>
      </w:r>
      <w:r w:rsidR="00B6242D">
        <w:rPr>
          <w:rStyle w:val="fontstyle01"/>
          <w:rFonts w:ascii="Times New Roman" w:hAnsi="Times New Roman" w:cs="Times New Roman"/>
          <w:bCs/>
        </w:rPr>
        <w:t>om</w:t>
      </w:r>
      <w:r w:rsidR="00B6242D" w:rsidRPr="00B6242D">
        <w:rPr>
          <w:rStyle w:val="fontstyle01"/>
          <w:rFonts w:ascii="Times New Roman" w:hAnsi="Times New Roman" w:cs="Times New Roman"/>
          <w:bCs/>
        </w:rPr>
        <w:t xml:space="preserve"> financija</w:t>
      </w:r>
      <w:r w:rsidR="00B6242D">
        <w:rPr>
          <w:rStyle w:val="fontstyle01"/>
          <w:rFonts w:ascii="Times New Roman" w:hAnsi="Times New Roman" w:cs="Times New Roman"/>
          <w:bCs/>
        </w:rPr>
        <w:t xml:space="preserve"> </w:t>
      </w:r>
      <w:r w:rsidR="00542460">
        <w:rPr>
          <w:rStyle w:val="fontstyle01"/>
          <w:rFonts w:ascii="Times New Roman" w:hAnsi="Times New Roman" w:cs="Times New Roman"/>
          <w:bCs/>
        </w:rPr>
        <w:t>odvojen</w:t>
      </w:r>
      <w:r w:rsidR="00E250B0">
        <w:rPr>
          <w:rStyle w:val="fontstyle01"/>
          <w:rFonts w:ascii="Times New Roman" w:hAnsi="Times New Roman" w:cs="Times New Roman"/>
          <w:bCs/>
        </w:rPr>
        <w:t>a</w:t>
      </w:r>
      <w:r w:rsidR="00542460">
        <w:rPr>
          <w:rStyle w:val="fontstyle01"/>
          <w:rFonts w:ascii="Times New Roman" w:hAnsi="Times New Roman" w:cs="Times New Roman"/>
          <w:bCs/>
        </w:rPr>
        <w:t xml:space="preserve"> je</w:t>
      </w:r>
      <w:r w:rsidR="00E250B0">
        <w:rPr>
          <w:rStyle w:val="fontstyle01"/>
          <w:rFonts w:ascii="Times New Roman" w:hAnsi="Times New Roman" w:cs="Times New Roman"/>
          <w:bCs/>
        </w:rPr>
        <w:t xml:space="preserve"> u</w:t>
      </w:r>
      <w:r w:rsidR="00542460">
        <w:rPr>
          <w:rStyle w:val="fontstyle01"/>
          <w:rFonts w:ascii="Times New Roman" w:hAnsi="Times New Roman" w:cs="Times New Roman"/>
          <w:bCs/>
        </w:rPr>
        <w:t xml:space="preserve"> </w:t>
      </w:r>
      <w:r w:rsidR="00A828B8">
        <w:rPr>
          <w:rStyle w:val="fontstyle01"/>
          <w:rFonts w:ascii="Times New Roman" w:hAnsi="Times New Roman" w:cs="Times New Roman"/>
          <w:bCs/>
        </w:rPr>
        <w:t>nov</w:t>
      </w:r>
      <w:r w:rsidR="00E250B0">
        <w:rPr>
          <w:rStyle w:val="fontstyle01"/>
          <w:rFonts w:ascii="Times New Roman" w:hAnsi="Times New Roman" w:cs="Times New Roman"/>
          <w:bCs/>
        </w:rPr>
        <w:t>u</w:t>
      </w:r>
      <w:r w:rsidR="00A828B8">
        <w:rPr>
          <w:rStyle w:val="fontstyle01"/>
          <w:rFonts w:ascii="Times New Roman" w:hAnsi="Times New Roman" w:cs="Times New Roman"/>
          <w:bCs/>
        </w:rPr>
        <w:t xml:space="preserve"> </w:t>
      </w:r>
      <w:r w:rsidR="00E250B0">
        <w:rPr>
          <w:rStyle w:val="fontstyle01"/>
          <w:rFonts w:ascii="Times New Roman" w:hAnsi="Times New Roman" w:cs="Times New Roman"/>
          <w:bCs/>
        </w:rPr>
        <w:t xml:space="preserve">odredbu </w:t>
      </w:r>
      <w:r w:rsidR="00542460">
        <w:rPr>
          <w:rStyle w:val="fontstyle01"/>
          <w:rFonts w:ascii="Times New Roman" w:hAnsi="Times New Roman" w:cs="Times New Roman"/>
          <w:bCs/>
        </w:rPr>
        <w:t xml:space="preserve">radi pravne jasnoće u pogledu prijenosa </w:t>
      </w:r>
      <w:r w:rsidR="00542460" w:rsidRPr="00542460">
        <w:rPr>
          <w:rStyle w:val="fontstyle01"/>
          <w:rFonts w:ascii="Times New Roman" w:hAnsi="Times New Roman" w:cs="Times New Roman"/>
          <w:bCs/>
        </w:rPr>
        <w:t>Direktiv</w:t>
      </w:r>
      <w:r w:rsidR="00542460">
        <w:rPr>
          <w:rStyle w:val="fontstyle01"/>
          <w:rFonts w:ascii="Times New Roman" w:hAnsi="Times New Roman" w:cs="Times New Roman"/>
          <w:bCs/>
        </w:rPr>
        <w:t>e</w:t>
      </w:r>
      <w:r w:rsidR="00542460" w:rsidRPr="00542460">
        <w:rPr>
          <w:rStyle w:val="fontstyle01"/>
          <w:rFonts w:ascii="Times New Roman" w:hAnsi="Times New Roman" w:cs="Times New Roman"/>
          <w:bCs/>
        </w:rPr>
        <w:t xml:space="preserve"> 2014/59/EU</w:t>
      </w:r>
      <w:r w:rsidR="00542460">
        <w:rPr>
          <w:rStyle w:val="fontstyle01"/>
          <w:rFonts w:ascii="Times New Roman" w:hAnsi="Times New Roman" w:cs="Times New Roman"/>
          <w:bCs/>
        </w:rPr>
        <w:t>.</w:t>
      </w:r>
    </w:p>
    <w:p w14:paraId="6EA8662A" w14:textId="77777777" w:rsidR="00CD32F5" w:rsidRPr="00FD5104" w:rsidRDefault="00CD32F5" w:rsidP="00CD32F5">
      <w:pPr>
        <w:widowControl w:val="0"/>
        <w:autoSpaceDE w:val="0"/>
        <w:autoSpaceDN w:val="0"/>
        <w:spacing w:after="0" w:line="240" w:lineRule="auto"/>
        <w:ind w:right="284"/>
        <w:contextualSpacing/>
        <w:jc w:val="both"/>
        <w:rPr>
          <w:rFonts w:ascii="Times New Roman" w:eastAsia="Times New Roman" w:hAnsi="Times New Roman" w:cs="Times New Roman"/>
          <w:sz w:val="24"/>
          <w:szCs w:val="24"/>
        </w:rPr>
      </w:pPr>
    </w:p>
    <w:p w14:paraId="4D6455F0" w14:textId="6AC4340E" w:rsidR="00CD32F5" w:rsidRPr="00FD5104" w:rsidRDefault="00CD32F5" w:rsidP="00A639A8">
      <w:pPr>
        <w:tabs>
          <w:tab w:val="left" w:pos="142"/>
        </w:tabs>
        <w:spacing w:after="0" w:line="240" w:lineRule="auto"/>
        <w:jc w:val="both"/>
        <w:outlineLvl w:val="0"/>
        <w:rPr>
          <w:rFonts w:ascii="Times New Roman" w:eastAsia="Times New Roman" w:hAnsi="Times New Roman" w:cs="Times New Roman"/>
          <w:sz w:val="24"/>
          <w:szCs w:val="24"/>
          <w:lang w:eastAsia="hr-HR"/>
        </w:rPr>
      </w:pPr>
      <w:r w:rsidRPr="00FD5104">
        <w:rPr>
          <w:rFonts w:ascii="Times New Roman" w:eastAsia="Times New Roman" w:hAnsi="Times New Roman" w:cs="Times New Roman"/>
          <w:b/>
          <w:sz w:val="24"/>
          <w:szCs w:val="24"/>
          <w:lang w:eastAsia="hr-HR"/>
        </w:rPr>
        <w:t>III.</w:t>
      </w:r>
      <w:r w:rsidRPr="00FD5104">
        <w:rPr>
          <w:rFonts w:ascii="Times New Roman" w:eastAsia="Times New Roman" w:hAnsi="Times New Roman" w:cs="Times New Roman"/>
          <w:b/>
          <w:sz w:val="24"/>
          <w:szCs w:val="24"/>
          <w:lang w:eastAsia="hr-HR"/>
        </w:rPr>
        <w:tab/>
        <w:t>OCJENA I IZVOR</w:t>
      </w:r>
      <w:r w:rsidR="00496638">
        <w:rPr>
          <w:rFonts w:ascii="Times New Roman" w:eastAsia="Times New Roman" w:hAnsi="Times New Roman" w:cs="Times New Roman"/>
          <w:b/>
          <w:sz w:val="24"/>
          <w:szCs w:val="24"/>
          <w:lang w:eastAsia="hr-HR"/>
        </w:rPr>
        <w:t>I</w:t>
      </w:r>
      <w:r w:rsidRPr="00FD5104">
        <w:rPr>
          <w:rFonts w:ascii="Times New Roman" w:eastAsia="Times New Roman" w:hAnsi="Times New Roman" w:cs="Times New Roman"/>
          <w:b/>
          <w:sz w:val="24"/>
          <w:szCs w:val="24"/>
          <w:lang w:eastAsia="hr-HR"/>
        </w:rPr>
        <w:t xml:space="preserve"> SREDSTAVA POTREBNIH ZA PROVEDBU ZAKONA</w:t>
      </w:r>
    </w:p>
    <w:p w14:paraId="4B1653A4" w14:textId="77777777" w:rsidR="00420B40" w:rsidRDefault="00420B40" w:rsidP="00420B40">
      <w:pPr>
        <w:spacing w:after="0" w:line="240" w:lineRule="auto"/>
        <w:jc w:val="both"/>
        <w:rPr>
          <w:rFonts w:ascii="Times New Roman" w:eastAsia="Times New Roman" w:hAnsi="Times New Roman" w:cs="Times New Roman"/>
          <w:sz w:val="24"/>
          <w:szCs w:val="24"/>
          <w:lang w:eastAsia="hr-HR"/>
        </w:rPr>
      </w:pPr>
    </w:p>
    <w:p w14:paraId="1146FC76" w14:textId="7B99208C" w:rsidR="00D44A3E" w:rsidRDefault="00CD32F5" w:rsidP="00420B40">
      <w:pPr>
        <w:pStyle w:val="NoSpacing"/>
        <w:ind w:firstLine="708"/>
        <w:jc w:val="both"/>
        <w:rPr>
          <w:rFonts w:ascii="Times New Roman" w:eastAsia="Times New Roman" w:hAnsi="Times New Roman" w:cs="Times New Roman"/>
          <w:sz w:val="24"/>
          <w:szCs w:val="24"/>
          <w:lang w:eastAsia="hr-HR"/>
        </w:rPr>
      </w:pPr>
      <w:r w:rsidRPr="00FD5104">
        <w:rPr>
          <w:rFonts w:ascii="Times New Roman" w:eastAsia="Times New Roman" w:hAnsi="Times New Roman" w:cs="Times New Roman"/>
          <w:sz w:val="24"/>
          <w:szCs w:val="24"/>
          <w:lang w:eastAsia="hr-HR"/>
        </w:rPr>
        <w:t>Za provedbu ovoga Zakona nije potrebno osigurati sredstva u državnom proračunu Republike Hrvatske.</w:t>
      </w:r>
    </w:p>
    <w:p w14:paraId="1C45C8C5" w14:textId="77777777" w:rsidR="009A7C74" w:rsidRDefault="009A7C74" w:rsidP="00420B40">
      <w:pPr>
        <w:tabs>
          <w:tab w:val="left" w:pos="142"/>
        </w:tabs>
        <w:spacing w:after="0" w:line="240" w:lineRule="auto"/>
        <w:jc w:val="both"/>
        <w:rPr>
          <w:rFonts w:ascii="Times New Roman" w:eastAsia="Times New Roman" w:hAnsi="Times New Roman" w:cs="Times New Roman"/>
          <w:sz w:val="24"/>
          <w:szCs w:val="24"/>
          <w:lang w:eastAsia="hr-HR"/>
        </w:rPr>
      </w:pPr>
    </w:p>
    <w:p w14:paraId="78BDE3A9" w14:textId="77777777" w:rsidR="009A7C74" w:rsidRPr="009A7C74" w:rsidRDefault="009A7C74" w:rsidP="00A639A8">
      <w:pPr>
        <w:tabs>
          <w:tab w:val="left" w:pos="142"/>
        </w:tabs>
        <w:spacing w:after="0" w:line="240" w:lineRule="auto"/>
        <w:jc w:val="both"/>
        <w:outlineLvl w:val="0"/>
        <w:rPr>
          <w:rFonts w:ascii="Times New Roman" w:eastAsia="Calibri" w:hAnsi="Times New Roman" w:cs="Times New Roman"/>
          <w:b/>
          <w:sz w:val="24"/>
          <w:szCs w:val="24"/>
        </w:rPr>
      </w:pPr>
      <w:r w:rsidRPr="00420B40">
        <w:rPr>
          <w:rFonts w:ascii="Times New Roman" w:eastAsia="Times New Roman" w:hAnsi="Times New Roman" w:cs="Times New Roman"/>
          <w:b/>
          <w:sz w:val="24"/>
          <w:szCs w:val="24"/>
          <w:lang w:eastAsia="hr-HR"/>
        </w:rPr>
        <w:t>IV</w:t>
      </w:r>
      <w:r w:rsidRPr="009A7C74">
        <w:rPr>
          <w:rFonts w:ascii="Times New Roman" w:eastAsia="Calibri" w:hAnsi="Times New Roman" w:cs="Times New Roman"/>
          <w:b/>
          <w:sz w:val="24"/>
          <w:szCs w:val="24"/>
        </w:rPr>
        <w:t>.</w:t>
      </w:r>
      <w:r w:rsidRPr="009A7C74">
        <w:rPr>
          <w:rFonts w:ascii="Times New Roman" w:eastAsia="Calibri" w:hAnsi="Times New Roman" w:cs="Times New Roman"/>
          <w:b/>
          <w:sz w:val="24"/>
          <w:szCs w:val="24"/>
        </w:rPr>
        <w:tab/>
        <w:t>PRIJEDLOG ZA DONOŠENJE ZAKONA PO HITNOM POSTUPKU</w:t>
      </w:r>
    </w:p>
    <w:p w14:paraId="27D3B7CB" w14:textId="77777777" w:rsidR="009A7C74" w:rsidRPr="009A7C74" w:rsidRDefault="009A7C74" w:rsidP="009A7C74">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87F4CC8" w14:textId="0CCE8832" w:rsidR="009A7C74" w:rsidRDefault="009A7C74" w:rsidP="00420B40">
      <w:pPr>
        <w:pStyle w:val="NoSpacing"/>
        <w:ind w:firstLine="708"/>
        <w:jc w:val="both"/>
        <w:rPr>
          <w:rFonts w:ascii="Times New Roman" w:eastAsia="Times New Roman" w:hAnsi="Times New Roman" w:cs="Times New Roman"/>
          <w:sz w:val="24"/>
          <w:szCs w:val="24"/>
          <w:lang w:eastAsia="hr-HR"/>
        </w:rPr>
      </w:pPr>
      <w:r w:rsidRPr="009A7C74">
        <w:rPr>
          <w:rFonts w:ascii="Times New Roman" w:eastAsia="Times New Roman" w:hAnsi="Times New Roman" w:cs="Times New Roman"/>
          <w:sz w:val="24"/>
          <w:szCs w:val="24"/>
          <w:lang w:eastAsia="hr-HR"/>
        </w:rPr>
        <w:lastRenderedPageBreak/>
        <w:t>Donošenje ovoga Zakona predlaže se po hitnom postupku na temelju članka 206. stavka 1. Poslovnika Hrvatskoga sabora („Narodne novine“, br. 81/13., 113/16., 69/17., 29/18., 53/20., 119/20. - Odluka Ustavnog suda Republike Hrvatske, 123/20. i 86/23. - Odluka Ustavnog suda Republike Hrvatske) sukladno kojem se po hitnom postupku donose zakoni koji se usklađuju s dokumentima Europske unije ako to zatraži predlagatelj.</w:t>
      </w:r>
    </w:p>
    <w:p w14:paraId="6A4B9F08" w14:textId="6964D966" w:rsidR="00FC6758" w:rsidRDefault="00FC6758" w:rsidP="00420B40">
      <w:pPr>
        <w:pStyle w:val="NoSpacing"/>
        <w:ind w:firstLine="708"/>
        <w:jc w:val="both"/>
        <w:rPr>
          <w:rFonts w:ascii="Times New Roman" w:eastAsia="Times New Roman" w:hAnsi="Times New Roman" w:cs="Times New Roman"/>
          <w:sz w:val="24"/>
          <w:szCs w:val="24"/>
          <w:lang w:eastAsia="hr-HR"/>
        </w:rPr>
      </w:pPr>
    </w:p>
    <w:p w14:paraId="5CF4FC17" w14:textId="1693A8C6" w:rsidR="00FC6758" w:rsidRPr="00A639A8" w:rsidRDefault="00FC6758" w:rsidP="00A639A8">
      <w:pPr>
        <w:pStyle w:val="NoSpacing"/>
        <w:jc w:val="both"/>
        <w:rPr>
          <w:rFonts w:ascii="Times New Roman" w:hAnsi="Times New Roman" w:cs="Times New Roman"/>
          <w:sz w:val="24"/>
          <w:szCs w:val="24"/>
          <w:lang w:eastAsia="hr-HR"/>
        </w:rPr>
      </w:pPr>
      <w:r w:rsidRPr="00A639A8">
        <w:rPr>
          <w:rFonts w:ascii="Times New Roman" w:hAnsi="Times New Roman" w:cs="Times New Roman"/>
          <w:sz w:val="24"/>
          <w:szCs w:val="24"/>
          <w:lang w:eastAsia="hr-HR"/>
        </w:rPr>
        <w:t>Budući da je u okviru EU Pilot predmeta EUP(2024)10691</w:t>
      </w:r>
      <w:r w:rsidRPr="00FC6758">
        <w:rPr>
          <w:rFonts w:ascii="Times New Roman" w:hAnsi="Times New Roman" w:cs="Times New Roman"/>
          <w:sz w:val="24"/>
          <w:szCs w:val="24"/>
          <w:lang w:eastAsia="hr-HR"/>
        </w:rPr>
        <w:t xml:space="preserve"> </w:t>
      </w:r>
      <w:r w:rsidRPr="00DE1CC5">
        <w:rPr>
          <w:rFonts w:ascii="Times New Roman" w:hAnsi="Times New Roman" w:cs="Times New Roman"/>
          <w:sz w:val="24"/>
          <w:szCs w:val="24"/>
          <w:lang w:eastAsia="hr-HR"/>
        </w:rPr>
        <w:t>utvrđena potreba daljnjeg usklađivanja važećeg Zakona s Direktivom 2014/59/EU, kako je izmijenjena Direktivom (EU) 2017/2399</w:t>
      </w:r>
      <w:r>
        <w:rPr>
          <w:rFonts w:ascii="Times New Roman" w:hAnsi="Times New Roman" w:cs="Times New Roman"/>
          <w:sz w:val="24"/>
          <w:szCs w:val="24"/>
          <w:lang w:eastAsia="hr-HR"/>
        </w:rPr>
        <w:t xml:space="preserve">, </w:t>
      </w:r>
      <w:r w:rsidR="00512DB4">
        <w:rPr>
          <w:rFonts w:ascii="Times New Roman" w:hAnsi="Times New Roman" w:cs="Times New Roman"/>
          <w:sz w:val="24"/>
          <w:szCs w:val="24"/>
          <w:lang w:eastAsia="hr-HR"/>
        </w:rPr>
        <w:t>Republika Hrvatska</w:t>
      </w:r>
      <w:r w:rsidR="003212F6">
        <w:rPr>
          <w:rFonts w:ascii="Times New Roman" w:hAnsi="Times New Roman" w:cs="Times New Roman"/>
          <w:sz w:val="24"/>
          <w:szCs w:val="24"/>
          <w:lang w:eastAsia="hr-HR"/>
        </w:rPr>
        <w:t xml:space="preserve"> je</w:t>
      </w:r>
      <w:r w:rsidR="00512DB4">
        <w:rPr>
          <w:rFonts w:ascii="Times New Roman" w:hAnsi="Times New Roman" w:cs="Times New Roman"/>
          <w:sz w:val="24"/>
          <w:szCs w:val="24"/>
          <w:lang w:eastAsia="hr-HR"/>
        </w:rPr>
        <w:t xml:space="preserve"> </w:t>
      </w:r>
      <w:r w:rsidR="003212F6" w:rsidRPr="00C4795F">
        <w:rPr>
          <w:rFonts w:ascii="Times New Roman" w:hAnsi="Times New Roman" w:cs="Times New Roman"/>
          <w:sz w:val="24"/>
          <w:szCs w:val="24"/>
          <w:lang w:eastAsia="hr-HR"/>
        </w:rPr>
        <w:t>u skladu s obvezom kontinuiranog usklađivanja</w:t>
      </w:r>
      <w:r w:rsidR="003212F6">
        <w:rPr>
          <w:rFonts w:ascii="Times New Roman" w:hAnsi="Times New Roman" w:cs="Times New Roman"/>
          <w:sz w:val="24"/>
          <w:szCs w:val="24"/>
          <w:lang w:eastAsia="hr-HR"/>
        </w:rPr>
        <w:t xml:space="preserve"> svojeg </w:t>
      </w:r>
      <w:r w:rsidR="003212F6" w:rsidRPr="00C4795F">
        <w:rPr>
          <w:rFonts w:ascii="Times New Roman" w:hAnsi="Times New Roman" w:cs="Times New Roman"/>
          <w:sz w:val="24"/>
          <w:szCs w:val="24"/>
          <w:lang w:eastAsia="hr-HR"/>
        </w:rPr>
        <w:t xml:space="preserve">zakonodavstva s pravnom stečevinom Europske unije </w:t>
      </w:r>
      <w:r w:rsidR="00512DB4">
        <w:rPr>
          <w:rFonts w:ascii="Times New Roman" w:hAnsi="Times New Roman" w:cs="Times New Roman"/>
          <w:sz w:val="24"/>
          <w:szCs w:val="24"/>
          <w:lang w:eastAsia="hr-HR"/>
        </w:rPr>
        <w:t>komunicirala Europskoj komisiji namjeru usvajanja potrebnih nacionalnih mjera što je ranije moguće, a najkasnije do sredine 2026. godine.</w:t>
      </w:r>
    </w:p>
    <w:p w14:paraId="7BC86585" w14:textId="7924816E" w:rsidR="00B451F5" w:rsidRDefault="00B451F5"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p>
    <w:p w14:paraId="55FB4DDE" w14:textId="50A6BAAE" w:rsidR="00291F14" w:rsidRDefault="00291F14"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p>
    <w:p w14:paraId="27547D07" w14:textId="4085BFEE" w:rsidR="00291F14" w:rsidRDefault="00291F14">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6846715F" w14:textId="5E4F2B6C" w:rsidR="00D026E5" w:rsidRPr="00C003BC" w:rsidRDefault="006E37F6" w:rsidP="00420B40">
      <w:pPr>
        <w:tabs>
          <w:tab w:val="left" w:pos="142"/>
        </w:tabs>
        <w:spacing w:after="0" w:line="240" w:lineRule="auto"/>
        <w:jc w:val="center"/>
        <w:outlineLvl w:val="0"/>
        <w:rPr>
          <w:rFonts w:ascii="Times New Roman" w:hAnsi="Times New Roman" w:cs="Times New Roman"/>
          <w:b/>
          <w:color w:val="231F20"/>
          <w:sz w:val="24"/>
          <w:szCs w:val="24"/>
          <w:lang w:eastAsia="hr-HR"/>
        </w:rPr>
      </w:pPr>
      <w:r>
        <w:rPr>
          <w:rStyle w:val="fontstyle01"/>
          <w:rFonts w:ascii="Times New Roman" w:hAnsi="Times New Roman" w:cs="Times New Roman"/>
          <w:b/>
        </w:rPr>
        <w:lastRenderedPageBreak/>
        <w:t xml:space="preserve">KONAČNI </w:t>
      </w:r>
      <w:r w:rsidR="00EB60E7" w:rsidRPr="00420B40">
        <w:rPr>
          <w:rStyle w:val="fontstyle01"/>
          <w:rFonts w:ascii="Times New Roman" w:hAnsi="Times New Roman" w:cs="Times New Roman"/>
          <w:b/>
        </w:rPr>
        <w:t>PRIJEDLOG</w:t>
      </w:r>
      <w:r w:rsidR="00EB60E7" w:rsidRPr="00C003BC">
        <w:rPr>
          <w:rStyle w:val="fontstyle01"/>
          <w:rFonts w:ascii="Times New Roman" w:hAnsi="Times New Roman" w:cs="Times New Roman"/>
          <w:b/>
        </w:rPr>
        <w:t xml:space="preserve"> </w:t>
      </w:r>
      <w:r w:rsidR="00D026E5" w:rsidRPr="00C003BC">
        <w:rPr>
          <w:rStyle w:val="fontstyle01"/>
          <w:rFonts w:ascii="Times New Roman" w:hAnsi="Times New Roman" w:cs="Times New Roman"/>
          <w:b/>
        </w:rPr>
        <w:t>ZAKON</w:t>
      </w:r>
      <w:r w:rsidR="00EB60E7" w:rsidRPr="00C003BC">
        <w:rPr>
          <w:rStyle w:val="fontstyle01"/>
          <w:rFonts w:ascii="Times New Roman" w:hAnsi="Times New Roman" w:cs="Times New Roman"/>
          <w:b/>
        </w:rPr>
        <w:t>A</w:t>
      </w:r>
      <w:r w:rsidR="00D026E5" w:rsidRPr="00C003BC">
        <w:rPr>
          <w:rStyle w:val="fontstyle01"/>
          <w:rFonts w:ascii="Times New Roman" w:hAnsi="Times New Roman" w:cs="Times New Roman"/>
          <w:b/>
        </w:rPr>
        <w:t xml:space="preserve"> O IZMJENAMA </w:t>
      </w:r>
      <w:r w:rsidR="00F34B4C">
        <w:rPr>
          <w:rFonts w:ascii="Times New Roman" w:eastAsia="Times New Roman" w:hAnsi="Times New Roman" w:cs="Times New Roman"/>
          <w:b/>
          <w:sz w:val="24"/>
          <w:szCs w:val="24"/>
          <w:lang w:eastAsia="hr-HR"/>
        </w:rPr>
        <w:t>I DOPUNI</w:t>
      </w:r>
      <w:r w:rsidR="00F34B4C">
        <w:rPr>
          <w:rStyle w:val="fontstyle01"/>
          <w:rFonts w:ascii="Times New Roman" w:hAnsi="Times New Roman" w:cs="Times New Roman"/>
          <w:b/>
        </w:rPr>
        <w:t xml:space="preserve"> </w:t>
      </w:r>
      <w:r w:rsidR="00D026E5" w:rsidRPr="00C003BC">
        <w:rPr>
          <w:rFonts w:ascii="Times New Roman" w:hAnsi="Times New Roman" w:cs="Times New Roman"/>
          <w:b/>
          <w:color w:val="231F20"/>
          <w:sz w:val="24"/>
          <w:szCs w:val="24"/>
          <w:lang w:eastAsia="hr-HR"/>
        </w:rPr>
        <w:t xml:space="preserve">ZAKONA O </w:t>
      </w:r>
      <w:r w:rsidR="00893986" w:rsidRPr="00C003BC">
        <w:rPr>
          <w:rFonts w:ascii="Times New Roman" w:hAnsi="Times New Roman" w:cs="Times New Roman"/>
          <w:b/>
          <w:sz w:val="24"/>
          <w:szCs w:val="24"/>
          <w:lang w:eastAsia="hr-HR"/>
        </w:rPr>
        <w:t>SANACIJI KREDITNIH INSTITUCIJA I INVESTICIJSKIH DRUŠTAVA</w:t>
      </w:r>
    </w:p>
    <w:p w14:paraId="717847C3" w14:textId="77777777" w:rsidR="008A5032" w:rsidRPr="00C003BC" w:rsidRDefault="008A5032" w:rsidP="00C003BC">
      <w:pPr>
        <w:pStyle w:val="NoSpacing"/>
        <w:rPr>
          <w:rStyle w:val="fontstyle01"/>
          <w:rFonts w:ascii="Times New Roman" w:hAnsi="Times New Roman" w:cs="Times New Roman"/>
          <w:b/>
        </w:rPr>
      </w:pPr>
    </w:p>
    <w:p w14:paraId="1CF4B6B3" w14:textId="77777777" w:rsidR="00541CF8" w:rsidRDefault="00541CF8" w:rsidP="00541CF8">
      <w:pPr>
        <w:pStyle w:val="NoSpacing"/>
        <w:jc w:val="center"/>
        <w:rPr>
          <w:rStyle w:val="fontstyle01"/>
          <w:rFonts w:ascii="Times New Roman" w:hAnsi="Times New Roman" w:cs="Times New Roman"/>
          <w:b/>
        </w:rPr>
      </w:pPr>
      <w:r w:rsidRPr="00C003BC">
        <w:rPr>
          <w:rStyle w:val="fontstyle01"/>
          <w:rFonts w:ascii="Times New Roman" w:hAnsi="Times New Roman" w:cs="Times New Roman"/>
          <w:b/>
        </w:rPr>
        <w:t>Članak 1.</w:t>
      </w:r>
    </w:p>
    <w:p w14:paraId="7311B19D" w14:textId="078E02C9" w:rsidR="00541CF8" w:rsidRPr="00C003BC" w:rsidRDefault="006E37F6" w:rsidP="00541CF8">
      <w:pPr>
        <w:pStyle w:val="NoSpacing"/>
        <w:jc w:val="center"/>
        <w:rPr>
          <w:rStyle w:val="fontstyle01"/>
          <w:rFonts w:ascii="Times New Roman" w:hAnsi="Times New Roman" w:cs="Times New Roman"/>
          <w:b/>
        </w:rPr>
      </w:pPr>
      <w:r>
        <w:rPr>
          <w:rStyle w:val="fontstyle01"/>
          <w:rFonts w:ascii="Times New Roman" w:hAnsi="Times New Roman" w:cs="Times New Roman"/>
          <w:b/>
        </w:rPr>
        <w:tab/>
      </w:r>
    </w:p>
    <w:p w14:paraId="418AED7A" w14:textId="7404CB8F" w:rsidR="00541CF8" w:rsidRDefault="00541CF8" w:rsidP="00DE73AB">
      <w:pPr>
        <w:pStyle w:val="NoSpacing"/>
        <w:jc w:val="both"/>
        <w:rPr>
          <w:rFonts w:ascii="Times New Roman" w:hAnsi="Times New Roman" w:cs="Times New Roman"/>
          <w:color w:val="231F20"/>
          <w:sz w:val="24"/>
          <w:szCs w:val="24"/>
          <w:lang w:eastAsia="hr-HR"/>
        </w:rPr>
      </w:pPr>
      <w:r w:rsidRPr="00C003BC">
        <w:rPr>
          <w:rFonts w:ascii="Times New Roman" w:hAnsi="Times New Roman" w:cs="Times New Roman"/>
          <w:color w:val="231F20"/>
          <w:sz w:val="24"/>
          <w:szCs w:val="24"/>
          <w:lang w:eastAsia="hr-HR"/>
        </w:rPr>
        <w:t xml:space="preserve">U Zakonu o sanaciji kreditnih institucija i investicijskih društava („Narodne novine“, br. </w:t>
      </w:r>
      <w:bookmarkStart w:id="2" w:name="_Hlk168041425"/>
      <w:r w:rsidRPr="00C003BC">
        <w:rPr>
          <w:rFonts w:ascii="Times New Roman" w:hAnsi="Times New Roman" w:cs="Times New Roman"/>
          <w:color w:val="231F20"/>
          <w:sz w:val="24"/>
          <w:szCs w:val="24"/>
          <w:lang w:eastAsia="hr-HR"/>
        </w:rPr>
        <w:t>146/20.</w:t>
      </w:r>
      <w:r w:rsidR="00B82960">
        <w:rPr>
          <w:rFonts w:ascii="Times New Roman" w:hAnsi="Times New Roman" w:cs="Times New Roman"/>
          <w:color w:val="231F20"/>
          <w:sz w:val="24"/>
          <w:szCs w:val="24"/>
          <w:lang w:eastAsia="hr-HR"/>
        </w:rPr>
        <w:t xml:space="preserve">, </w:t>
      </w:r>
      <w:r w:rsidRPr="00C003BC">
        <w:rPr>
          <w:rFonts w:ascii="Times New Roman" w:hAnsi="Times New Roman" w:cs="Times New Roman"/>
          <w:color w:val="231F20"/>
          <w:sz w:val="24"/>
          <w:szCs w:val="24"/>
          <w:lang w:eastAsia="hr-HR"/>
        </w:rPr>
        <w:t>21/22.</w:t>
      </w:r>
      <w:r w:rsidR="004660A7">
        <w:rPr>
          <w:rFonts w:ascii="Times New Roman" w:hAnsi="Times New Roman" w:cs="Times New Roman"/>
          <w:color w:val="231F20"/>
          <w:sz w:val="24"/>
          <w:szCs w:val="24"/>
          <w:lang w:eastAsia="hr-HR"/>
        </w:rPr>
        <w:t>,</w:t>
      </w:r>
      <w:r w:rsidR="00B82960">
        <w:rPr>
          <w:rFonts w:ascii="Times New Roman" w:hAnsi="Times New Roman" w:cs="Times New Roman"/>
          <w:color w:val="231F20"/>
          <w:sz w:val="24"/>
          <w:szCs w:val="24"/>
          <w:lang w:eastAsia="hr-HR"/>
        </w:rPr>
        <w:t xml:space="preserve"> 27/24.</w:t>
      </w:r>
      <w:r w:rsidR="004660A7">
        <w:rPr>
          <w:rFonts w:ascii="Times New Roman" w:hAnsi="Times New Roman" w:cs="Times New Roman"/>
          <w:color w:val="231F20"/>
          <w:sz w:val="24"/>
          <w:szCs w:val="24"/>
          <w:lang w:eastAsia="hr-HR"/>
        </w:rPr>
        <w:t xml:space="preserve"> i 145/24.</w:t>
      </w:r>
      <w:r w:rsidRPr="00C003BC">
        <w:rPr>
          <w:rFonts w:ascii="Times New Roman" w:hAnsi="Times New Roman" w:cs="Times New Roman"/>
          <w:color w:val="231F20"/>
          <w:sz w:val="24"/>
          <w:szCs w:val="24"/>
          <w:lang w:eastAsia="hr-HR"/>
        </w:rPr>
        <w:t>)</w:t>
      </w:r>
      <w:r>
        <w:rPr>
          <w:rFonts w:ascii="Times New Roman" w:hAnsi="Times New Roman" w:cs="Times New Roman"/>
          <w:color w:val="231F20"/>
          <w:sz w:val="24"/>
          <w:szCs w:val="24"/>
          <w:lang w:eastAsia="hr-HR"/>
        </w:rPr>
        <w:t>,</w:t>
      </w:r>
      <w:r w:rsidRPr="00C003BC">
        <w:rPr>
          <w:rFonts w:ascii="Times New Roman" w:hAnsi="Times New Roman" w:cs="Times New Roman"/>
          <w:color w:val="231F20"/>
          <w:sz w:val="24"/>
          <w:szCs w:val="24"/>
          <w:lang w:eastAsia="hr-HR"/>
        </w:rPr>
        <w:t xml:space="preserve"> </w:t>
      </w:r>
      <w:bookmarkEnd w:id="2"/>
      <w:r w:rsidRPr="00C003BC">
        <w:rPr>
          <w:rFonts w:ascii="Times New Roman" w:hAnsi="Times New Roman" w:cs="Times New Roman"/>
          <w:color w:val="231F20"/>
          <w:sz w:val="24"/>
          <w:szCs w:val="24"/>
          <w:lang w:eastAsia="hr-HR"/>
        </w:rPr>
        <w:t xml:space="preserve">u članku </w:t>
      </w:r>
      <w:r w:rsidR="00DE73AB">
        <w:rPr>
          <w:rFonts w:ascii="Times New Roman" w:hAnsi="Times New Roman" w:cs="Times New Roman"/>
          <w:color w:val="231F20"/>
          <w:sz w:val="24"/>
          <w:szCs w:val="24"/>
          <w:lang w:eastAsia="hr-HR"/>
        </w:rPr>
        <w:t>4</w:t>
      </w:r>
      <w:r w:rsidRPr="00C003BC">
        <w:rPr>
          <w:rFonts w:ascii="Times New Roman" w:hAnsi="Times New Roman" w:cs="Times New Roman"/>
          <w:color w:val="231F20"/>
          <w:sz w:val="24"/>
          <w:szCs w:val="24"/>
          <w:lang w:eastAsia="hr-HR"/>
        </w:rPr>
        <w:t xml:space="preserve">. stavku </w:t>
      </w:r>
      <w:r w:rsidR="002C740A">
        <w:rPr>
          <w:rFonts w:ascii="Times New Roman" w:hAnsi="Times New Roman" w:cs="Times New Roman"/>
          <w:color w:val="231F20"/>
          <w:sz w:val="24"/>
          <w:szCs w:val="24"/>
          <w:lang w:eastAsia="hr-HR"/>
        </w:rPr>
        <w:t>2</w:t>
      </w:r>
      <w:r w:rsidRPr="00C003BC">
        <w:rPr>
          <w:rFonts w:ascii="Times New Roman" w:hAnsi="Times New Roman" w:cs="Times New Roman"/>
          <w:color w:val="231F20"/>
          <w:sz w:val="24"/>
          <w:szCs w:val="24"/>
          <w:lang w:eastAsia="hr-HR"/>
        </w:rPr>
        <w:t>.</w:t>
      </w:r>
      <w:r w:rsidR="00DE73AB">
        <w:rPr>
          <w:rFonts w:ascii="Times New Roman" w:hAnsi="Times New Roman" w:cs="Times New Roman"/>
          <w:color w:val="231F20"/>
          <w:sz w:val="24"/>
          <w:szCs w:val="24"/>
          <w:lang w:eastAsia="hr-HR"/>
        </w:rPr>
        <w:t xml:space="preserve"> </w:t>
      </w:r>
      <w:r w:rsidR="002C740A">
        <w:rPr>
          <w:rFonts w:ascii="Times New Roman" w:hAnsi="Times New Roman" w:cs="Times New Roman"/>
          <w:color w:val="231F20"/>
          <w:sz w:val="24"/>
          <w:szCs w:val="24"/>
          <w:lang w:eastAsia="hr-HR"/>
        </w:rPr>
        <w:t>točk</w:t>
      </w:r>
      <w:r w:rsidR="00B61D47">
        <w:rPr>
          <w:rFonts w:ascii="Times New Roman" w:hAnsi="Times New Roman" w:cs="Times New Roman"/>
          <w:color w:val="231F20"/>
          <w:sz w:val="24"/>
          <w:szCs w:val="24"/>
          <w:lang w:eastAsia="hr-HR"/>
        </w:rPr>
        <w:t>a</w:t>
      </w:r>
      <w:r w:rsidR="002C740A">
        <w:rPr>
          <w:rFonts w:ascii="Times New Roman" w:hAnsi="Times New Roman" w:cs="Times New Roman"/>
          <w:color w:val="231F20"/>
          <w:sz w:val="24"/>
          <w:szCs w:val="24"/>
          <w:lang w:eastAsia="hr-HR"/>
        </w:rPr>
        <w:t xml:space="preserve"> 8.</w:t>
      </w:r>
      <w:r w:rsidR="00CF0F7D">
        <w:rPr>
          <w:rFonts w:ascii="Times New Roman" w:hAnsi="Times New Roman" w:cs="Times New Roman"/>
          <w:color w:val="231F20"/>
          <w:sz w:val="24"/>
          <w:szCs w:val="24"/>
          <w:lang w:eastAsia="hr-HR"/>
        </w:rPr>
        <w:t xml:space="preserve"> </w:t>
      </w:r>
      <w:r w:rsidR="002C740A">
        <w:rPr>
          <w:rFonts w:ascii="Times New Roman" w:hAnsi="Times New Roman" w:cs="Times New Roman"/>
          <w:color w:val="231F20"/>
          <w:sz w:val="24"/>
          <w:szCs w:val="24"/>
          <w:lang w:eastAsia="hr-HR"/>
        </w:rPr>
        <w:t>mijenja se i glas</w:t>
      </w:r>
      <w:r w:rsidR="00B61D47">
        <w:rPr>
          <w:rFonts w:ascii="Times New Roman" w:hAnsi="Times New Roman" w:cs="Times New Roman"/>
          <w:color w:val="231F20"/>
          <w:sz w:val="24"/>
          <w:szCs w:val="24"/>
          <w:lang w:eastAsia="hr-HR"/>
        </w:rPr>
        <w:t>i</w:t>
      </w:r>
      <w:r w:rsidR="002C740A">
        <w:rPr>
          <w:rFonts w:ascii="Times New Roman" w:hAnsi="Times New Roman" w:cs="Times New Roman"/>
          <w:color w:val="231F20"/>
          <w:sz w:val="24"/>
          <w:szCs w:val="24"/>
          <w:lang w:eastAsia="hr-HR"/>
        </w:rPr>
        <w:t>:</w:t>
      </w:r>
    </w:p>
    <w:p w14:paraId="399FC463" w14:textId="77777777" w:rsidR="00B61D47" w:rsidRDefault="00B61D47" w:rsidP="00DE73AB">
      <w:pPr>
        <w:pStyle w:val="NoSpacing"/>
        <w:jc w:val="both"/>
        <w:rPr>
          <w:rFonts w:ascii="Times New Roman" w:hAnsi="Times New Roman" w:cs="Times New Roman"/>
          <w:color w:val="231F20"/>
          <w:sz w:val="24"/>
          <w:szCs w:val="24"/>
          <w:lang w:eastAsia="hr-HR"/>
        </w:rPr>
      </w:pPr>
    </w:p>
    <w:p w14:paraId="158F611C" w14:textId="25C52E5F" w:rsidR="00B61D47" w:rsidRDefault="00B61D47" w:rsidP="00DE73AB">
      <w:pPr>
        <w:pStyle w:val="NoSpacing"/>
        <w:jc w:val="both"/>
        <w:rPr>
          <w:rFonts w:ascii="Times New Roman" w:hAnsi="Times New Roman" w:cs="Times New Roman"/>
          <w:color w:val="231F20"/>
          <w:sz w:val="24"/>
          <w:szCs w:val="24"/>
          <w:lang w:eastAsia="hr-HR"/>
        </w:rPr>
      </w:pPr>
      <w:r>
        <w:rPr>
          <w:rFonts w:ascii="Times New Roman" w:hAnsi="Times New Roman" w:cs="Times New Roman"/>
          <w:color w:val="231F20"/>
          <w:sz w:val="24"/>
          <w:szCs w:val="24"/>
          <w:lang w:eastAsia="hr-HR"/>
        </w:rPr>
        <w:t>„</w:t>
      </w:r>
      <w:r w:rsidR="00CF0F7D" w:rsidRPr="00CF0F7D">
        <w:rPr>
          <w:rFonts w:ascii="Times New Roman" w:hAnsi="Times New Roman" w:cs="Times New Roman"/>
          <w:color w:val="231F20"/>
          <w:sz w:val="24"/>
          <w:szCs w:val="24"/>
          <w:lang w:eastAsia="hr-HR"/>
        </w:rPr>
        <w:t xml:space="preserve">8. </w:t>
      </w:r>
      <w:r w:rsidR="00CF0F7D" w:rsidRPr="0001685F">
        <w:rPr>
          <w:rFonts w:ascii="Times New Roman" w:hAnsi="Times New Roman" w:cs="Times New Roman"/>
          <w:i/>
          <w:color w:val="231F20"/>
          <w:sz w:val="24"/>
          <w:szCs w:val="24"/>
          <w:lang w:eastAsia="hr-HR"/>
        </w:rPr>
        <w:t>dužnički instrumenti</w:t>
      </w:r>
      <w:r w:rsidR="00CF0F7D" w:rsidRPr="00CF0F7D">
        <w:rPr>
          <w:rFonts w:ascii="Times New Roman" w:hAnsi="Times New Roman" w:cs="Times New Roman"/>
          <w:color w:val="231F20"/>
          <w:sz w:val="24"/>
          <w:szCs w:val="24"/>
          <w:lang w:eastAsia="hr-HR"/>
        </w:rPr>
        <w:t xml:space="preserve"> su za potrebe članka 97. stavka 1. točaka 7. i 10. ovoga Zakona obveznice i ostali oblici prenosivog duga, instrumenti koji stvaraju ili priznaju dug te instrumenti koji daju pravo na stjecanje dužničkih instrumenata, a za potrebe članka 32. ovoga Zakona obveznice i ostali oblici prenosivog duga</w:t>
      </w:r>
      <w:r w:rsidR="0037363F">
        <w:rPr>
          <w:rFonts w:ascii="Times New Roman" w:hAnsi="Times New Roman" w:cs="Times New Roman"/>
          <w:color w:val="231F20"/>
          <w:sz w:val="24"/>
          <w:szCs w:val="24"/>
          <w:lang w:eastAsia="hr-HR"/>
        </w:rPr>
        <w:t xml:space="preserve"> te</w:t>
      </w:r>
      <w:r w:rsidR="00CF0F7D" w:rsidRPr="00CF0F7D">
        <w:rPr>
          <w:rFonts w:ascii="Times New Roman" w:hAnsi="Times New Roman" w:cs="Times New Roman"/>
          <w:color w:val="231F20"/>
          <w:sz w:val="24"/>
          <w:szCs w:val="24"/>
          <w:lang w:eastAsia="hr-HR"/>
        </w:rPr>
        <w:t xml:space="preserve"> instrumenti koji stvaraju ili priznaju dug</w:t>
      </w:r>
      <w:r>
        <w:rPr>
          <w:rFonts w:ascii="Times New Roman" w:hAnsi="Times New Roman" w:cs="Times New Roman"/>
          <w:color w:val="231F20"/>
          <w:sz w:val="24"/>
          <w:szCs w:val="24"/>
          <w:lang w:eastAsia="hr-HR"/>
        </w:rPr>
        <w:t>“.</w:t>
      </w:r>
    </w:p>
    <w:p w14:paraId="5AD2652E" w14:textId="77777777" w:rsidR="00B61D47" w:rsidRDefault="00B61D47" w:rsidP="00DE73AB">
      <w:pPr>
        <w:pStyle w:val="NoSpacing"/>
        <w:jc w:val="both"/>
        <w:rPr>
          <w:rFonts w:ascii="Times New Roman" w:hAnsi="Times New Roman" w:cs="Times New Roman"/>
          <w:color w:val="231F20"/>
          <w:sz w:val="24"/>
          <w:szCs w:val="24"/>
          <w:lang w:eastAsia="hr-HR"/>
        </w:rPr>
      </w:pPr>
    </w:p>
    <w:p w14:paraId="0FC49C80" w14:textId="1890B02E" w:rsidR="009C44DC" w:rsidRDefault="00B61D47" w:rsidP="00D70E70">
      <w:pPr>
        <w:pStyle w:val="NoSpacing"/>
        <w:jc w:val="both"/>
        <w:rPr>
          <w:rFonts w:ascii="Times New Roman" w:hAnsi="Times New Roman" w:cs="Times New Roman"/>
          <w:color w:val="231F20"/>
          <w:sz w:val="24"/>
          <w:szCs w:val="24"/>
          <w:lang w:eastAsia="hr-HR"/>
        </w:rPr>
      </w:pPr>
      <w:r>
        <w:rPr>
          <w:rFonts w:ascii="Times New Roman" w:hAnsi="Times New Roman" w:cs="Times New Roman"/>
          <w:color w:val="231F20"/>
          <w:sz w:val="24"/>
          <w:szCs w:val="24"/>
          <w:lang w:eastAsia="hr-HR"/>
        </w:rPr>
        <w:t xml:space="preserve">Točka 68. </w:t>
      </w:r>
      <w:r w:rsidR="003E0D1C">
        <w:rPr>
          <w:rFonts w:ascii="Times New Roman" w:hAnsi="Times New Roman" w:cs="Times New Roman"/>
          <w:color w:val="231F20"/>
          <w:sz w:val="24"/>
          <w:szCs w:val="24"/>
          <w:lang w:eastAsia="hr-HR"/>
        </w:rPr>
        <w:t>briše</w:t>
      </w:r>
      <w:r>
        <w:rPr>
          <w:rFonts w:ascii="Times New Roman" w:hAnsi="Times New Roman" w:cs="Times New Roman"/>
          <w:color w:val="231F20"/>
          <w:sz w:val="24"/>
          <w:szCs w:val="24"/>
          <w:lang w:eastAsia="hr-HR"/>
        </w:rPr>
        <w:t xml:space="preserve"> se</w:t>
      </w:r>
      <w:r w:rsidR="003E0D1C">
        <w:rPr>
          <w:rFonts w:ascii="Times New Roman" w:hAnsi="Times New Roman" w:cs="Times New Roman"/>
          <w:color w:val="231F20"/>
          <w:sz w:val="24"/>
          <w:szCs w:val="24"/>
          <w:lang w:eastAsia="hr-HR"/>
        </w:rPr>
        <w:t>.</w:t>
      </w:r>
    </w:p>
    <w:p w14:paraId="7199227E" w14:textId="77777777" w:rsidR="00CF0F7D" w:rsidRPr="00C003BC" w:rsidRDefault="00CF0F7D" w:rsidP="00A639A8">
      <w:pPr>
        <w:pStyle w:val="NoSpacing"/>
        <w:jc w:val="both"/>
        <w:rPr>
          <w:rFonts w:ascii="Times New Roman" w:hAnsi="Times New Roman" w:cs="Times New Roman"/>
          <w:color w:val="231F20"/>
          <w:sz w:val="24"/>
          <w:szCs w:val="24"/>
          <w:lang w:eastAsia="hr-HR"/>
        </w:rPr>
      </w:pPr>
    </w:p>
    <w:p w14:paraId="439A175D" w14:textId="77777777" w:rsidR="00541CF8" w:rsidRPr="00E56F56" w:rsidRDefault="00541CF8" w:rsidP="00541CF8">
      <w:pPr>
        <w:pStyle w:val="NoSpacing"/>
        <w:jc w:val="center"/>
        <w:rPr>
          <w:rStyle w:val="fontstyle01"/>
          <w:rFonts w:ascii="Times New Roman" w:hAnsi="Times New Roman" w:cs="Times New Roman"/>
          <w:b/>
        </w:rPr>
      </w:pPr>
      <w:r w:rsidRPr="00E56F56">
        <w:rPr>
          <w:rStyle w:val="fontstyle01"/>
          <w:rFonts w:ascii="Times New Roman" w:hAnsi="Times New Roman" w:cs="Times New Roman"/>
          <w:b/>
        </w:rPr>
        <w:t>Članak 2.</w:t>
      </w:r>
    </w:p>
    <w:p w14:paraId="097F13EB" w14:textId="77777777" w:rsidR="00541CF8" w:rsidRPr="00B82960" w:rsidRDefault="00541CF8" w:rsidP="00541CF8">
      <w:pPr>
        <w:pStyle w:val="NoSpacing"/>
        <w:jc w:val="center"/>
        <w:rPr>
          <w:rStyle w:val="fontstyle01"/>
          <w:rFonts w:ascii="Times New Roman" w:hAnsi="Times New Roman" w:cs="Times New Roman"/>
          <w:b/>
          <w:highlight w:val="yellow"/>
        </w:rPr>
      </w:pPr>
    </w:p>
    <w:p w14:paraId="72514A90" w14:textId="72C2BB99" w:rsidR="00973204" w:rsidRDefault="00541CF8" w:rsidP="00DE73AB">
      <w:pPr>
        <w:pStyle w:val="NoSpacing"/>
        <w:jc w:val="both"/>
        <w:rPr>
          <w:rStyle w:val="fontstyle01"/>
          <w:rFonts w:ascii="Times New Roman" w:hAnsi="Times New Roman" w:cs="Times New Roman"/>
        </w:rPr>
      </w:pPr>
      <w:r w:rsidRPr="00E56F56">
        <w:rPr>
          <w:rStyle w:val="fontstyle01"/>
          <w:rFonts w:ascii="Times New Roman" w:hAnsi="Times New Roman" w:cs="Times New Roman"/>
        </w:rPr>
        <w:t xml:space="preserve">U članku </w:t>
      </w:r>
      <w:r w:rsidR="00DE73AB">
        <w:rPr>
          <w:rStyle w:val="fontstyle01"/>
          <w:rFonts w:ascii="Times New Roman" w:hAnsi="Times New Roman" w:cs="Times New Roman"/>
        </w:rPr>
        <w:t>9</w:t>
      </w:r>
      <w:r w:rsidRPr="00E56F56">
        <w:rPr>
          <w:rStyle w:val="fontstyle01"/>
          <w:rFonts w:ascii="Times New Roman" w:hAnsi="Times New Roman" w:cs="Times New Roman"/>
        </w:rPr>
        <w:t xml:space="preserve">. </w:t>
      </w:r>
      <w:r w:rsidR="000055ED">
        <w:rPr>
          <w:rStyle w:val="fontstyle01"/>
          <w:rFonts w:ascii="Times New Roman" w:hAnsi="Times New Roman" w:cs="Times New Roman"/>
        </w:rPr>
        <w:t>stavak 2. mijenja se i glasi:</w:t>
      </w:r>
    </w:p>
    <w:p w14:paraId="33A3E21B" w14:textId="77777777" w:rsidR="00864972" w:rsidRDefault="00864972" w:rsidP="00DE73AB">
      <w:pPr>
        <w:pStyle w:val="NoSpacing"/>
        <w:jc w:val="both"/>
        <w:rPr>
          <w:rStyle w:val="fontstyle01"/>
          <w:rFonts w:ascii="Times New Roman" w:hAnsi="Times New Roman" w:cs="Times New Roman"/>
        </w:rPr>
      </w:pPr>
    </w:p>
    <w:p w14:paraId="56D7135E" w14:textId="09286BD7" w:rsidR="003E59BA" w:rsidRDefault="00864972" w:rsidP="000055ED">
      <w:pPr>
        <w:pStyle w:val="NoSpacing"/>
        <w:jc w:val="both"/>
        <w:rPr>
          <w:rStyle w:val="fontstyle01"/>
          <w:rFonts w:ascii="Times New Roman" w:hAnsi="Times New Roman" w:cs="Times New Roman"/>
        </w:rPr>
      </w:pPr>
      <w:r>
        <w:rPr>
          <w:rStyle w:val="fontstyle01"/>
          <w:rFonts w:ascii="Times New Roman" w:hAnsi="Times New Roman" w:cs="Times New Roman"/>
        </w:rPr>
        <w:t>„</w:t>
      </w:r>
      <w:r w:rsidR="000055ED" w:rsidRPr="000055ED">
        <w:rPr>
          <w:rStyle w:val="fontstyle01"/>
          <w:rFonts w:ascii="Times New Roman" w:hAnsi="Times New Roman" w:cs="Times New Roman"/>
        </w:rPr>
        <w:t>(2) Hrvatska narodna banka odnosno Hrvatska agencija za nadzor financijskih usluga prije donošenja odluk</w:t>
      </w:r>
      <w:r w:rsidR="003E59BA">
        <w:rPr>
          <w:rStyle w:val="fontstyle01"/>
          <w:rFonts w:ascii="Times New Roman" w:hAnsi="Times New Roman" w:cs="Times New Roman"/>
        </w:rPr>
        <w:t xml:space="preserve">e </w:t>
      </w:r>
      <w:r w:rsidR="003E59BA" w:rsidRPr="000055ED">
        <w:rPr>
          <w:rStyle w:val="fontstyle01"/>
          <w:rFonts w:ascii="Times New Roman" w:hAnsi="Times New Roman" w:cs="Times New Roman"/>
        </w:rPr>
        <w:t>koj</w:t>
      </w:r>
      <w:r w:rsidR="003E59BA">
        <w:rPr>
          <w:rStyle w:val="fontstyle01"/>
          <w:rFonts w:ascii="Times New Roman" w:hAnsi="Times New Roman" w:cs="Times New Roman"/>
        </w:rPr>
        <w:t>a</w:t>
      </w:r>
      <w:r w:rsidR="003E59BA" w:rsidRPr="000055ED">
        <w:rPr>
          <w:rStyle w:val="fontstyle01"/>
          <w:rFonts w:ascii="Times New Roman" w:hAnsi="Times New Roman" w:cs="Times New Roman"/>
        </w:rPr>
        <w:t xml:space="preserve"> </w:t>
      </w:r>
      <w:r w:rsidR="003E59BA">
        <w:rPr>
          <w:rStyle w:val="fontstyle01"/>
          <w:rFonts w:ascii="Times New Roman" w:hAnsi="Times New Roman" w:cs="Times New Roman"/>
        </w:rPr>
        <w:t>ima</w:t>
      </w:r>
      <w:r w:rsidR="003E59BA" w:rsidRPr="000055ED">
        <w:rPr>
          <w:rStyle w:val="fontstyle01"/>
          <w:rFonts w:ascii="Times New Roman" w:hAnsi="Times New Roman" w:cs="Times New Roman"/>
        </w:rPr>
        <w:t xml:space="preserve"> </w:t>
      </w:r>
      <w:r w:rsidR="003E59BA">
        <w:rPr>
          <w:rStyle w:val="fontstyle01"/>
          <w:rFonts w:ascii="Times New Roman" w:hAnsi="Times New Roman" w:cs="Times New Roman"/>
        </w:rPr>
        <w:t>izravni fiskalni učinak</w:t>
      </w:r>
      <w:r w:rsidR="003E59BA" w:rsidRPr="000055ED">
        <w:rPr>
          <w:rStyle w:val="fontstyle01"/>
          <w:rFonts w:ascii="Times New Roman" w:hAnsi="Times New Roman" w:cs="Times New Roman"/>
        </w:rPr>
        <w:t xml:space="preserve"> ili sistemske implikacije</w:t>
      </w:r>
      <w:r w:rsidR="003E59BA">
        <w:rPr>
          <w:rStyle w:val="fontstyle01"/>
          <w:rFonts w:ascii="Times New Roman" w:hAnsi="Times New Roman" w:cs="Times New Roman"/>
        </w:rPr>
        <w:t xml:space="preserve"> </w:t>
      </w:r>
      <w:r w:rsidR="003E59BA" w:rsidRPr="000055ED">
        <w:rPr>
          <w:rStyle w:val="fontstyle01"/>
          <w:rFonts w:ascii="Times New Roman" w:hAnsi="Times New Roman" w:cs="Times New Roman"/>
        </w:rPr>
        <w:t xml:space="preserve">pribavlja suglasnost Ministarstva financija za </w:t>
      </w:r>
      <w:r w:rsidR="003E59BA">
        <w:rPr>
          <w:rStyle w:val="fontstyle01"/>
          <w:rFonts w:ascii="Times New Roman" w:hAnsi="Times New Roman" w:cs="Times New Roman"/>
        </w:rPr>
        <w:t>njezino</w:t>
      </w:r>
      <w:r w:rsidR="003E59BA" w:rsidRPr="000055ED">
        <w:rPr>
          <w:rStyle w:val="fontstyle01"/>
          <w:rFonts w:ascii="Times New Roman" w:hAnsi="Times New Roman" w:cs="Times New Roman"/>
        </w:rPr>
        <w:t xml:space="preserve"> donošenje</w:t>
      </w:r>
      <w:r w:rsidR="000055ED" w:rsidRPr="000055ED">
        <w:rPr>
          <w:rStyle w:val="fontstyle01"/>
          <w:rFonts w:ascii="Times New Roman" w:hAnsi="Times New Roman" w:cs="Times New Roman"/>
        </w:rPr>
        <w:t xml:space="preserve">, osim ako je riječ o </w:t>
      </w:r>
      <w:r w:rsidR="003E59BA">
        <w:rPr>
          <w:rStyle w:val="fontstyle01"/>
          <w:rFonts w:ascii="Times New Roman" w:hAnsi="Times New Roman" w:cs="Times New Roman"/>
        </w:rPr>
        <w:t>odluci koja je</w:t>
      </w:r>
      <w:r w:rsidR="003E59BA" w:rsidRPr="000055ED">
        <w:rPr>
          <w:rStyle w:val="fontstyle01"/>
          <w:rFonts w:ascii="Times New Roman" w:hAnsi="Times New Roman" w:cs="Times New Roman"/>
        </w:rPr>
        <w:t xml:space="preserve"> </w:t>
      </w:r>
      <w:r w:rsidR="000055ED" w:rsidRPr="000055ED">
        <w:rPr>
          <w:rStyle w:val="fontstyle01"/>
          <w:rFonts w:ascii="Times New Roman" w:hAnsi="Times New Roman" w:cs="Times New Roman"/>
        </w:rPr>
        <w:t>predviđena sanacijskim planom o kojem je Ministarstvo financija prethodno obaviješteno.</w:t>
      </w:r>
      <w:r>
        <w:rPr>
          <w:rStyle w:val="fontstyle01"/>
          <w:rFonts w:ascii="Times New Roman" w:hAnsi="Times New Roman" w:cs="Times New Roman"/>
        </w:rPr>
        <w:t>“.</w:t>
      </w:r>
    </w:p>
    <w:p w14:paraId="78299ABE" w14:textId="77777777" w:rsidR="003E59BA" w:rsidRDefault="003E59BA" w:rsidP="000055ED">
      <w:pPr>
        <w:pStyle w:val="NoSpacing"/>
        <w:jc w:val="both"/>
        <w:rPr>
          <w:rStyle w:val="fontstyle01"/>
          <w:rFonts w:ascii="Times New Roman" w:hAnsi="Times New Roman" w:cs="Times New Roman"/>
        </w:rPr>
      </w:pPr>
    </w:p>
    <w:p w14:paraId="27089236" w14:textId="77777777" w:rsidR="00F41310" w:rsidRDefault="00F41310" w:rsidP="000055ED">
      <w:pPr>
        <w:pStyle w:val="NoSpacing"/>
        <w:jc w:val="both"/>
        <w:rPr>
          <w:rStyle w:val="fontstyle01"/>
          <w:rFonts w:ascii="Times New Roman" w:hAnsi="Times New Roman" w:cs="Times New Roman"/>
        </w:rPr>
      </w:pPr>
      <w:r w:rsidRPr="00F41310">
        <w:rPr>
          <w:rStyle w:val="fontstyle01"/>
          <w:rFonts w:ascii="Times New Roman" w:hAnsi="Times New Roman" w:cs="Times New Roman"/>
        </w:rPr>
        <w:t xml:space="preserve">Iza stavka </w:t>
      </w:r>
      <w:r>
        <w:rPr>
          <w:rStyle w:val="fontstyle01"/>
          <w:rFonts w:ascii="Times New Roman" w:hAnsi="Times New Roman" w:cs="Times New Roman"/>
        </w:rPr>
        <w:t>7</w:t>
      </w:r>
      <w:r w:rsidRPr="00F41310">
        <w:rPr>
          <w:rStyle w:val="fontstyle01"/>
          <w:rFonts w:ascii="Times New Roman" w:hAnsi="Times New Roman" w:cs="Times New Roman"/>
        </w:rPr>
        <w:t xml:space="preserve">. dodaje se stavak </w:t>
      </w:r>
      <w:r>
        <w:rPr>
          <w:rStyle w:val="fontstyle01"/>
          <w:rFonts w:ascii="Times New Roman" w:hAnsi="Times New Roman" w:cs="Times New Roman"/>
        </w:rPr>
        <w:t>8</w:t>
      </w:r>
      <w:r w:rsidRPr="00F41310">
        <w:rPr>
          <w:rStyle w:val="fontstyle01"/>
          <w:rFonts w:ascii="Times New Roman" w:hAnsi="Times New Roman" w:cs="Times New Roman"/>
        </w:rPr>
        <w:t>. koji glasi:</w:t>
      </w:r>
    </w:p>
    <w:p w14:paraId="152E0B31" w14:textId="77777777" w:rsidR="00F41310" w:rsidRDefault="00F41310" w:rsidP="000055ED">
      <w:pPr>
        <w:pStyle w:val="NoSpacing"/>
        <w:jc w:val="both"/>
        <w:rPr>
          <w:rStyle w:val="fontstyle01"/>
          <w:rFonts w:ascii="Times New Roman" w:hAnsi="Times New Roman" w:cs="Times New Roman"/>
        </w:rPr>
      </w:pPr>
    </w:p>
    <w:p w14:paraId="1FEBCE08" w14:textId="49770EE4" w:rsidR="000055ED" w:rsidRPr="000055ED" w:rsidRDefault="00F41310" w:rsidP="000055ED">
      <w:pPr>
        <w:pStyle w:val="NoSpacing"/>
        <w:jc w:val="both"/>
        <w:rPr>
          <w:rStyle w:val="fontstyle01"/>
          <w:rFonts w:ascii="Times New Roman" w:hAnsi="Times New Roman" w:cs="Times New Roman"/>
        </w:rPr>
      </w:pPr>
      <w:r>
        <w:rPr>
          <w:rStyle w:val="fontstyle01"/>
          <w:rFonts w:ascii="Times New Roman" w:hAnsi="Times New Roman" w:cs="Times New Roman"/>
        </w:rPr>
        <w:t>„</w:t>
      </w:r>
      <w:r w:rsidR="00DE7A5A">
        <w:rPr>
          <w:rStyle w:val="fontstyle01"/>
          <w:rFonts w:ascii="Times New Roman" w:hAnsi="Times New Roman" w:cs="Times New Roman"/>
        </w:rPr>
        <w:t xml:space="preserve">(8) </w:t>
      </w:r>
      <w:r w:rsidRPr="00F41310">
        <w:rPr>
          <w:rStyle w:val="fontstyle01"/>
          <w:rFonts w:ascii="Times New Roman" w:hAnsi="Times New Roman" w:cs="Times New Roman"/>
        </w:rPr>
        <w:t xml:space="preserve">Hrvatska narodna banka odnosno Hrvatska agencija za nadzor financijskih usluga s Ministarstvom financija međusobno razmjenjuje informacije </w:t>
      </w:r>
      <w:r>
        <w:rPr>
          <w:rStyle w:val="fontstyle01"/>
          <w:rFonts w:ascii="Times New Roman" w:hAnsi="Times New Roman" w:cs="Times New Roman"/>
        </w:rPr>
        <w:t>koje se odnose na</w:t>
      </w:r>
      <w:r w:rsidR="006009A9">
        <w:rPr>
          <w:rStyle w:val="fontstyle01"/>
          <w:rFonts w:ascii="Times New Roman" w:hAnsi="Times New Roman" w:cs="Times New Roman"/>
        </w:rPr>
        <w:t xml:space="preserve"> odluku</w:t>
      </w:r>
      <w:r w:rsidRPr="00F41310">
        <w:rPr>
          <w:rStyle w:val="fontstyle01"/>
          <w:rFonts w:ascii="Times New Roman" w:hAnsi="Times New Roman" w:cs="Times New Roman"/>
        </w:rPr>
        <w:t xml:space="preserve"> i</w:t>
      </w:r>
      <w:r w:rsidR="005F1886">
        <w:rPr>
          <w:rStyle w:val="fontstyle01"/>
          <w:rFonts w:ascii="Times New Roman" w:hAnsi="Times New Roman" w:cs="Times New Roman"/>
        </w:rPr>
        <w:t>li</w:t>
      </w:r>
      <w:r w:rsidRPr="00F41310">
        <w:rPr>
          <w:rStyle w:val="fontstyle01"/>
          <w:rFonts w:ascii="Times New Roman" w:hAnsi="Times New Roman" w:cs="Times New Roman"/>
        </w:rPr>
        <w:t xml:space="preserve"> </w:t>
      </w:r>
      <w:r>
        <w:rPr>
          <w:rStyle w:val="fontstyle01"/>
          <w:rFonts w:ascii="Times New Roman" w:hAnsi="Times New Roman" w:cs="Times New Roman"/>
        </w:rPr>
        <w:t>pitanj</w:t>
      </w:r>
      <w:r w:rsidR="006009A9">
        <w:rPr>
          <w:rStyle w:val="fontstyle01"/>
          <w:rFonts w:ascii="Times New Roman" w:hAnsi="Times New Roman" w:cs="Times New Roman"/>
        </w:rPr>
        <w:t>e o kojem</w:t>
      </w:r>
      <w:r>
        <w:rPr>
          <w:rStyle w:val="fontstyle01"/>
          <w:rFonts w:ascii="Times New Roman" w:hAnsi="Times New Roman" w:cs="Times New Roman"/>
        </w:rPr>
        <w:t xml:space="preserve"> je potrebno obavijestiti </w:t>
      </w:r>
      <w:r w:rsidRPr="00F41310">
        <w:rPr>
          <w:rStyle w:val="fontstyle01"/>
          <w:rFonts w:ascii="Times New Roman" w:hAnsi="Times New Roman" w:cs="Times New Roman"/>
        </w:rPr>
        <w:t>Minist</w:t>
      </w:r>
      <w:r>
        <w:rPr>
          <w:rStyle w:val="fontstyle01"/>
          <w:rFonts w:ascii="Times New Roman" w:hAnsi="Times New Roman" w:cs="Times New Roman"/>
        </w:rPr>
        <w:t>arstvo</w:t>
      </w:r>
      <w:r w:rsidRPr="00F41310">
        <w:rPr>
          <w:rStyle w:val="fontstyle01"/>
          <w:rFonts w:ascii="Times New Roman" w:hAnsi="Times New Roman" w:cs="Times New Roman"/>
        </w:rPr>
        <w:t xml:space="preserve"> financija</w:t>
      </w:r>
      <w:r>
        <w:rPr>
          <w:rStyle w:val="fontstyle01"/>
          <w:rFonts w:ascii="Times New Roman" w:hAnsi="Times New Roman" w:cs="Times New Roman"/>
        </w:rPr>
        <w:t xml:space="preserve">, savjetovati se s </w:t>
      </w:r>
      <w:r w:rsidRPr="00F41310">
        <w:rPr>
          <w:rStyle w:val="fontstyle01"/>
          <w:rFonts w:ascii="Times New Roman" w:hAnsi="Times New Roman" w:cs="Times New Roman"/>
        </w:rPr>
        <w:t>Ministarstvom financija</w:t>
      </w:r>
      <w:r>
        <w:rPr>
          <w:rStyle w:val="fontstyle01"/>
          <w:rFonts w:ascii="Times New Roman" w:hAnsi="Times New Roman" w:cs="Times New Roman"/>
        </w:rPr>
        <w:t xml:space="preserve"> ili pribaviti suglasnost </w:t>
      </w:r>
      <w:r w:rsidRPr="00F41310">
        <w:rPr>
          <w:rStyle w:val="fontstyle01"/>
          <w:rFonts w:ascii="Times New Roman" w:hAnsi="Times New Roman" w:cs="Times New Roman"/>
        </w:rPr>
        <w:t>Minist</w:t>
      </w:r>
      <w:r>
        <w:rPr>
          <w:rStyle w:val="fontstyle01"/>
          <w:rFonts w:ascii="Times New Roman" w:hAnsi="Times New Roman" w:cs="Times New Roman"/>
        </w:rPr>
        <w:t>arstva</w:t>
      </w:r>
      <w:r w:rsidRPr="00F41310">
        <w:rPr>
          <w:rStyle w:val="fontstyle01"/>
          <w:rFonts w:ascii="Times New Roman" w:hAnsi="Times New Roman" w:cs="Times New Roman"/>
        </w:rPr>
        <w:t xml:space="preserve"> financija</w:t>
      </w:r>
      <w:r>
        <w:rPr>
          <w:rStyle w:val="fontstyle01"/>
          <w:rFonts w:ascii="Times New Roman" w:hAnsi="Times New Roman" w:cs="Times New Roman"/>
        </w:rPr>
        <w:t xml:space="preserve">, kao i </w:t>
      </w:r>
      <w:r w:rsidR="006009A9" w:rsidRPr="00F41310">
        <w:rPr>
          <w:rStyle w:val="fontstyle01"/>
          <w:rFonts w:ascii="Times New Roman" w:hAnsi="Times New Roman" w:cs="Times New Roman"/>
        </w:rPr>
        <w:t xml:space="preserve">informacije </w:t>
      </w:r>
      <w:r w:rsidR="006009A9">
        <w:rPr>
          <w:rStyle w:val="fontstyle01"/>
          <w:rFonts w:ascii="Times New Roman" w:hAnsi="Times New Roman" w:cs="Times New Roman"/>
        </w:rPr>
        <w:t>koje se odnose na odluku</w:t>
      </w:r>
      <w:r w:rsidR="006009A9" w:rsidRPr="00F41310">
        <w:rPr>
          <w:rStyle w:val="fontstyle01"/>
          <w:rFonts w:ascii="Times New Roman" w:hAnsi="Times New Roman" w:cs="Times New Roman"/>
        </w:rPr>
        <w:t xml:space="preserve"> i</w:t>
      </w:r>
      <w:r w:rsidR="00FB3C40">
        <w:rPr>
          <w:rStyle w:val="fontstyle01"/>
          <w:rFonts w:ascii="Times New Roman" w:hAnsi="Times New Roman" w:cs="Times New Roman"/>
        </w:rPr>
        <w:t>li</w:t>
      </w:r>
      <w:r w:rsidR="006009A9" w:rsidRPr="00F41310">
        <w:rPr>
          <w:rStyle w:val="fontstyle01"/>
          <w:rFonts w:ascii="Times New Roman" w:hAnsi="Times New Roman" w:cs="Times New Roman"/>
        </w:rPr>
        <w:t xml:space="preserve"> </w:t>
      </w:r>
      <w:r w:rsidR="006009A9">
        <w:rPr>
          <w:rStyle w:val="fontstyle01"/>
          <w:rFonts w:ascii="Times New Roman" w:hAnsi="Times New Roman" w:cs="Times New Roman"/>
        </w:rPr>
        <w:t>pitanje</w:t>
      </w:r>
      <w:r>
        <w:rPr>
          <w:rStyle w:val="fontstyle01"/>
          <w:rFonts w:ascii="Times New Roman" w:hAnsi="Times New Roman" w:cs="Times New Roman"/>
        </w:rPr>
        <w:t xml:space="preserve"> </w:t>
      </w:r>
      <w:r w:rsidR="006009A9">
        <w:rPr>
          <w:rStyle w:val="fontstyle01"/>
          <w:rFonts w:ascii="Times New Roman" w:hAnsi="Times New Roman" w:cs="Times New Roman"/>
        </w:rPr>
        <w:t>koje može</w:t>
      </w:r>
      <w:r w:rsidRPr="00F41310">
        <w:rPr>
          <w:rStyle w:val="fontstyle01"/>
          <w:rFonts w:ascii="Times New Roman" w:hAnsi="Times New Roman" w:cs="Times New Roman"/>
        </w:rPr>
        <w:t xml:space="preserve"> imati </w:t>
      </w:r>
      <w:r w:rsidR="00CD6298" w:rsidRPr="00CD6298">
        <w:rPr>
          <w:rFonts w:ascii="Times New Roman" w:hAnsi="Times New Roman" w:cs="Times New Roman"/>
          <w:color w:val="000000"/>
          <w:sz w:val="24"/>
          <w:szCs w:val="24"/>
        </w:rPr>
        <w:t xml:space="preserve">implikacije </w:t>
      </w:r>
      <w:r w:rsidR="00CD6298">
        <w:rPr>
          <w:rStyle w:val="fontstyle01"/>
          <w:rFonts w:ascii="Times New Roman" w:hAnsi="Times New Roman" w:cs="Times New Roman"/>
        </w:rPr>
        <w:t>za</w:t>
      </w:r>
      <w:r w:rsidRPr="00F41310">
        <w:rPr>
          <w:rStyle w:val="fontstyle01"/>
          <w:rFonts w:ascii="Times New Roman" w:hAnsi="Times New Roman" w:cs="Times New Roman"/>
        </w:rPr>
        <w:t xml:space="preserve"> javna sredstva.</w:t>
      </w:r>
      <w:r>
        <w:rPr>
          <w:rStyle w:val="fontstyle01"/>
          <w:rFonts w:ascii="Times New Roman" w:hAnsi="Times New Roman" w:cs="Times New Roman"/>
        </w:rPr>
        <w:t>“.</w:t>
      </w:r>
    </w:p>
    <w:p w14:paraId="7F727CC8" w14:textId="77777777" w:rsidR="00DE73AB" w:rsidRDefault="00DE73AB" w:rsidP="00DE73AB">
      <w:pPr>
        <w:pStyle w:val="NoSpacing"/>
        <w:jc w:val="both"/>
        <w:rPr>
          <w:rFonts w:ascii="Times New Roman" w:hAnsi="Times New Roman" w:cs="Times New Roman"/>
          <w:color w:val="231F20"/>
          <w:sz w:val="24"/>
          <w:szCs w:val="24"/>
        </w:rPr>
      </w:pPr>
    </w:p>
    <w:p w14:paraId="690E814B" w14:textId="77777777" w:rsidR="00973204" w:rsidRPr="00E862CA" w:rsidRDefault="00973204" w:rsidP="00973204">
      <w:pPr>
        <w:pStyle w:val="NoSpacing"/>
        <w:jc w:val="center"/>
        <w:rPr>
          <w:rStyle w:val="fontstyle01"/>
          <w:rFonts w:ascii="Times New Roman" w:hAnsi="Times New Roman" w:cs="Times New Roman"/>
          <w:b/>
        </w:rPr>
      </w:pPr>
      <w:bookmarkStart w:id="3" w:name="_Hlk171935976"/>
      <w:r w:rsidRPr="00E862CA">
        <w:rPr>
          <w:rStyle w:val="fontstyle01"/>
          <w:rFonts w:ascii="Times New Roman" w:hAnsi="Times New Roman" w:cs="Times New Roman"/>
          <w:b/>
        </w:rPr>
        <w:t>Članak 3.</w:t>
      </w:r>
    </w:p>
    <w:p w14:paraId="1276EAA4" w14:textId="77777777" w:rsidR="00973204" w:rsidRPr="00E56F56" w:rsidRDefault="00973204" w:rsidP="0084035F">
      <w:pPr>
        <w:pStyle w:val="NoSpacing"/>
        <w:jc w:val="both"/>
        <w:rPr>
          <w:rFonts w:ascii="Times New Roman" w:hAnsi="Times New Roman" w:cs="Times New Roman"/>
          <w:color w:val="231F20"/>
          <w:sz w:val="24"/>
          <w:szCs w:val="24"/>
        </w:rPr>
      </w:pPr>
    </w:p>
    <w:p w14:paraId="12D18ED6" w14:textId="1F5EB694" w:rsidR="00DE73AB" w:rsidRDefault="00DE73AB" w:rsidP="000C2674">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Č</w:t>
      </w:r>
      <w:r w:rsidR="000C2674" w:rsidRPr="000C2674">
        <w:rPr>
          <w:rFonts w:ascii="Times New Roman" w:hAnsi="Times New Roman" w:cs="Times New Roman"/>
          <w:color w:val="231F20"/>
          <w:sz w:val="24"/>
          <w:szCs w:val="24"/>
        </w:rPr>
        <w:t>lan</w:t>
      </w:r>
      <w:r>
        <w:rPr>
          <w:rFonts w:ascii="Times New Roman" w:hAnsi="Times New Roman" w:cs="Times New Roman"/>
          <w:color w:val="231F20"/>
          <w:sz w:val="24"/>
          <w:szCs w:val="24"/>
        </w:rPr>
        <w:t>ak</w:t>
      </w:r>
      <w:r w:rsidR="000C2674" w:rsidRPr="000C2674">
        <w:rPr>
          <w:rFonts w:ascii="Times New Roman" w:hAnsi="Times New Roman" w:cs="Times New Roman"/>
          <w:color w:val="231F20"/>
          <w:sz w:val="24"/>
          <w:szCs w:val="24"/>
        </w:rPr>
        <w:t xml:space="preserve"> </w:t>
      </w:r>
      <w:r>
        <w:rPr>
          <w:rFonts w:ascii="Times New Roman" w:hAnsi="Times New Roman" w:cs="Times New Roman"/>
          <w:color w:val="231F20"/>
          <w:sz w:val="24"/>
          <w:szCs w:val="24"/>
        </w:rPr>
        <w:t>32</w:t>
      </w:r>
      <w:r w:rsidR="000C2674" w:rsidRPr="000C2674">
        <w:rPr>
          <w:rFonts w:ascii="Times New Roman" w:hAnsi="Times New Roman" w:cs="Times New Roman"/>
          <w:color w:val="231F20"/>
          <w:sz w:val="24"/>
          <w:szCs w:val="24"/>
        </w:rPr>
        <w:t xml:space="preserve">. </w:t>
      </w:r>
      <w:r>
        <w:rPr>
          <w:rFonts w:ascii="Times New Roman" w:hAnsi="Times New Roman" w:cs="Times New Roman"/>
          <w:color w:val="231F20"/>
          <w:sz w:val="24"/>
          <w:szCs w:val="24"/>
        </w:rPr>
        <w:t>mijenja se i glasi:</w:t>
      </w:r>
    </w:p>
    <w:p w14:paraId="0F8F0CCF" w14:textId="77777777" w:rsidR="00B96D22" w:rsidRDefault="00B96D22" w:rsidP="000C2674">
      <w:pPr>
        <w:pStyle w:val="NoSpacing"/>
        <w:jc w:val="both"/>
        <w:rPr>
          <w:rFonts w:ascii="Times New Roman" w:hAnsi="Times New Roman" w:cs="Times New Roman"/>
          <w:color w:val="231F20"/>
          <w:sz w:val="24"/>
          <w:szCs w:val="24"/>
        </w:rPr>
      </w:pPr>
    </w:p>
    <w:p w14:paraId="4FC6FB3D" w14:textId="5AFACE2C" w:rsidR="00606212" w:rsidRDefault="00B96D22" w:rsidP="00606212">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w:t>
      </w:r>
      <w:r w:rsidR="00606212" w:rsidRPr="00606212">
        <w:rPr>
          <w:rFonts w:ascii="Times New Roman" w:hAnsi="Times New Roman" w:cs="Times New Roman"/>
          <w:color w:val="231F20"/>
          <w:sz w:val="24"/>
          <w:szCs w:val="24"/>
        </w:rPr>
        <w:t>(1) U slučaju redovnog postupka zbog insolventnosti pokrenut</w:t>
      </w:r>
      <w:r>
        <w:rPr>
          <w:rFonts w:ascii="Times New Roman" w:hAnsi="Times New Roman" w:cs="Times New Roman"/>
          <w:color w:val="231F20"/>
          <w:sz w:val="24"/>
          <w:szCs w:val="24"/>
        </w:rPr>
        <w:t>og</w:t>
      </w:r>
      <w:r w:rsidR="00606212" w:rsidRPr="00606212">
        <w:rPr>
          <w:rFonts w:ascii="Times New Roman" w:hAnsi="Times New Roman" w:cs="Times New Roman"/>
          <w:color w:val="231F20"/>
          <w:sz w:val="24"/>
          <w:szCs w:val="24"/>
        </w:rPr>
        <w:t xml:space="preserve"> nad institucijom ili subjektom iz članka 3. točke 2., 3. ili 4. ovoga Zakona, neosigurane tražbine po osnovi </w:t>
      </w:r>
      <w:r w:rsidR="00655D50" w:rsidRPr="00655D50">
        <w:rPr>
          <w:rFonts w:ascii="Times New Roman" w:hAnsi="Times New Roman" w:cs="Times New Roman"/>
          <w:color w:val="231F20"/>
          <w:sz w:val="24"/>
          <w:szCs w:val="24"/>
        </w:rPr>
        <w:t>nepovlašteni</w:t>
      </w:r>
      <w:r w:rsidR="00655D50">
        <w:rPr>
          <w:rFonts w:ascii="Times New Roman" w:hAnsi="Times New Roman" w:cs="Times New Roman"/>
          <w:color w:val="231F20"/>
          <w:sz w:val="24"/>
          <w:szCs w:val="24"/>
        </w:rPr>
        <w:t>h</w:t>
      </w:r>
      <w:r w:rsidR="00655D50" w:rsidRPr="00655D50">
        <w:rPr>
          <w:rFonts w:ascii="Times New Roman" w:hAnsi="Times New Roman" w:cs="Times New Roman"/>
          <w:color w:val="231F20"/>
          <w:sz w:val="24"/>
          <w:szCs w:val="24"/>
        </w:rPr>
        <w:t xml:space="preserve"> neosigurani</w:t>
      </w:r>
      <w:r w:rsidR="00655D50">
        <w:rPr>
          <w:rFonts w:ascii="Times New Roman" w:hAnsi="Times New Roman" w:cs="Times New Roman"/>
          <w:color w:val="231F20"/>
          <w:sz w:val="24"/>
          <w:szCs w:val="24"/>
        </w:rPr>
        <w:t>h</w:t>
      </w:r>
      <w:r w:rsidR="00655D50" w:rsidRPr="00655D50">
        <w:rPr>
          <w:rFonts w:ascii="Times New Roman" w:hAnsi="Times New Roman" w:cs="Times New Roman"/>
          <w:color w:val="231F20"/>
          <w:sz w:val="24"/>
          <w:szCs w:val="24"/>
        </w:rPr>
        <w:t xml:space="preserve"> </w:t>
      </w:r>
      <w:r w:rsidR="00606212" w:rsidRPr="00606212">
        <w:rPr>
          <w:rFonts w:ascii="Times New Roman" w:hAnsi="Times New Roman" w:cs="Times New Roman"/>
          <w:color w:val="231F20"/>
          <w:sz w:val="24"/>
          <w:szCs w:val="24"/>
        </w:rPr>
        <w:t xml:space="preserve">dužničkih instrumenata iz stavka 2. ovoga članka </w:t>
      </w:r>
      <w:r w:rsidR="00E47249">
        <w:rPr>
          <w:rFonts w:ascii="Times New Roman" w:hAnsi="Times New Roman" w:cs="Times New Roman"/>
          <w:bCs/>
          <w:sz w:val="24"/>
          <w:szCs w:val="24"/>
        </w:rPr>
        <w:t>utvrđuju</w:t>
      </w:r>
      <w:r w:rsidR="00E47249" w:rsidRPr="00320D35">
        <w:rPr>
          <w:rFonts w:ascii="Times New Roman" w:hAnsi="Times New Roman" w:cs="Times New Roman"/>
          <w:bCs/>
          <w:sz w:val="24"/>
          <w:szCs w:val="24"/>
        </w:rPr>
        <w:t xml:space="preserve"> se kao poseban viši isplatni red </w:t>
      </w:r>
      <w:r w:rsidR="00E47249">
        <w:rPr>
          <w:rFonts w:ascii="Times New Roman" w:hAnsi="Times New Roman" w:cs="Times New Roman"/>
          <w:bCs/>
          <w:sz w:val="24"/>
          <w:szCs w:val="24"/>
        </w:rPr>
        <w:t>koji</w:t>
      </w:r>
      <w:r w:rsidR="00E47249" w:rsidRPr="00320D35">
        <w:rPr>
          <w:rFonts w:ascii="Times New Roman" w:hAnsi="Times New Roman" w:cs="Times New Roman"/>
          <w:bCs/>
          <w:sz w:val="24"/>
          <w:szCs w:val="24"/>
        </w:rPr>
        <w:t xml:space="preserve"> se </w:t>
      </w:r>
      <w:r w:rsidR="00E47249">
        <w:rPr>
          <w:rFonts w:ascii="Times New Roman" w:hAnsi="Times New Roman" w:cs="Times New Roman"/>
          <w:bCs/>
          <w:sz w:val="24"/>
          <w:szCs w:val="24"/>
        </w:rPr>
        <w:t>namiruje</w:t>
      </w:r>
      <w:r w:rsidR="00E47249" w:rsidRPr="00320D35">
        <w:rPr>
          <w:rFonts w:ascii="Times New Roman" w:hAnsi="Times New Roman" w:cs="Times New Roman"/>
          <w:bCs/>
          <w:sz w:val="24"/>
          <w:szCs w:val="24"/>
        </w:rPr>
        <w:t xml:space="preserve"> poslije </w:t>
      </w:r>
      <w:r w:rsidR="00E47249">
        <w:rPr>
          <w:rFonts w:ascii="Times New Roman" w:hAnsi="Times New Roman" w:cs="Times New Roman"/>
          <w:bCs/>
          <w:sz w:val="24"/>
          <w:szCs w:val="24"/>
        </w:rPr>
        <w:t>drugih tražbina viš</w:t>
      </w:r>
      <w:r w:rsidR="00E47249" w:rsidRPr="00320D35">
        <w:rPr>
          <w:rFonts w:ascii="Times New Roman" w:hAnsi="Times New Roman" w:cs="Times New Roman"/>
          <w:bCs/>
          <w:sz w:val="24"/>
          <w:szCs w:val="24"/>
        </w:rPr>
        <w:t xml:space="preserve">ih isplatnih redova, a prije </w:t>
      </w:r>
      <w:r w:rsidR="00E47249">
        <w:rPr>
          <w:rFonts w:ascii="Times New Roman" w:hAnsi="Times New Roman" w:cs="Times New Roman"/>
          <w:bCs/>
          <w:sz w:val="24"/>
          <w:szCs w:val="24"/>
        </w:rPr>
        <w:t>traž</w:t>
      </w:r>
      <w:r w:rsidR="00E47249" w:rsidRPr="00320D35">
        <w:rPr>
          <w:rFonts w:ascii="Times New Roman" w:hAnsi="Times New Roman" w:cs="Times New Roman"/>
          <w:bCs/>
          <w:sz w:val="24"/>
          <w:szCs w:val="24"/>
        </w:rPr>
        <w:t xml:space="preserve">bina </w:t>
      </w:r>
      <w:r w:rsidR="00E47249">
        <w:rPr>
          <w:rFonts w:ascii="Times New Roman" w:hAnsi="Times New Roman" w:cs="Times New Roman"/>
          <w:bCs/>
          <w:sz w:val="24"/>
          <w:szCs w:val="24"/>
        </w:rPr>
        <w:t>niž</w:t>
      </w:r>
      <w:r w:rsidR="00E47249" w:rsidRPr="00320D35">
        <w:rPr>
          <w:rFonts w:ascii="Times New Roman" w:hAnsi="Times New Roman" w:cs="Times New Roman"/>
          <w:bCs/>
          <w:sz w:val="24"/>
          <w:szCs w:val="24"/>
        </w:rPr>
        <w:t xml:space="preserve">ih </w:t>
      </w:r>
      <w:r w:rsidR="00E47249">
        <w:rPr>
          <w:rFonts w:ascii="Times New Roman" w:hAnsi="Times New Roman" w:cs="Times New Roman"/>
          <w:bCs/>
          <w:sz w:val="24"/>
          <w:szCs w:val="24"/>
        </w:rPr>
        <w:t>isplatnih</w:t>
      </w:r>
      <w:r w:rsidR="00E47249" w:rsidRPr="00320D35">
        <w:rPr>
          <w:rFonts w:ascii="Times New Roman" w:hAnsi="Times New Roman" w:cs="Times New Roman"/>
          <w:bCs/>
          <w:sz w:val="24"/>
          <w:szCs w:val="24"/>
        </w:rPr>
        <w:t xml:space="preserve"> </w:t>
      </w:r>
      <w:r w:rsidR="00E47249">
        <w:rPr>
          <w:rFonts w:ascii="Times New Roman" w:hAnsi="Times New Roman" w:cs="Times New Roman"/>
          <w:bCs/>
          <w:sz w:val="24"/>
          <w:szCs w:val="24"/>
        </w:rPr>
        <w:t>redova,</w:t>
      </w:r>
      <w:r w:rsidR="00E47249" w:rsidRPr="00320D35">
        <w:rPr>
          <w:rFonts w:ascii="Times New Roman" w:hAnsi="Times New Roman" w:cs="Times New Roman"/>
          <w:bCs/>
          <w:sz w:val="24"/>
          <w:szCs w:val="24"/>
        </w:rPr>
        <w:t xml:space="preserve"> kako </w:t>
      </w:r>
      <w:r w:rsidR="00E47249">
        <w:rPr>
          <w:rFonts w:ascii="Times New Roman" w:hAnsi="Times New Roman" w:cs="Times New Roman"/>
          <w:bCs/>
          <w:sz w:val="24"/>
          <w:szCs w:val="24"/>
        </w:rPr>
        <w:t>je određeno zakonom</w:t>
      </w:r>
      <w:r w:rsidR="00E47249" w:rsidRPr="00320D35">
        <w:rPr>
          <w:rFonts w:ascii="Times New Roman" w:hAnsi="Times New Roman" w:cs="Times New Roman"/>
          <w:bCs/>
          <w:sz w:val="24"/>
          <w:szCs w:val="24"/>
        </w:rPr>
        <w:t xml:space="preserve"> kojim se </w:t>
      </w:r>
      <w:r w:rsidR="00E47249">
        <w:rPr>
          <w:rFonts w:ascii="Times New Roman" w:hAnsi="Times New Roman" w:cs="Times New Roman"/>
          <w:bCs/>
          <w:sz w:val="24"/>
          <w:szCs w:val="24"/>
        </w:rPr>
        <w:t>uređ</w:t>
      </w:r>
      <w:r w:rsidR="00E47249" w:rsidRPr="00320D35">
        <w:rPr>
          <w:rFonts w:ascii="Times New Roman" w:hAnsi="Times New Roman" w:cs="Times New Roman"/>
          <w:bCs/>
          <w:sz w:val="24"/>
          <w:szCs w:val="24"/>
        </w:rPr>
        <w:t xml:space="preserve">uje redovni postupak </w:t>
      </w:r>
      <w:r w:rsidR="00E47249">
        <w:rPr>
          <w:rFonts w:ascii="Times New Roman" w:hAnsi="Times New Roman" w:cs="Times New Roman"/>
          <w:bCs/>
          <w:sz w:val="24"/>
          <w:szCs w:val="24"/>
        </w:rPr>
        <w:t>zbog insolventnosti</w:t>
      </w:r>
      <w:r w:rsidR="00E47249" w:rsidRPr="00320D35">
        <w:rPr>
          <w:rFonts w:ascii="Times New Roman" w:hAnsi="Times New Roman" w:cs="Times New Roman"/>
          <w:bCs/>
          <w:sz w:val="24"/>
          <w:szCs w:val="24"/>
        </w:rPr>
        <w:t>.</w:t>
      </w:r>
    </w:p>
    <w:p w14:paraId="7AE1368F" w14:textId="77777777" w:rsidR="00B96D22" w:rsidRPr="00606212" w:rsidRDefault="00B96D22" w:rsidP="00606212">
      <w:pPr>
        <w:pStyle w:val="NoSpacing"/>
        <w:jc w:val="both"/>
        <w:rPr>
          <w:rFonts w:ascii="Times New Roman" w:hAnsi="Times New Roman" w:cs="Times New Roman"/>
          <w:color w:val="231F20"/>
          <w:sz w:val="24"/>
          <w:szCs w:val="24"/>
        </w:rPr>
      </w:pPr>
    </w:p>
    <w:p w14:paraId="07B7EE9D" w14:textId="5AE763D5" w:rsidR="00606212" w:rsidRPr="00606212" w:rsidRDefault="00606212" w:rsidP="00606212">
      <w:pPr>
        <w:pStyle w:val="NoSpacing"/>
        <w:jc w:val="both"/>
        <w:rPr>
          <w:rFonts w:ascii="Times New Roman" w:hAnsi="Times New Roman" w:cs="Times New Roman"/>
          <w:color w:val="231F20"/>
          <w:sz w:val="24"/>
          <w:szCs w:val="24"/>
        </w:rPr>
      </w:pPr>
      <w:r w:rsidRPr="00606212">
        <w:rPr>
          <w:rFonts w:ascii="Times New Roman" w:hAnsi="Times New Roman" w:cs="Times New Roman"/>
          <w:color w:val="231F20"/>
          <w:sz w:val="24"/>
          <w:szCs w:val="24"/>
        </w:rPr>
        <w:t xml:space="preserve">(2) </w:t>
      </w:r>
      <w:r w:rsidR="00655D50">
        <w:rPr>
          <w:rFonts w:ascii="Times New Roman" w:hAnsi="Times New Roman" w:cs="Times New Roman"/>
          <w:color w:val="231F20"/>
          <w:sz w:val="24"/>
          <w:szCs w:val="24"/>
        </w:rPr>
        <w:t>N</w:t>
      </w:r>
      <w:r w:rsidR="00655D50" w:rsidRPr="00655D50">
        <w:rPr>
          <w:rFonts w:ascii="Times New Roman" w:hAnsi="Times New Roman" w:cs="Times New Roman"/>
          <w:color w:val="231F20"/>
          <w:sz w:val="24"/>
          <w:szCs w:val="24"/>
        </w:rPr>
        <w:t xml:space="preserve">epovlašteni neosigurani dužnički instrumenti </w:t>
      </w:r>
      <w:r w:rsidR="00655D50">
        <w:rPr>
          <w:rFonts w:ascii="Times New Roman" w:hAnsi="Times New Roman" w:cs="Times New Roman"/>
          <w:color w:val="231F20"/>
          <w:sz w:val="24"/>
          <w:szCs w:val="24"/>
        </w:rPr>
        <w:t>su</w:t>
      </w:r>
      <w:r w:rsidRPr="00606212">
        <w:rPr>
          <w:rFonts w:ascii="Times New Roman" w:hAnsi="Times New Roman" w:cs="Times New Roman"/>
          <w:color w:val="231F20"/>
          <w:sz w:val="24"/>
          <w:szCs w:val="24"/>
        </w:rPr>
        <w:t xml:space="preserve"> dužnički instrumenti </w:t>
      </w:r>
      <w:r w:rsidR="00655D50">
        <w:rPr>
          <w:rFonts w:ascii="Times New Roman" w:hAnsi="Times New Roman" w:cs="Times New Roman"/>
          <w:color w:val="231F20"/>
          <w:sz w:val="24"/>
          <w:szCs w:val="24"/>
        </w:rPr>
        <w:t>koji</w:t>
      </w:r>
      <w:r w:rsidR="00655D50" w:rsidRPr="00606212">
        <w:rPr>
          <w:rFonts w:ascii="Times New Roman" w:hAnsi="Times New Roman" w:cs="Times New Roman"/>
          <w:color w:val="231F20"/>
          <w:sz w:val="24"/>
          <w:szCs w:val="24"/>
        </w:rPr>
        <w:t xml:space="preserve"> </w:t>
      </w:r>
      <w:r w:rsidRPr="00606212">
        <w:rPr>
          <w:rFonts w:ascii="Times New Roman" w:hAnsi="Times New Roman" w:cs="Times New Roman"/>
          <w:color w:val="231F20"/>
          <w:sz w:val="24"/>
          <w:szCs w:val="24"/>
        </w:rPr>
        <w:t>ispunjava</w:t>
      </w:r>
      <w:r w:rsidR="00655D50">
        <w:rPr>
          <w:rFonts w:ascii="Times New Roman" w:hAnsi="Times New Roman" w:cs="Times New Roman"/>
          <w:color w:val="231F20"/>
          <w:sz w:val="24"/>
          <w:szCs w:val="24"/>
        </w:rPr>
        <w:t>ju</w:t>
      </w:r>
      <w:r w:rsidRPr="00606212">
        <w:rPr>
          <w:rFonts w:ascii="Times New Roman" w:hAnsi="Times New Roman" w:cs="Times New Roman"/>
          <w:color w:val="231F20"/>
          <w:sz w:val="24"/>
          <w:szCs w:val="24"/>
        </w:rPr>
        <w:t xml:space="preserve"> sve sljedeće uvjete:</w:t>
      </w:r>
    </w:p>
    <w:p w14:paraId="3649A426" w14:textId="77777777" w:rsidR="00606212" w:rsidRPr="00606212" w:rsidRDefault="00606212" w:rsidP="00606212">
      <w:pPr>
        <w:pStyle w:val="NoSpacing"/>
        <w:jc w:val="both"/>
        <w:rPr>
          <w:rFonts w:ascii="Times New Roman" w:hAnsi="Times New Roman" w:cs="Times New Roman"/>
          <w:color w:val="231F20"/>
          <w:sz w:val="24"/>
          <w:szCs w:val="24"/>
        </w:rPr>
      </w:pPr>
      <w:r w:rsidRPr="00606212">
        <w:rPr>
          <w:rFonts w:ascii="Times New Roman" w:hAnsi="Times New Roman" w:cs="Times New Roman"/>
          <w:color w:val="231F20"/>
          <w:sz w:val="24"/>
          <w:szCs w:val="24"/>
        </w:rPr>
        <w:t>1. izvorni rok dospijeća dužničkog instrumenta je najmanje godinu dana</w:t>
      </w:r>
    </w:p>
    <w:p w14:paraId="422B189A" w14:textId="77777777" w:rsidR="00606212" w:rsidRPr="00606212" w:rsidRDefault="00606212" w:rsidP="00606212">
      <w:pPr>
        <w:pStyle w:val="NoSpacing"/>
        <w:jc w:val="both"/>
        <w:rPr>
          <w:rFonts w:ascii="Times New Roman" w:hAnsi="Times New Roman" w:cs="Times New Roman"/>
          <w:color w:val="231F20"/>
          <w:sz w:val="24"/>
          <w:szCs w:val="24"/>
        </w:rPr>
      </w:pPr>
      <w:r w:rsidRPr="00606212">
        <w:rPr>
          <w:rFonts w:ascii="Times New Roman" w:hAnsi="Times New Roman" w:cs="Times New Roman"/>
          <w:color w:val="231F20"/>
          <w:sz w:val="24"/>
          <w:szCs w:val="24"/>
        </w:rPr>
        <w:t>2. dužnički instrument ne sadržava ugrađenu izvedenicu te nije izvedenica i</w:t>
      </w:r>
    </w:p>
    <w:p w14:paraId="774D54B3" w14:textId="79EDD398" w:rsidR="00606212" w:rsidRDefault="00606212" w:rsidP="00606212">
      <w:pPr>
        <w:pStyle w:val="NoSpacing"/>
        <w:jc w:val="both"/>
        <w:rPr>
          <w:rFonts w:ascii="Times New Roman" w:hAnsi="Times New Roman" w:cs="Times New Roman"/>
          <w:color w:val="231F20"/>
          <w:sz w:val="24"/>
          <w:szCs w:val="24"/>
        </w:rPr>
      </w:pPr>
      <w:r w:rsidRPr="00606212">
        <w:rPr>
          <w:rFonts w:ascii="Times New Roman" w:hAnsi="Times New Roman" w:cs="Times New Roman"/>
          <w:color w:val="231F20"/>
          <w:sz w:val="24"/>
          <w:szCs w:val="24"/>
        </w:rPr>
        <w:t xml:space="preserve">3. relevantna ugovorna dokumentacija i prospekt u vezi s izdanjem, ako je izrađen, izričito upućuju na isplatni red </w:t>
      </w:r>
      <w:r w:rsidR="00B84558">
        <w:rPr>
          <w:rFonts w:ascii="Times New Roman" w:hAnsi="Times New Roman" w:cs="Times New Roman"/>
          <w:color w:val="231F20"/>
          <w:sz w:val="24"/>
          <w:szCs w:val="24"/>
        </w:rPr>
        <w:t>određen</w:t>
      </w:r>
      <w:r w:rsidR="00B84558" w:rsidRPr="00606212">
        <w:rPr>
          <w:rFonts w:ascii="Times New Roman" w:hAnsi="Times New Roman" w:cs="Times New Roman"/>
          <w:color w:val="231F20"/>
          <w:sz w:val="24"/>
          <w:szCs w:val="24"/>
        </w:rPr>
        <w:t xml:space="preserve"> </w:t>
      </w:r>
      <w:r w:rsidRPr="00606212">
        <w:rPr>
          <w:rFonts w:ascii="Times New Roman" w:hAnsi="Times New Roman" w:cs="Times New Roman"/>
          <w:color w:val="231F20"/>
          <w:sz w:val="24"/>
          <w:szCs w:val="24"/>
        </w:rPr>
        <w:t>stavkom 1. ovoga članka.</w:t>
      </w:r>
    </w:p>
    <w:p w14:paraId="1E92007D" w14:textId="77777777" w:rsidR="00B96D22" w:rsidRPr="00606212" w:rsidRDefault="00B96D22" w:rsidP="00606212">
      <w:pPr>
        <w:pStyle w:val="NoSpacing"/>
        <w:jc w:val="both"/>
        <w:rPr>
          <w:rFonts w:ascii="Times New Roman" w:hAnsi="Times New Roman" w:cs="Times New Roman"/>
          <w:color w:val="231F20"/>
          <w:sz w:val="24"/>
          <w:szCs w:val="24"/>
        </w:rPr>
      </w:pPr>
    </w:p>
    <w:p w14:paraId="2624C612" w14:textId="33DB59AB" w:rsidR="00541CF8" w:rsidRDefault="00606212" w:rsidP="00606212">
      <w:pPr>
        <w:pStyle w:val="NoSpacing"/>
        <w:jc w:val="both"/>
        <w:rPr>
          <w:rFonts w:ascii="Times New Roman" w:hAnsi="Times New Roman" w:cs="Times New Roman"/>
          <w:color w:val="231F20"/>
          <w:sz w:val="24"/>
          <w:szCs w:val="24"/>
        </w:rPr>
      </w:pPr>
      <w:r w:rsidRPr="00606212">
        <w:rPr>
          <w:rFonts w:ascii="Times New Roman" w:hAnsi="Times New Roman" w:cs="Times New Roman"/>
          <w:color w:val="231F20"/>
          <w:sz w:val="24"/>
          <w:szCs w:val="24"/>
        </w:rPr>
        <w:t>(3) U smislu stavka 2. točke 2. ovoga članka dužnički instrument s promjenjivom kamatnom stopom koja se temelji na široko korištenoj referentnoj stopi i dužnički instrument koji nije iskazan u domaćoj valuti izdavatelja, pod uvjetom da su glavnica, otplata i kamate iskazani u istoj valuti, ne smatraju se dužničkim instrumentom s ugrađenom izvedenicom samo zbog tih svojstava.</w:t>
      </w:r>
      <w:r w:rsidR="00B96D22">
        <w:rPr>
          <w:rFonts w:ascii="Times New Roman" w:hAnsi="Times New Roman" w:cs="Times New Roman"/>
          <w:color w:val="231F20"/>
          <w:sz w:val="24"/>
          <w:szCs w:val="24"/>
        </w:rPr>
        <w:t>“.</w:t>
      </w:r>
    </w:p>
    <w:bookmarkEnd w:id="3"/>
    <w:p w14:paraId="413E5579" w14:textId="77777777" w:rsidR="00541CF8" w:rsidRPr="00B82960" w:rsidRDefault="00541CF8" w:rsidP="00541CF8">
      <w:pPr>
        <w:shd w:val="clear" w:color="auto" w:fill="FFFFFF"/>
        <w:spacing w:after="48" w:line="240" w:lineRule="auto"/>
        <w:jc w:val="both"/>
        <w:textAlignment w:val="baseline"/>
        <w:rPr>
          <w:rFonts w:eastAsia="Times New Roman" w:cstheme="minorHAnsi"/>
          <w:color w:val="231F20"/>
          <w:highlight w:val="yellow"/>
          <w:lang w:eastAsia="hr-HR"/>
        </w:rPr>
      </w:pPr>
    </w:p>
    <w:p w14:paraId="418418CB" w14:textId="0E7AE802" w:rsidR="00137E7D" w:rsidRDefault="0030134D" w:rsidP="0030134D">
      <w:pPr>
        <w:tabs>
          <w:tab w:val="left" w:pos="142"/>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073E95">
        <w:rPr>
          <w:rFonts w:ascii="Times New Roman" w:eastAsia="Times New Roman" w:hAnsi="Times New Roman" w:cs="Times New Roman"/>
          <w:b/>
          <w:sz w:val="24"/>
          <w:szCs w:val="24"/>
          <w:lang w:eastAsia="hr-HR"/>
        </w:rPr>
        <w:t>ZAVRŠN</w:t>
      </w:r>
      <w:r w:rsidR="00B96D22">
        <w:rPr>
          <w:rFonts w:ascii="Times New Roman" w:eastAsia="Times New Roman" w:hAnsi="Times New Roman" w:cs="Times New Roman"/>
          <w:b/>
          <w:sz w:val="24"/>
          <w:szCs w:val="24"/>
          <w:lang w:eastAsia="hr-HR"/>
        </w:rPr>
        <w:t>A</w:t>
      </w:r>
      <w:r w:rsidRPr="00073E95">
        <w:rPr>
          <w:rFonts w:ascii="Times New Roman" w:eastAsia="Times New Roman" w:hAnsi="Times New Roman" w:cs="Times New Roman"/>
          <w:b/>
          <w:sz w:val="24"/>
          <w:szCs w:val="24"/>
          <w:lang w:eastAsia="hr-HR"/>
        </w:rPr>
        <w:t xml:space="preserve"> ODREDB</w:t>
      </w:r>
      <w:r w:rsidR="00B96D22">
        <w:rPr>
          <w:rFonts w:ascii="Times New Roman" w:eastAsia="Times New Roman" w:hAnsi="Times New Roman" w:cs="Times New Roman"/>
          <w:b/>
          <w:sz w:val="24"/>
          <w:szCs w:val="24"/>
          <w:lang w:eastAsia="hr-HR"/>
        </w:rPr>
        <w:t>A</w:t>
      </w:r>
    </w:p>
    <w:p w14:paraId="2F24A067" w14:textId="77777777" w:rsidR="0030134D" w:rsidRPr="00073E95" w:rsidRDefault="0030134D" w:rsidP="0030134D">
      <w:pPr>
        <w:tabs>
          <w:tab w:val="left" w:pos="142"/>
        </w:tabs>
        <w:autoSpaceDE w:val="0"/>
        <w:autoSpaceDN w:val="0"/>
        <w:adjustRightInd w:val="0"/>
        <w:spacing w:after="0" w:line="240" w:lineRule="auto"/>
        <w:jc w:val="both"/>
        <w:rPr>
          <w:rFonts w:ascii="Times New Roman" w:eastAsia="Times New Roman" w:hAnsi="Times New Roman" w:cs="Times New Roman"/>
          <w:iCs/>
          <w:sz w:val="24"/>
          <w:szCs w:val="24"/>
          <w:lang w:eastAsia="hr-HR"/>
        </w:rPr>
      </w:pPr>
    </w:p>
    <w:p w14:paraId="2B2A62D1" w14:textId="77777777" w:rsidR="0030134D" w:rsidRPr="00073E95" w:rsidRDefault="0030134D" w:rsidP="0030134D">
      <w:pPr>
        <w:tabs>
          <w:tab w:val="left" w:pos="142"/>
        </w:tabs>
        <w:spacing w:after="0" w:line="240" w:lineRule="auto"/>
        <w:jc w:val="center"/>
        <w:rPr>
          <w:rFonts w:ascii="Times New Roman" w:eastAsia="Times New Roman" w:hAnsi="Times New Roman" w:cs="Times New Roman"/>
          <w:i/>
          <w:iCs/>
          <w:sz w:val="24"/>
          <w:szCs w:val="24"/>
          <w:lang w:eastAsia="hr-HR"/>
        </w:rPr>
      </w:pPr>
      <w:r w:rsidRPr="00073E95">
        <w:rPr>
          <w:rFonts w:ascii="Times New Roman" w:eastAsia="Times New Roman" w:hAnsi="Times New Roman" w:cs="Times New Roman"/>
          <w:i/>
          <w:iCs/>
          <w:sz w:val="24"/>
          <w:szCs w:val="24"/>
          <w:lang w:eastAsia="hr-HR"/>
        </w:rPr>
        <w:t>Stupanje na snagu</w:t>
      </w:r>
    </w:p>
    <w:p w14:paraId="141DA5C6" w14:textId="2C43E9CC" w:rsidR="0030134D" w:rsidRDefault="0030134D" w:rsidP="0030134D">
      <w:pPr>
        <w:tabs>
          <w:tab w:val="left" w:pos="142"/>
        </w:tabs>
        <w:spacing w:after="0" w:line="240" w:lineRule="auto"/>
        <w:jc w:val="both"/>
        <w:rPr>
          <w:rFonts w:ascii="Times New Roman" w:eastAsia="Times New Roman" w:hAnsi="Times New Roman" w:cs="Times New Roman"/>
          <w:iCs/>
          <w:sz w:val="24"/>
          <w:szCs w:val="24"/>
          <w:lang w:eastAsia="hr-HR"/>
        </w:rPr>
      </w:pPr>
    </w:p>
    <w:p w14:paraId="506D5919" w14:textId="46BB2BD2" w:rsidR="0030134D" w:rsidRDefault="0030134D" w:rsidP="0030134D">
      <w:pPr>
        <w:pStyle w:val="NoSpacing"/>
        <w:jc w:val="center"/>
        <w:rPr>
          <w:rFonts w:ascii="Times New Roman" w:hAnsi="Times New Roman" w:cs="Times New Roman"/>
          <w:b/>
          <w:color w:val="231F20"/>
          <w:sz w:val="24"/>
          <w:szCs w:val="24"/>
        </w:rPr>
      </w:pPr>
      <w:r w:rsidRPr="00343960">
        <w:rPr>
          <w:rFonts w:ascii="Times New Roman" w:hAnsi="Times New Roman" w:cs="Times New Roman"/>
          <w:b/>
          <w:color w:val="231F20"/>
          <w:sz w:val="24"/>
          <w:szCs w:val="24"/>
        </w:rPr>
        <w:t>Članak</w:t>
      </w:r>
      <w:r>
        <w:rPr>
          <w:rFonts w:ascii="Times New Roman" w:hAnsi="Times New Roman" w:cs="Times New Roman"/>
          <w:b/>
          <w:color w:val="231F20"/>
          <w:sz w:val="24"/>
          <w:szCs w:val="24"/>
        </w:rPr>
        <w:t xml:space="preserve"> </w:t>
      </w:r>
      <w:r w:rsidR="00E84C37">
        <w:rPr>
          <w:rFonts w:ascii="Times New Roman" w:hAnsi="Times New Roman" w:cs="Times New Roman"/>
          <w:b/>
          <w:color w:val="231F20"/>
          <w:sz w:val="24"/>
          <w:szCs w:val="24"/>
        </w:rPr>
        <w:t>4</w:t>
      </w:r>
      <w:r>
        <w:rPr>
          <w:rFonts w:ascii="Times New Roman" w:hAnsi="Times New Roman" w:cs="Times New Roman"/>
          <w:b/>
          <w:color w:val="231F20"/>
          <w:sz w:val="24"/>
          <w:szCs w:val="24"/>
        </w:rPr>
        <w:t>.</w:t>
      </w:r>
    </w:p>
    <w:p w14:paraId="0DFFE874" w14:textId="77777777" w:rsidR="0030134D" w:rsidRDefault="0030134D" w:rsidP="0030134D">
      <w:pPr>
        <w:tabs>
          <w:tab w:val="left" w:pos="142"/>
        </w:tabs>
        <w:spacing w:after="0" w:line="240" w:lineRule="auto"/>
        <w:jc w:val="both"/>
        <w:rPr>
          <w:rFonts w:ascii="Times New Roman" w:eastAsia="Times New Roman" w:hAnsi="Times New Roman" w:cs="Times New Roman"/>
          <w:iCs/>
          <w:sz w:val="24"/>
          <w:szCs w:val="24"/>
          <w:lang w:eastAsia="hr-HR"/>
        </w:rPr>
      </w:pPr>
    </w:p>
    <w:p w14:paraId="0A9BF73D" w14:textId="437E8F40" w:rsidR="00E84C37" w:rsidRDefault="0030134D" w:rsidP="00E84C37">
      <w:pPr>
        <w:tabs>
          <w:tab w:val="left" w:pos="142"/>
        </w:tabs>
        <w:spacing w:after="0" w:line="240" w:lineRule="auto"/>
        <w:jc w:val="both"/>
        <w:rPr>
          <w:rFonts w:ascii="Times New Roman" w:eastAsia="Times New Roman" w:hAnsi="Times New Roman" w:cs="Times New Roman"/>
          <w:iCs/>
          <w:sz w:val="24"/>
          <w:szCs w:val="24"/>
          <w:lang w:eastAsia="hr-HR"/>
        </w:rPr>
      </w:pPr>
      <w:r w:rsidRPr="00A72C80">
        <w:rPr>
          <w:rFonts w:ascii="Times New Roman" w:eastAsia="Times New Roman" w:hAnsi="Times New Roman" w:cs="Times New Roman"/>
          <w:iCs/>
          <w:sz w:val="24"/>
          <w:szCs w:val="24"/>
          <w:lang w:eastAsia="hr-HR"/>
        </w:rPr>
        <w:t>Ovaj Zakon stupa na snagu osmoga dana od dana objave u „Naro</w:t>
      </w:r>
      <w:r>
        <w:rPr>
          <w:rFonts w:ascii="Times New Roman" w:eastAsia="Times New Roman" w:hAnsi="Times New Roman" w:cs="Times New Roman"/>
          <w:iCs/>
          <w:sz w:val="24"/>
          <w:szCs w:val="24"/>
          <w:lang w:eastAsia="hr-HR"/>
        </w:rPr>
        <w:t>dnim novinama”</w:t>
      </w:r>
      <w:r w:rsidR="00B1228D">
        <w:rPr>
          <w:rFonts w:ascii="Times New Roman" w:eastAsia="Times New Roman" w:hAnsi="Times New Roman" w:cs="Times New Roman"/>
          <w:iCs/>
          <w:sz w:val="24"/>
          <w:szCs w:val="24"/>
          <w:lang w:eastAsia="hr-HR"/>
        </w:rPr>
        <w:t>.</w:t>
      </w:r>
    </w:p>
    <w:p w14:paraId="20D584F4" w14:textId="77777777" w:rsidR="006E56F6" w:rsidRDefault="006E56F6">
      <w:pPr>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br w:type="page"/>
      </w:r>
    </w:p>
    <w:p w14:paraId="643E1623" w14:textId="1C233B04" w:rsidR="00CD6572" w:rsidRPr="00C003BC" w:rsidRDefault="00CD6572" w:rsidP="00A639A8">
      <w:pPr>
        <w:tabs>
          <w:tab w:val="left" w:pos="142"/>
        </w:tabs>
        <w:spacing w:after="0" w:line="240" w:lineRule="auto"/>
        <w:jc w:val="center"/>
        <w:outlineLvl w:val="0"/>
        <w:rPr>
          <w:rStyle w:val="fontstyle01"/>
          <w:rFonts w:ascii="Times New Roman" w:hAnsi="Times New Roman" w:cs="Times New Roman"/>
        </w:rPr>
      </w:pPr>
      <w:r w:rsidRPr="00C003BC">
        <w:rPr>
          <w:rStyle w:val="fontstyle01"/>
          <w:rFonts w:ascii="Times New Roman" w:hAnsi="Times New Roman" w:cs="Times New Roman"/>
          <w:b/>
        </w:rPr>
        <w:lastRenderedPageBreak/>
        <w:t>OBRAZLOŽENJE</w:t>
      </w:r>
    </w:p>
    <w:p w14:paraId="3CE41DE6" w14:textId="77777777" w:rsidR="00A11F57" w:rsidRDefault="00A11F57" w:rsidP="00C003BC">
      <w:pPr>
        <w:pStyle w:val="NoSpacing"/>
        <w:rPr>
          <w:rStyle w:val="fontstyle01"/>
          <w:rFonts w:ascii="Times New Roman" w:hAnsi="Times New Roman" w:cs="Times New Roman"/>
          <w:b/>
        </w:rPr>
      </w:pPr>
    </w:p>
    <w:p w14:paraId="165BCA96" w14:textId="77777777" w:rsidR="00CD6572" w:rsidRPr="00D65AEA" w:rsidRDefault="00CD6572" w:rsidP="00C003BC">
      <w:pPr>
        <w:pStyle w:val="NoSpacing"/>
        <w:rPr>
          <w:rStyle w:val="fontstyle01"/>
          <w:rFonts w:ascii="Times New Roman" w:hAnsi="Times New Roman" w:cs="Times New Roman"/>
          <w:b/>
        </w:rPr>
      </w:pPr>
      <w:r w:rsidRPr="00D65AEA">
        <w:rPr>
          <w:rStyle w:val="fontstyle01"/>
          <w:rFonts w:ascii="Times New Roman" w:hAnsi="Times New Roman" w:cs="Times New Roman"/>
          <w:b/>
        </w:rPr>
        <w:t xml:space="preserve">Uz članak 1. </w:t>
      </w:r>
    </w:p>
    <w:p w14:paraId="5A77A1A6" w14:textId="4881FEB1" w:rsidR="00373091" w:rsidRDefault="00373091" w:rsidP="00C003BC">
      <w:pPr>
        <w:pStyle w:val="NoSpacing"/>
        <w:rPr>
          <w:rStyle w:val="fontstyle01"/>
          <w:rFonts w:ascii="Times New Roman" w:hAnsi="Times New Roman" w:cs="Times New Roman"/>
        </w:rPr>
      </w:pPr>
    </w:p>
    <w:p w14:paraId="3E14A8D6" w14:textId="591D658D" w:rsidR="00E84C37" w:rsidRPr="00D65AEA" w:rsidRDefault="00E84C37" w:rsidP="003D6305">
      <w:pPr>
        <w:pStyle w:val="NoSpacing"/>
        <w:jc w:val="both"/>
        <w:rPr>
          <w:rStyle w:val="fontstyle01"/>
          <w:rFonts w:ascii="Times New Roman" w:hAnsi="Times New Roman" w:cs="Times New Roman"/>
        </w:rPr>
      </w:pPr>
      <w:r>
        <w:rPr>
          <w:rStyle w:val="fontstyle01"/>
          <w:rFonts w:ascii="Times New Roman" w:hAnsi="Times New Roman" w:cs="Times New Roman"/>
        </w:rPr>
        <w:t>Ovim člankom mijenja se definicij</w:t>
      </w:r>
      <w:r w:rsidR="00D70E70">
        <w:rPr>
          <w:rStyle w:val="fontstyle01"/>
          <w:rFonts w:ascii="Times New Roman" w:hAnsi="Times New Roman" w:cs="Times New Roman"/>
        </w:rPr>
        <w:t>a</w:t>
      </w:r>
      <w:r>
        <w:rPr>
          <w:rStyle w:val="fontstyle01"/>
          <w:rFonts w:ascii="Times New Roman" w:hAnsi="Times New Roman" w:cs="Times New Roman"/>
        </w:rPr>
        <w:t xml:space="preserve"> </w:t>
      </w:r>
      <w:r w:rsidR="00D70E70">
        <w:rPr>
          <w:rStyle w:val="fontstyle01"/>
          <w:rFonts w:ascii="Times New Roman" w:hAnsi="Times New Roman" w:cs="Times New Roman"/>
        </w:rPr>
        <w:t>pojm</w:t>
      </w:r>
      <w:r w:rsidR="0037363F">
        <w:rPr>
          <w:rStyle w:val="fontstyle01"/>
          <w:rFonts w:ascii="Times New Roman" w:hAnsi="Times New Roman" w:cs="Times New Roman"/>
        </w:rPr>
        <w:t xml:space="preserve">a </w:t>
      </w:r>
      <w:r w:rsidR="00D70E70">
        <w:rPr>
          <w:rStyle w:val="fontstyle01"/>
          <w:rFonts w:ascii="Times New Roman" w:hAnsi="Times New Roman" w:cs="Times New Roman"/>
        </w:rPr>
        <w:t>dužničkog instrumenta i briše se definicija pojma</w:t>
      </w:r>
      <w:r w:rsidR="0037363F">
        <w:rPr>
          <w:rStyle w:val="fontstyle01"/>
          <w:rFonts w:ascii="Times New Roman" w:hAnsi="Times New Roman" w:cs="Times New Roman"/>
        </w:rPr>
        <w:t xml:space="preserve"> </w:t>
      </w:r>
      <w:r w:rsidR="0037363F">
        <w:rPr>
          <w:rFonts w:ascii="Times New Roman" w:hAnsi="Times New Roman" w:cs="Times New Roman"/>
          <w:color w:val="231F20"/>
          <w:sz w:val="24"/>
          <w:szCs w:val="24"/>
          <w:lang w:eastAsia="hr-HR"/>
        </w:rPr>
        <w:t>nepovlaštenog neosiguranog dužničkog instrumenta</w:t>
      </w:r>
      <w:r w:rsidR="0037363F" w:rsidRPr="0037363F">
        <w:rPr>
          <w:rStyle w:val="fontstyle01"/>
          <w:rFonts w:ascii="Times New Roman" w:hAnsi="Times New Roman" w:cs="Times New Roman"/>
        </w:rPr>
        <w:t xml:space="preserve"> </w:t>
      </w:r>
      <w:r w:rsidR="0037363F">
        <w:rPr>
          <w:rStyle w:val="fontstyle01"/>
          <w:rFonts w:ascii="Times New Roman" w:hAnsi="Times New Roman" w:cs="Times New Roman"/>
        </w:rPr>
        <w:t xml:space="preserve">uslijed izmjene </w:t>
      </w:r>
      <w:r>
        <w:rPr>
          <w:rStyle w:val="fontstyle01"/>
          <w:rFonts w:ascii="Times New Roman" w:hAnsi="Times New Roman" w:cs="Times New Roman"/>
        </w:rPr>
        <w:t xml:space="preserve">članka 32. </w:t>
      </w:r>
      <w:r w:rsidR="00EC0367">
        <w:rPr>
          <w:rStyle w:val="fontstyle01"/>
          <w:rFonts w:ascii="Times New Roman" w:hAnsi="Times New Roman" w:cs="Times New Roman"/>
        </w:rPr>
        <w:t>Zakona</w:t>
      </w:r>
      <w:r w:rsidR="00EC0367" w:rsidRPr="00EC0367">
        <w:rPr>
          <w:rStyle w:val="fontstyle01"/>
          <w:rFonts w:ascii="Times New Roman" w:hAnsi="Times New Roman" w:cs="Times New Roman"/>
        </w:rPr>
        <w:t xml:space="preserve"> o sanaciji kreditnih institucija i investicijskih društava („Narodne novine“, br. 146/20., 21/22., 27/24. i 145/24.)</w:t>
      </w:r>
      <w:r w:rsidR="00EC0367">
        <w:rPr>
          <w:rStyle w:val="fontstyle01"/>
          <w:rFonts w:ascii="Times New Roman" w:hAnsi="Times New Roman" w:cs="Times New Roman"/>
        </w:rPr>
        <w:t xml:space="preserve"> (u daljnjem tekstu: važeći Zakon)</w:t>
      </w:r>
      <w:r w:rsidR="00D70E70">
        <w:rPr>
          <w:rStyle w:val="fontstyle01"/>
          <w:rFonts w:ascii="Times New Roman" w:hAnsi="Times New Roman" w:cs="Times New Roman"/>
        </w:rPr>
        <w:t xml:space="preserve"> te</w:t>
      </w:r>
      <w:r>
        <w:rPr>
          <w:rStyle w:val="fontstyle01"/>
          <w:rFonts w:ascii="Times New Roman" w:hAnsi="Times New Roman" w:cs="Times New Roman"/>
        </w:rPr>
        <w:t xml:space="preserve"> </w:t>
      </w:r>
      <w:r w:rsidR="003D6305">
        <w:rPr>
          <w:rStyle w:val="fontstyle01"/>
          <w:rFonts w:ascii="Times New Roman" w:hAnsi="Times New Roman" w:cs="Times New Roman"/>
        </w:rPr>
        <w:t xml:space="preserve">kako bi se osigurala </w:t>
      </w:r>
      <w:r w:rsidR="00EC0367">
        <w:rPr>
          <w:rStyle w:val="fontstyle01"/>
          <w:rFonts w:ascii="Times New Roman" w:hAnsi="Times New Roman" w:cs="Times New Roman"/>
        </w:rPr>
        <w:t>usklađenost zakona</w:t>
      </w:r>
      <w:r w:rsidR="00EC0367" w:rsidRPr="00EC0367">
        <w:rPr>
          <w:rStyle w:val="fontstyle01"/>
          <w:rFonts w:ascii="Times New Roman" w:hAnsi="Times New Roman" w:cs="Times New Roman"/>
        </w:rPr>
        <w:t xml:space="preserve"> kojim se uređuje postupak sanacije kreditnih institucija i investicijskih društava</w:t>
      </w:r>
      <w:r w:rsidR="00EC0367">
        <w:rPr>
          <w:rStyle w:val="fontstyle01"/>
          <w:rFonts w:ascii="Times New Roman" w:hAnsi="Times New Roman" w:cs="Times New Roman"/>
        </w:rPr>
        <w:t xml:space="preserve"> sa zakonom kojim se uređuje </w:t>
      </w:r>
      <w:r w:rsidR="00EC0367" w:rsidRPr="00EC0367">
        <w:rPr>
          <w:rStyle w:val="fontstyle01"/>
          <w:rFonts w:ascii="Times New Roman" w:hAnsi="Times New Roman" w:cs="Times New Roman"/>
        </w:rPr>
        <w:t>postupak prisilne likvidacije</w:t>
      </w:r>
      <w:r w:rsidR="00EC0367">
        <w:rPr>
          <w:rStyle w:val="fontstyle01"/>
          <w:rFonts w:ascii="Times New Roman" w:hAnsi="Times New Roman" w:cs="Times New Roman"/>
        </w:rPr>
        <w:t xml:space="preserve"> kreditnih institucija</w:t>
      </w:r>
      <w:r w:rsidR="003D6305">
        <w:rPr>
          <w:rStyle w:val="fontstyle01"/>
          <w:rFonts w:ascii="Times New Roman" w:hAnsi="Times New Roman" w:cs="Times New Roman"/>
        </w:rPr>
        <w:t>.</w:t>
      </w:r>
    </w:p>
    <w:p w14:paraId="0DF04CCB" w14:textId="77777777" w:rsidR="008A5032" w:rsidRPr="00541CF8" w:rsidRDefault="008A5032" w:rsidP="00C003BC">
      <w:pPr>
        <w:pStyle w:val="NoSpacing"/>
        <w:rPr>
          <w:rStyle w:val="fontstyle01"/>
          <w:rFonts w:ascii="Times New Roman" w:hAnsi="Times New Roman" w:cs="Times New Roman"/>
          <w:highlight w:val="yellow"/>
        </w:rPr>
      </w:pPr>
    </w:p>
    <w:p w14:paraId="1761B7B6" w14:textId="70811C3E" w:rsidR="000E14E2" w:rsidRPr="00D65AEA" w:rsidRDefault="000E14E2" w:rsidP="000E14E2">
      <w:pPr>
        <w:pStyle w:val="NoSpacing"/>
        <w:rPr>
          <w:rStyle w:val="fontstyle01"/>
          <w:rFonts w:ascii="Times New Roman" w:hAnsi="Times New Roman" w:cs="Times New Roman"/>
          <w:b/>
        </w:rPr>
      </w:pPr>
      <w:bookmarkStart w:id="4" w:name="_Hlk168401345"/>
      <w:r w:rsidRPr="00D65AEA">
        <w:rPr>
          <w:rStyle w:val="fontstyle01"/>
          <w:rFonts w:ascii="Times New Roman" w:hAnsi="Times New Roman" w:cs="Times New Roman"/>
          <w:b/>
        </w:rPr>
        <w:t xml:space="preserve">Uz članak 2. </w:t>
      </w:r>
    </w:p>
    <w:p w14:paraId="56BEBB4C" w14:textId="48B2316D" w:rsidR="008A5032" w:rsidRDefault="008A5032" w:rsidP="00C003BC">
      <w:pPr>
        <w:pStyle w:val="NoSpacing"/>
        <w:rPr>
          <w:rStyle w:val="fontstyle01"/>
          <w:rFonts w:ascii="Times New Roman" w:hAnsi="Times New Roman" w:cs="Times New Roman"/>
          <w:highlight w:val="yellow"/>
        </w:rPr>
      </w:pPr>
    </w:p>
    <w:p w14:paraId="771EF41E" w14:textId="066E3238" w:rsidR="003D6305" w:rsidRPr="003D6305" w:rsidRDefault="003D6305" w:rsidP="003D6305">
      <w:pPr>
        <w:pStyle w:val="NoSpacing"/>
        <w:jc w:val="both"/>
        <w:rPr>
          <w:rStyle w:val="fontstyle01"/>
          <w:rFonts w:ascii="Times New Roman" w:hAnsi="Times New Roman" w:cs="Times New Roman"/>
        </w:rPr>
      </w:pPr>
      <w:r w:rsidRPr="003D6305">
        <w:rPr>
          <w:rStyle w:val="fontstyle01"/>
          <w:rFonts w:ascii="Times New Roman" w:hAnsi="Times New Roman" w:cs="Times New Roman"/>
        </w:rPr>
        <w:t>Ovim</w:t>
      </w:r>
      <w:r>
        <w:rPr>
          <w:rStyle w:val="fontstyle01"/>
          <w:rFonts w:ascii="Times New Roman" w:hAnsi="Times New Roman" w:cs="Times New Roman"/>
        </w:rPr>
        <w:t xml:space="preserve"> člankom mijenja se član</w:t>
      </w:r>
      <w:r w:rsidR="00E027F5">
        <w:rPr>
          <w:rStyle w:val="fontstyle01"/>
          <w:rFonts w:ascii="Times New Roman" w:hAnsi="Times New Roman" w:cs="Times New Roman"/>
        </w:rPr>
        <w:t>a</w:t>
      </w:r>
      <w:r>
        <w:rPr>
          <w:rStyle w:val="fontstyle01"/>
          <w:rFonts w:ascii="Times New Roman" w:hAnsi="Times New Roman" w:cs="Times New Roman"/>
        </w:rPr>
        <w:t xml:space="preserve">k 9. </w:t>
      </w:r>
      <w:r w:rsidR="00E027F5">
        <w:rPr>
          <w:rStyle w:val="fontstyle01"/>
          <w:rFonts w:ascii="Times New Roman" w:hAnsi="Times New Roman" w:cs="Times New Roman"/>
        </w:rPr>
        <w:t xml:space="preserve">stavak 2. </w:t>
      </w:r>
      <w:r w:rsidR="0048177D">
        <w:rPr>
          <w:rStyle w:val="fontstyle01"/>
          <w:rFonts w:ascii="Times New Roman" w:hAnsi="Times New Roman" w:cs="Times New Roman"/>
        </w:rPr>
        <w:t>važećeg</w:t>
      </w:r>
      <w:r w:rsidR="00196A93">
        <w:rPr>
          <w:rStyle w:val="fontstyle01"/>
          <w:rFonts w:ascii="Times New Roman" w:hAnsi="Times New Roman" w:cs="Times New Roman"/>
        </w:rPr>
        <w:t xml:space="preserve"> </w:t>
      </w:r>
      <w:r>
        <w:rPr>
          <w:rStyle w:val="fontstyle01"/>
          <w:rFonts w:ascii="Times New Roman" w:hAnsi="Times New Roman" w:cs="Times New Roman"/>
        </w:rPr>
        <w:t>Zakona uzimajući u obzir ograničenost vremena u brzo razvijajućem scenariju</w:t>
      </w:r>
      <w:r w:rsidR="00196A93" w:rsidRPr="00196A93">
        <w:rPr>
          <w:rStyle w:val="fontstyle01"/>
          <w:rFonts w:ascii="Times New Roman" w:hAnsi="Times New Roman" w:cs="Times New Roman"/>
        </w:rPr>
        <w:t xml:space="preserve"> </w:t>
      </w:r>
      <w:r w:rsidR="00196A93">
        <w:rPr>
          <w:rStyle w:val="fontstyle01"/>
          <w:rFonts w:ascii="Times New Roman" w:hAnsi="Times New Roman" w:cs="Times New Roman"/>
        </w:rPr>
        <w:t>krizne situacije</w:t>
      </w:r>
      <w:r w:rsidR="00343EB1">
        <w:rPr>
          <w:rStyle w:val="fontstyle01"/>
          <w:rFonts w:ascii="Times New Roman" w:hAnsi="Times New Roman" w:cs="Times New Roman"/>
        </w:rPr>
        <w:t xml:space="preserve"> i </w:t>
      </w:r>
      <w:r w:rsidR="00AD0453">
        <w:rPr>
          <w:rStyle w:val="fontstyle01"/>
          <w:rFonts w:ascii="Times New Roman" w:hAnsi="Times New Roman" w:cs="Times New Roman"/>
        </w:rPr>
        <w:t>uvažavajući okolnost</w:t>
      </w:r>
      <w:r>
        <w:rPr>
          <w:rStyle w:val="fontstyle01"/>
          <w:rFonts w:ascii="Times New Roman" w:hAnsi="Times New Roman" w:cs="Times New Roman"/>
        </w:rPr>
        <w:t xml:space="preserve"> da </w:t>
      </w:r>
      <w:r w:rsidR="00196A93">
        <w:rPr>
          <w:rStyle w:val="fontstyle01"/>
          <w:rFonts w:ascii="Times New Roman" w:hAnsi="Times New Roman" w:cs="Times New Roman"/>
        </w:rPr>
        <w:t xml:space="preserve">je </w:t>
      </w:r>
      <w:r>
        <w:rPr>
          <w:rStyle w:val="fontstyle01"/>
          <w:rFonts w:ascii="Times New Roman" w:hAnsi="Times New Roman" w:cs="Times New Roman"/>
        </w:rPr>
        <w:t xml:space="preserve">u fazi redovnog </w:t>
      </w:r>
      <w:r w:rsidR="00196A93">
        <w:rPr>
          <w:rStyle w:val="fontstyle01"/>
          <w:rFonts w:ascii="Times New Roman" w:hAnsi="Times New Roman" w:cs="Times New Roman"/>
        </w:rPr>
        <w:t xml:space="preserve">obavljanja </w:t>
      </w:r>
      <w:r w:rsidR="009578A6">
        <w:rPr>
          <w:rStyle w:val="fontstyle01"/>
          <w:rFonts w:ascii="Times New Roman" w:hAnsi="Times New Roman" w:cs="Times New Roman"/>
        </w:rPr>
        <w:t xml:space="preserve">poslova Ministarstvo financija </w:t>
      </w:r>
      <w:r w:rsidR="00196A93">
        <w:rPr>
          <w:rStyle w:val="fontstyle01"/>
          <w:rFonts w:ascii="Times New Roman" w:hAnsi="Times New Roman" w:cs="Times New Roman"/>
        </w:rPr>
        <w:t>obaviješteno o</w:t>
      </w:r>
      <w:r w:rsidR="009578A6">
        <w:rPr>
          <w:rStyle w:val="fontstyle01"/>
          <w:rFonts w:ascii="Times New Roman" w:hAnsi="Times New Roman" w:cs="Times New Roman"/>
        </w:rPr>
        <w:t xml:space="preserve"> mjerama koje su predviđene u sanacijskom planu, </w:t>
      </w:r>
      <w:r w:rsidR="00196A93">
        <w:rPr>
          <w:rStyle w:val="fontstyle01"/>
          <w:rFonts w:ascii="Times New Roman" w:hAnsi="Times New Roman" w:cs="Times New Roman"/>
        </w:rPr>
        <w:t xml:space="preserve">slijedom čega </w:t>
      </w:r>
      <w:r w:rsidR="009578A6">
        <w:rPr>
          <w:rStyle w:val="fontstyle01"/>
          <w:rFonts w:ascii="Times New Roman" w:hAnsi="Times New Roman" w:cs="Times New Roman"/>
        </w:rPr>
        <w:t xml:space="preserve">o </w:t>
      </w:r>
      <w:r w:rsidR="00196A93">
        <w:rPr>
          <w:rStyle w:val="fontstyle01"/>
          <w:rFonts w:ascii="Times New Roman" w:hAnsi="Times New Roman" w:cs="Times New Roman"/>
        </w:rPr>
        <w:t xml:space="preserve">tim mjerama </w:t>
      </w:r>
      <w:r w:rsidR="009578A6">
        <w:rPr>
          <w:rStyle w:val="fontstyle01"/>
          <w:rFonts w:ascii="Times New Roman" w:hAnsi="Times New Roman" w:cs="Times New Roman"/>
        </w:rPr>
        <w:t xml:space="preserve">Ministarstvo financija već u toj </w:t>
      </w:r>
      <w:r w:rsidR="009578A6" w:rsidRPr="00A309DA">
        <w:rPr>
          <w:rStyle w:val="fontstyle01"/>
          <w:rFonts w:ascii="Times New Roman" w:hAnsi="Times New Roman" w:cs="Times New Roman"/>
        </w:rPr>
        <w:t xml:space="preserve">fazi može dati </w:t>
      </w:r>
      <w:r w:rsidR="00AD0453" w:rsidRPr="00655D50">
        <w:rPr>
          <w:rStyle w:val="fontstyle01"/>
          <w:rFonts w:ascii="Times New Roman" w:hAnsi="Times New Roman" w:cs="Times New Roman"/>
        </w:rPr>
        <w:t xml:space="preserve">svoje </w:t>
      </w:r>
      <w:r w:rsidR="009578A6" w:rsidRPr="00655D50">
        <w:rPr>
          <w:rStyle w:val="fontstyle01"/>
          <w:rFonts w:ascii="Times New Roman" w:hAnsi="Times New Roman" w:cs="Times New Roman"/>
        </w:rPr>
        <w:t>mišljenje</w:t>
      </w:r>
      <w:r w:rsidR="00C11716">
        <w:rPr>
          <w:rStyle w:val="fontstyle01"/>
          <w:rFonts w:ascii="Times New Roman" w:hAnsi="Times New Roman" w:cs="Times New Roman"/>
        </w:rPr>
        <w:t>.</w:t>
      </w:r>
      <w:r w:rsidR="009578A6" w:rsidRPr="00EC6BED">
        <w:rPr>
          <w:rStyle w:val="fontstyle01"/>
          <w:rFonts w:ascii="Times New Roman" w:hAnsi="Times New Roman" w:cs="Times New Roman"/>
        </w:rPr>
        <w:t xml:space="preserve"> </w:t>
      </w:r>
      <w:r w:rsidR="00C11716">
        <w:rPr>
          <w:rStyle w:val="fontstyle01"/>
          <w:rFonts w:ascii="Times New Roman" w:hAnsi="Times New Roman" w:cs="Times New Roman"/>
        </w:rPr>
        <w:t xml:space="preserve">Stoga se </w:t>
      </w:r>
      <w:r w:rsidR="009578A6" w:rsidRPr="00EC6BED">
        <w:rPr>
          <w:rStyle w:val="fontstyle01"/>
          <w:rFonts w:ascii="Times New Roman" w:hAnsi="Times New Roman" w:cs="Times New Roman"/>
        </w:rPr>
        <w:t xml:space="preserve">smatra da </w:t>
      </w:r>
      <w:r w:rsidR="00196A93" w:rsidRPr="00572483">
        <w:rPr>
          <w:rStyle w:val="fontstyle01"/>
          <w:rFonts w:ascii="Times New Roman" w:hAnsi="Times New Roman" w:cs="Times New Roman"/>
        </w:rPr>
        <w:t xml:space="preserve">je </w:t>
      </w:r>
      <w:r w:rsidR="00196A93" w:rsidRPr="00F34B4C">
        <w:rPr>
          <w:rStyle w:val="fontstyle01"/>
          <w:rFonts w:ascii="Times New Roman" w:hAnsi="Times New Roman" w:cs="Times New Roman"/>
        </w:rPr>
        <w:t>pribavljanje suglasnosti Ministarstva financija</w:t>
      </w:r>
      <w:r w:rsidR="00196A93">
        <w:rPr>
          <w:rStyle w:val="fontstyle01"/>
          <w:rFonts w:ascii="Times New Roman" w:hAnsi="Times New Roman" w:cs="Times New Roman"/>
        </w:rPr>
        <w:t xml:space="preserve"> primjereno</w:t>
      </w:r>
      <w:r w:rsidR="009578A6">
        <w:rPr>
          <w:rStyle w:val="fontstyle01"/>
          <w:rFonts w:ascii="Times New Roman" w:hAnsi="Times New Roman" w:cs="Times New Roman"/>
        </w:rPr>
        <w:t xml:space="preserve"> samo </w:t>
      </w:r>
      <w:r w:rsidR="00196A93">
        <w:rPr>
          <w:rStyle w:val="fontstyle01"/>
          <w:rFonts w:ascii="Times New Roman" w:hAnsi="Times New Roman" w:cs="Times New Roman"/>
        </w:rPr>
        <w:t xml:space="preserve">u </w:t>
      </w:r>
      <w:r w:rsidR="00AD0453">
        <w:rPr>
          <w:rStyle w:val="fontstyle01"/>
          <w:rFonts w:ascii="Times New Roman" w:hAnsi="Times New Roman" w:cs="Times New Roman"/>
        </w:rPr>
        <w:t xml:space="preserve">onim </w:t>
      </w:r>
      <w:r w:rsidR="00196A93">
        <w:rPr>
          <w:rStyle w:val="fontstyle01"/>
          <w:rFonts w:ascii="Times New Roman" w:hAnsi="Times New Roman" w:cs="Times New Roman"/>
        </w:rPr>
        <w:t>situacijama u kojima</w:t>
      </w:r>
      <w:r w:rsidR="009578A6">
        <w:rPr>
          <w:rStyle w:val="fontstyle01"/>
          <w:rFonts w:ascii="Times New Roman" w:hAnsi="Times New Roman" w:cs="Times New Roman"/>
        </w:rPr>
        <w:t xml:space="preserve"> se odstupa od mjera</w:t>
      </w:r>
      <w:r w:rsidR="00196A93" w:rsidRPr="00196A93">
        <w:rPr>
          <w:rStyle w:val="fontstyle01"/>
          <w:rFonts w:ascii="Times New Roman" w:hAnsi="Times New Roman" w:cs="Times New Roman"/>
        </w:rPr>
        <w:t xml:space="preserve"> </w:t>
      </w:r>
      <w:r w:rsidR="00196A93">
        <w:rPr>
          <w:rStyle w:val="fontstyle01"/>
          <w:rFonts w:ascii="Times New Roman" w:hAnsi="Times New Roman" w:cs="Times New Roman"/>
        </w:rPr>
        <w:t>koje su predviđene u sanacijskom planu, odnosno kada se</w:t>
      </w:r>
      <w:r w:rsidR="009578A6">
        <w:rPr>
          <w:rStyle w:val="fontstyle01"/>
          <w:rFonts w:ascii="Times New Roman" w:hAnsi="Times New Roman" w:cs="Times New Roman"/>
        </w:rPr>
        <w:t xml:space="preserve"> planiraju poduzeti drugačije mjere, poput primjene drugog</w:t>
      </w:r>
      <w:r w:rsidR="00655D50">
        <w:rPr>
          <w:rStyle w:val="fontstyle01"/>
          <w:rFonts w:ascii="Times New Roman" w:hAnsi="Times New Roman" w:cs="Times New Roman"/>
        </w:rPr>
        <w:t>a</w:t>
      </w:r>
      <w:r w:rsidR="009578A6">
        <w:rPr>
          <w:rStyle w:val="fontstyle01"/>
          <w:rFonts w:ascii="Times New Roman" w:hAnsi="Times New Roman" w:cs="Times New Roman"/>
        </w:rPr>
        <w:t xml:space="preserve"> instrumenta sanacije, pod uvjetom da se njime bolje postižu ciljevi sanacije. </w:t>
      </w:r>
      <w:r w:rsidR="00A309DA">
        <w:rPr>
          <w:rStyle w:val="fontstyle01"/>
          <w:rFonts w:ascii="Times New Roman" w:hAnsi="Times New Roman" w:cs="Times New Roman"/>
        </w:rPr>
        <w:t xml:space="preserve">Uzimajući u obzir navedenu izmjenu, sadržaj članka 9. </w:t>
      </w:r>
      <w:r w:rsidR="00E027F5">
        <w:rPr>
          <w:rStyle w:val="fontstyle01"/>
          <w:rFonts w:ascii="Times New Roman" w:hAnsi="Times New Roman" w:cs="Times New Roman"/>
        </w:rPr>
        <w:t xml:space="preserve">stavka 2. </w:t>
      </w:r>
      <w:r w:rsidR="00A309DA">
        <w:rPr>
          <w:rStyle w:val="fontstyle01"/>
          <w:rFonts w:ascii="Times New Roman" w:hAnsi="Times New Roman" w:cs="Times New Roman"/>
        </w:rPr>
        <w:t>važećeg Zakona u dijelu koji se odnosi na razmjenu informacija između sanacijskih tijela i Ministarstva financija prenosi se u novi član</w:t>
      </w:r>
      <w:r w:rsidR="00E027F5">
        <w:rPr>
          <w:rStyle w:val="fontstyle01"/>
          <w:rFonts w:ascii="Times New Roman" w:hAnsi="Times New Roman" w:cs="Times New Roman"/>
        </w:rPr>
        <w:t>a</w:t>
      </w:r>
      <w:r w:rsidR="00A309DA">
        <w:rPr>
          <w:rStyle w:val="fontstyle01"/>
          <w:rFonts w:ascii="Times New Roman" w:hAnsi="Times New Roman" w:cs="Times New Roman"/>
        </w:rPr>
        <w:t>k 9.</w:t>
      </w:r>
      <w:r w:rsidR="00E027F5">
        <w:rPr>
          <w:rStyle w:val="fontstyle01"/>
          <w:rFonts w:ascii="Times New Roman" w:hAnsi="Times New Roman" w:cs="Times New Roman"/>
        </w:rPr>
        <w:t xml:space="preserve"> stavak 8.</w:t>
      </w:r>
      <w:r w:rsidR="00A309DA">
        <w:rPr>
          <w:rStyle w:val="fontstyle01"/>
          <w:rFonts w:ascii="Times New Roman" w:hAnsi="Times New Roman" w:cs="Times New Roman"/>
        </w:rPr>
        <w:t xml:space="preserve"> radi pravne jasnoće.</w:t>
      </w:r>
    </w:p>
    <w:p w14:paraId="64E46F56" w14:textId="2A903360" w:rsidR="00973204" w:rsidRDefault="00973204" w:rsidP="007A1741">
      <w:pPr>
        <w:pStyle w:val="NoSpacing"/>
        <w:jc w:val="both"/>
        <w:rPr>
          <w:rStyle w:val="fontstyle01"/>
          <w:rFonts w:ascii="Times New Roman" w:hAnsi="Times New Roman" w:cs="Times New Roman"/>
        </w:rPr>
      </w:pPr>
    </w:p>
    <w:p w14:paraId="250E6E8D" w14:textId="6CA91D3E" w:rsidR="00906304" w:rsidRPr="008C5AED" w:rsidRDefault="00973204" w:rsidP="008C5AED">
      <w:pPr>
        <w:pStyle w:val="NoSpacing"/>
        <w:rPr>
          <w:rStyle w:val="fontstyle01"/>
          <w:rFonts w:ascii="Times New Roman" w:hAnsi="Times New Roman" w:cs="Times New Roman"/>
          <w:b/>
        </w:rPr>
      </w:pPr>
      <w:bookmarkStart w:id="5" w:name="_Hlk172112536"/>
      <w:bookmarkStart w:id="6" w:name="_Hlk171936230"/>
      <w:r w:rsidRPr="00414C58">
        <w:rPr>
          <w:rStyle w:val="fontstyle01"/>
          <w:rFonts w:ascii="Times New Roman" w:hAnsi="Times New Roman" w:cs="Times New Roman"/>
          <w:b/>
        </w:rPr>
        <w:t>Uz članak 3.</w:t>
      </w:r>
      <w:bookmarkEnd w:id="4"/>
      <w:bookmarkEnd w:id="5"/>
      <w:bookmarkEnd w:id="6"/>
      <w:r w:rsidR="00906304">
        <w:rPr>
          <w:rStyle w:val="fontstyle01"/>
          <w:rFonts w:ascii="Times New Roman" w:hAnsi="Times New Roman" w:cs="Times New Roman"/>
          <w:bCs/>
        </w:rPr>
        <w:t xml:space="preserve"> </w:t>
      </w:r>
    </w:p>
    <w:p w14:paraId="2B34E382" w14:textId="1E7576D4" w:rsidR="00802B45" w:rsidRDefault="00802B45" w:rsidP="00802B45">
      <w:pPr>
        <w:pStyle w:val="NoSpacing"/>
        <w:rPr>
          <w:rStyle w:val="fontstyle01"/>
          <w:rFonts w:ascii="Times New Roman" w:hAnsi="Times New Roman" w:cs="Times New Roman"/>
          <w:bCs/>
        </w:rPr>
      </w:pPr>
    </w:p>
    <w:p w14:paraId="1B5C7691" w14:textId="3415499E" w:rsidR="009578A6" w:rsidRDefault="009578A6" w:rsidP="00C95B0A">
      <w:pPr>
        <w:pStyle w:val="NoSpacing"/>
        <w:jc w:val="both"/>
        <w:rPr>
          <w:rStyle w:val="fontstyle01"/>
          <w:rFonts w:ascii="Times New Roman" w:hAnsi="Times New Roman" w:cs="Times New Roman"/>
          <w:bCs/>
        </w:rPr>
      </w:pPr>
      <w:r>
        <w:rPr>
          <w:rStyle w:val="fontstyle01"/>
          <w:rFonts w:ascii="Times New Roman" w:hAnsi="Times New Roman" w:cs="Times New Roman"/>
          <w:bCs/>
        </w:rPr>
        <w:t xml:space="preserve">Ovim člankom mijenja se članak 32. </w:t>
      </w:r>
      <w:r w:rsidR="0048177D">
        <w:rPr>
          <w:rStyle w:val="fontstyle01"/>
          <w:rFonts w:ascii="Times New Roman" w:hAnsi="Times New Roman" w:cs="Times New Roman"/>
          <w:bCs/>
        </w:rPr>
        <w:t>važećeg</w:t>
      </w:r>
      <w:r w:rsidR="00C95B0A">
        <w:rPr>
          <w:rStyle w:val="fontstyle01"/>
          <w:rFonts w:ascii="Times New Roman" w:hAnsi="Times New Roman" w:cs="Times New Roman"/>
          <w:bCs/>
        </w:rPr>
        <w:t xml:space="preserve"> </w:t>
      </w:r>
      <w:r>
        <w:rPr>
          <w:rStyle w:val="fontstyle01"/>
          <w:rFonts w:ascii="Times New Roman" w:hAnsi="Times New Roman" w:cs="Times New Roman"/>
          <w:bCs/>
        </w:rPr>
        <w:t xml:space="preserve">Zakona radi osiguravanja usklađenosti s člankom 108. stavcima 2. i 3. </w:t>
      </w:r>
      <w:r w:rsidR="00C95B0A">
        <w:rPr>
          <w:rStyle w:val="fontstyle01"/>
          <w:rFonts w:ascii="Times New Roman" w:hAnsi="Times New Roman" w:cs="Times New Roman"/>
          <w:bCs/>
        </w:rPr>
        <w:t>Direktive</w:t>
      </w:r>
      <w:r w:rsidR="00C95B0A" w:rsidRPr="00C95B0A">
        <w:rPr>
          <w:rStyle w:val="fontstyle01"/>
          <w:rFonts w:ascii="Times New Roman" w:hAnsi="Times New Roman" w:cs="Times New Roman"/>
          <w:bCs/>
        </w:rPr>
        <w:t xml:space="preserve">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w:t>
      </w:r>
      <w:r w:rsidR="00C95B0A">
        <w:rPr>
          <w:rStyle w:val="fontstyle01"/>
          <w:rFonts w:ascii="Times New Roman" w:hAnsi="Times New Roman" w:cs="Times New Roman"/>
          <w:bCs/>
        </w:rPr>
        <w:t>(</w:t>
      </w:r>
      <w:r w:rsidR="00C95B0A" w:rsidRPr="00C95B0A">
        <w:rPr>
          <w:rStyle w:val="fontstyle01"/>
          <w:rFonts w:ascii="Times New Roman" w:hAnsi="Times New Roman" w:cs="Times New Roman"/>
          <w:bCs/>
        </w:rPr>
        <w:t>Tekst značajan za EGP</w:t>
      </w:r>
      <w:r w:rsidR="00C95B0A">
        <w:rPr>
          <w:rStyle w:val="fontstyle01"/>
          <w:rFonts w:ascii="Times New Roman" w:hAnsi="Times New Roman" w:cs="Times New Roman"/>
          <w:bCs/>
        </w:rPr>
        <w:t>) (</w:t>
      </w:r>
      <w:r w:rsidR="00C95B0A" w:rsidRPr="00C95B0A">
        <w:rPr>
          <w:rStyle w:val="fontstyle01"/>
          <w:rFonts w:ascii="Times New Roman" w:hAnsi="Times New Roman" w:cs="Times New Roman"/>
          <w:bCs/>
        </w:rPr>
        <w:t>SL L 173, 12.6.2014.</w:t>
      </w:r>
      <w:r w:rsidR="00C95B0A">
        <w:rPr>
          <w:rStyle w:val="fontstyle01"/>
          <w:rFonts w:ascii="Times New Roman" w:hAnsi="Times New Roman" w:cs="Times New Roman"/>
          <w:bCs/>
        </w:rPr>
        <w:t>), kako je izmijenjena Direktivom</w:t>
      </w:r>
      <w:r w:rsidR="00C95B0A" w:rsidRPr="00C95B0A">
        <w:rPr>
          <w:rStyle w:val="fontstyle01"/>
          <w:rFonts w:ascii="Times New Roman" w:hAnsi="Times New Roman" w:cs="Times New Roman"/>
          <w:bCs/>
        </w:rPr>
        <w:t xml:space="preserve"> (EU) 2017/2399 Europskog parlamenta i Vijeća od 12. prosinca 2017. o izmjeni Direktive 2014/59/EU u pogledu rangiranja neosiguranih dužničkih instrumenat</w:t>
      </w:r>
      <w:r w:rsidR="00C95B0A">
        <w:rPr>
          <w:rStyle w:val="fontstyle01"/>
          <w:rFonts w:ascii="Times New Roman" w:hAnsi="Times New Roman" w:cs="Times New Roman"/>
          <w:bCs/>
        </w:rPr>
        <w:t>a u insolvencijskoj hijerarhiji (</w:t>
      </w:r>
      <w:r w:rsidR="00C95B0A" w:rsidRPr="00C95B0A">
        <w:rPr>
          <w:rStyle w:val="fontstyle01"/>
          <w:rFonts w:ascii="Times New Roman" w:hAnsi="Times New Roman" w:cs="Times New Roman"/>
          <w:bCs/>
        </w:rPr>
        <w:t>SL L 345, 27.12.2017.</w:t>
      </w:r>
      <w:r w:rsidR="00C95B0A">
        <w:rPr>
          <w:rStyle w:val="fontstyle01"/>
          <w:rFonts w:ascii="Times New Roman" w:hAnsi="Times New Roman" w:cs="Times New Roman"/>
          <w:bCs/>
        </w:rPr>
        <w:t>)</w:t>
      </w:r>
      <w:r>
        <w:rPr>
          <w:rStyle w:val="fontstyle01"/>
          <w:rFonts w:ascii="Times New Roman" w:hAnsi="Times New Roman" w:cs="Times New Roman"/>
          <w:bCs/>
        </w:rPr>
        <w:t xml:space="preserve">. </w:t>
      </w:r>
      <w:r w:rsidR="00202A03">
        <w:rPr>
          <w:rStyle w:val="fontstyle01"/>
          <w:rFonts w:ascii="Times New Roman" w:hAnsi="Times New Roman" w:cs="Times New Roman"/>
          <w:bCs/>
        </w:rPr>
        <w:t>C</w:t>
      </w:r>
      <w:r>
        <w:rPr>
          <w:rStyle w:val="fontstyle01"/>
          <w:rFonts w:ascii="Times New Roman" w:hAnsi="Times New Roman" w:cs="Times New Roman"/>
          <w:bCs/>
        </w:rPr>
        <w:t xml:space="preserve">ilj je osigurati da </w:t>
      </w:r>
      <w:r w:rsidR="0019350C">
        <w:rPr>
          <w:rStyle w:val="fontstyle01"/>
          <w:rFonts w:ascii="Times New Roman" w:hAnsi="Times New Roman" w:cs="Times New Roman"/>
          <w:bCs/>
        </w:rPr>
        <w:t>su</w:t>
      </w:r>
      <w:r>
        <w:rPr>
          <w:rStyle w:val="fontstyle01"/>
          <w:rFonts w:ascii="Times New Roman" w:hAnsi="Times New Roman" w:cs="Times New Roman"/>
          <w:bCs/>
        </w:rPr>
        <w:t xml:space="preserve"> nepovlašteni </w:t>
      </w:r>
      <w:r w:rsidR="0019350C" w:rsidRPr="00CF0F7D">
        <w:rPr>
          <w:rFonts w:ascii="Times New Roman" w:hAnsi="Times New Roman" w:cs="Times New Roman"/>
          <w:color w:val="231F20"/>
          <w:sz w:val="24"/>
          <w:szCs w:val="24"/>
          <w:lang w:eastAsia="hr-HR"/>
        </w:rPr>
        <w:t>neosigurani dužnički instrumenti</w:t>
      </w:r>
      <w:r w:rsidR="0019350C">
        <w:rPr>
          <w:rFonts w:ascii="Times New Roman" w:hAnsi="Times New Roman" w:cs="Times New Roman"/>
          <w:color w:val="231F20"/>
          <w:sz w:val="24"/>
          <w:szCs w:val="24"/>
          <w:lang w:eastAsia="hr-HR"/>
        </w:rPr>
        <w:t xml:space="preserve"> koje izdaju svi subjekti iz članka 3. </w:t>
      </w:r>
      <w:r w:rsidR="0048177D">
        <w:rPr>
          <w:rFonts w:ascii="Times New Roman" w:hAnsi="Times New Roman" w:cs="Times New Roman"/>
          <w:color w:val="231F20"/>
          <w:sz w:val="24"/>
          <w:szCs w:val="24"/>
          <w:lang w:eastAsia="hr-HR"/>
        </w:rPr>
        <w:t>važećeg</w:t>
      </w:r>
      <w:r w:rsidR="00202A03">
        <w:rPr>
          <w:rFonts w:ascii="Times New Roman" w:hAnsi="Times New Roman" w:cs="Times New Roman"/>
          <w:color w:val="231F20"/>
          <w:sz w:val="24"/>
          <w:szCs w:val="24"/>
          <w:lang w:eastAsia="hr-HR"/>
        </w:rPr>
        <w:t xml:space="preserve"> </w:t>
      </w:r>
      <w:r w:rsidR="0019350C">
        <w:rPr>
          <w:rFonts w:ascii="Times New Roman" w:hAnsi="Times New Roman" w:cs="Times New Roman"/>
          <w:color w:val="231F20"/>
          <w:sz w:val="24"/>
          <w:szCs w:val="24"/>
          <w:lang w:eastAsia="hr-HR"/>
        </w:rPr>
        <w:t>Zakona blago subordinirani u odnosu na opći likvidacijski</w:t>
      </w:r>
      <w:r w:rsidR="00202A03">
        <w:rPr>
          <w:rFonts w:ascii="Times New Roman" w:hAnsi="Times New Roman" w:cs="Times New Roman"/>
          <w:color w:val="231F20"/>
          <w:sz w:val="24"/>
          <w:szCs w:val="24"/>
          <w:lang w:eastAsia="hr-HR"/>
        </w:rPr>
        <w:t xml:space="preserve">, odnosno </w:t>
      </w:r>
      <w:r w:rsidR="0019350C">
        <w:rPr>
          <w:rFonts w:ascii="Times New Roman" w:hAnsi="Times New Roman" w:cs="Times New Roman"/>
          <w:color w:val="231F20"/>
          <w:sz w:val="24"/>
          <w:szCs w:val="24"/>
          <w:lang w:eastAsia="hr-HR"/>
        </w:rPr>
        <w:t xml:space="preserve">stečajni red u kojem se nalaze obične neosigurane obveze. U tom smislu propisuje se da se nepovlašteni neosigurani dužnički instrumenti u redovnom postupku zbog insolventnosti </w:t>
      </w:r>
      <w:r w:rsidR="00206C3F">
        <w:rPr>
          <w:rFonts w:ascii="Times New Roman" w:hAnsi="Times New Roman" w:cs="Times New Roman"/>
          <w:bCs/>
          <w:sz w:val="24"/>
          <w:szCs w:val="24"/>
        </w:rPr>
        <w:t>utvrđuju</w:t>
      </w:r>
      <w:r w:rsidR="00206C3F" w:rsidRPr="00320D35">
        <w:rPr>
          <w:rFonts w:ascii="Times New Roman" w:hAnsi="Times New Roman" w:cs="Times New Roman"/>
          <w:bCs/>
          <w:sz w:val="24"/>
          <w:szCs w:val="24"/>
        </w:rPr>
        <w:t xml:space="preserve"> kao poseban viši isplatni red </w:t>
      </w:r>
      <w:r w:rsidR="00206C3F">
        <w:rPr>
          <w:rFonts w:ascii="Times New Roman" w:hAnsi="Times New Roman" w:cs="Times New Roman"/>
          <w:bCs/>
          <w:sz w:val="24"/>
          <w:szCs w:val="24"/>
        </w:rPr>
        <w:t>koji</w:t>
      </w:r>
      <w:r w:rsidR="00206C3F" w:rsidRPr="00320D35">
        <w:rPr>
          <w:rFonts w:ascii="Times New Roman" w:hAnsi="Times New Roman" w:cs="Times New Roman"/>
          <w:bCs/>
          <w:sz w:val="24"/>
          <w:szCs w:val="24"/>
        </w:rPr>
        <w:t xml:space="preserve"> se </w:t>
      </w:r>
      <w:r w:rsidR="00206C3F">
        <w:rPr>
          <w:rFonts w:ascii="Times New Roman" w:hAnsi="Times New Roman" w:cs="Times New Roman"/>
          <w:bCs/>
          <w:sz w:val="24"/>
          <w:szCs w:val="24"/>
        </w:rPr>
        <w:t>namiruje</w:t>
      </w:r>
      <w:r w:rsidR="00206C3F" w:rsidRPr="00320D35">
        <w:rPr>
          <w:rFonts w:ascii="Times New Roman" w:hAnsi="Times New Roman" w:cs="Times New Roman"/>
          <w:bCs/>
          <w:sz w:val="24"/>
          <w:szCs w:val="24"/>
        </w:rPr>
        <w:t xml:space="preserve"> poslije </w:t>
      </w:r>
      <w:r w:rsidR="00206C3F">
        <w:rPr>
          <w:rFonts w:ascii="Times New Roman" w:hAnsi="Times New Roman" w:cs="Times New Roman"/>
          <w:bCs/>
          <w:sz w:val="24"/>
          <w:szCs w:val="24"/>
        </w:rPr>
        <w:t>drugih tražbina viš</w:t>
      </w:r>
      <w:r w:rsidR="00206C3F" w:rsidRPr="00320D35">
        <w:rPr>
          <w:rFonts w:ascii="Times New Roman" w:hAnsi="Times New Roman" w:cs="Times New Roman"/>
          <w:bCs/>
          <w:sz w:val="24"/>
          <w:szCs w:val="24"/>
        </w:rPr>
        <w:t xml:space="preserve">ih isplatnih redova, a prije </w:t>
      </w:r>
      <w:r w:rsidR="00206C3F">
        <w:rPr>
          <w:rFonts w:ascii="Times New Roman" w:hAnsi="Times New Roman" w:cs="Times New Roman"/>
          <w:bCs/>
          <w:sz w:val="24"/>
          <w:szCs w:val="24"/>
        </w:rPr>
        <w:t>traž</w:t>
      </w:r>
      <w:r w:rsidR="00206C3F" w:rsidRPr="00320D35">
        <w:rPr>
          <w:rFonts w:ascii="Times New Roman" w:hAnsi="Times New Roman" w:cs="Times New Roman"/>
          <w:bCs/>
          <w:sz w:val="24"/>
          <w:szCs w:val="24"/>
        </w:rPr>
        <w:t xml:space="preserve">bina </w:t>
      </w:r>
      <w:r w:rsidR="00206C3F">
        <w:rPr>
          <w:rFonts w:ascii="Times New Roman" w:hAnsi="Times New Roman" w:cs="Times New Roman"/>
          <w:bCs/>
          <w:sz w:val="24"/>
          <w:szCs w:val="24"/>
        </w:rPr>
        <w:t>niž</w:t>
      </w:r>
      <w:r w:rsidR="00206C3F" w:rsidRPr="00320D35">
        <w:rPr>
          <w:rFonts w:ascii="Times New Roman" w:hAnsi="Times New Roman" w:cs="Times New Roman"/>
          <w:bCs/>
          <w:sz w:val="24"/>
          <w:szCs w:val="24"/>
        </w:rPr>
        <w:t xml:space="preserve">ih </w:t>
      </w:r>
      <w:r w:rsidR="00206C3F">
        <w:rPr>
          <w:rFonts w:ascii="Times New Roman" w:hAnsi="Times New Roman" w:cs="Times New Roman"/>
          <w:bCs/>
          <w:sz w:val="24"/>
          <w:szCs w:val="24"/>
        </w:rPr>
        <w:t>isplatnih</w:t>
      </w:r>
      <w:r w:rsidR="00206C3F" w:rsidRPr="00320D35">
        <w:rPr>
          <w:rFonts w:ascii="Times New Roman" w:hAnsi="Times New Roman" w:cs="Times New Roman"/>
          <w:bCs/>
          <w:sz w:val="24"/>
          <w:szCs w:val="24"/>
        </w:rPr>
        <w:t xml:space="preserve"> </w:t>
      </w:r>
      <w:r w:rsidR="00206C3F">
        <w:rPr>
          <w:rFonts w:ascii="Times New Roman" w:hAnsi="Times New Roman" w:cs="Times New Roman"/>
          <w:bCs/>
          <w:sz w:val="24"/>
          <w:szCs w:val="24"/>
        </w:rPr>
        <w:t>redova</w:t>
      </w:r>
      <w:r w:rsidR="0019350C">
        <w:rPr>
          <w:rFonts w:ascii="Times New Roman" w:hAnsi="Times New Roman" w:cs="Times New Roman"/>
          <w:color w:val="231F20"/>
          <w:sz w:val="24"/>
          <w:szCs w:val="24"/>
          <w:lang w:eastAsia="hr-HR"/>
        </w:rPr>
        <w:t>.</w:t>
      </w:r>
    </w:p>
    <w:p w14:paraId="0A2146D6" w14:textId="77777777" w:rsidR="009578A6" w:rsidRDefault="009578A6" w:rsidP="009578A6">
      <w:pPr>
        <w:pStyle w:val="NoSpacing"/>
        <w:jc w:val="both"/>
        <w:rPr>
          <w:rStyle w:val="fontstyle01"/>
          <w:rFonts w:ascii="Times New Roman" w:hAnsi="Times New Roman" w:cs="Times New Roman"/>
        </w:rPr>
      </w:pPr>
    </w:p>
    <w:p w14:paraId="39A7316C" w14:textId="05AFDDC0" w:rsidR="009578A6" w:rsidRPr="008C5AED" w:rsidRDefault="009578A6" w:rsidP="009578A6">
      <w:pPr>
        <w:pStyle w:val="NoSpacing"/>
        <w:rPr>
          <w:rStyle w:val="fontstyle01"/>
          <w:rFonts w:ascii="Times New Roman" w:hAnsi="Times New Roman" w:cs="Times New Roman"/>
          <w:b/>
        </w:rPr>
      </w:pPr>
      <w:r w:rsidRPr="00414C58">
        <w:rPr>
          <w:rStyle w:val="fontstyle01"/>
          <w:rFonts w:ascii="Times New Roman" w:hAnsi="Times New Roman" w:cs="Times New Roman"/>
          <w:b/>
        </w:rPr>
        <w:t xml:space="preserve">Uz članak </w:t>
      </w:r>
      <w:r>
        <w:rPr>
          <w:rStyle w:val="fontstyle01"/>
          <w:rFonts w:ascii="Times New Roman" w:hAnsi="Times New Roman" w:cs="Times New Roman"/>
          <w:b/>
        </w:rPr>
        <w:t>4</w:t>
      </w:r>
      <w:r w:rsidRPr="00414C58">
        <w:rPr>
          <w:rStyle w:val="fontstyle01"/>
          <w:rFonts w:ascii="Times New Roman" w:hAnsi="Times New Roman" w:cs="Times New Roman"/>
          <w:b/>
        </w:rPr>
        <w:t>.</w:t>
      </w:r>
      <w:r>
        <w:rPr>
          <w:rStyle w:val="fontstyle01"/>
          <w:rFonts w:ascii="Times New Roman" w:hAnsi="Times New Roman" w:cs="Times New Roman"/>
          <w:bCs/>
        </w:rPr>
        <w:t xml:space="preserve"> </w:t>
      </w:r>
    </w:p>
    <w:p w14:paraId="031A2E79" w14:textId="77777777" w:rsidR="009578A6" w:rsidRDefault="009578A6" w:rsidP="00C003BC">
      <w:pPr>
        <w:pStyle w:val="NoSpacing"/>
        <w:rPr>
          <w:rStyle w:val="fontstyle01"/>
          <w:rFonts w:ascii="Times New Roman" w:hAnsi="Times New Roman" w:cs="Times New Roman"/>
          <w:bCs/>
        </w:rPr>
      </w:pPr>
    </w:p>
    <w:p w14:paraId="26B852D9" w14:textId="5E1FC01E" w:rsidR="008A5032" w:rsidRPr="008C5AED" w:rsidRDefault="00BE7FD1" w:rsidP="00C003BC">
      <w:pPr>
        <w:pStyle w:val="NoSpacing"/>
        <w:rPr>
          <w:rStyle w:val="fontstyle01"/>
          <w:rFonts w:ascii="Times New Roman" w:hAnsi="Times New Roman" w:cs="Times New Roman"/>
        </w:rPr>
      </w:pPr>
      <w:r w:rsidRPr="007B65B1">
        <w:rPr>
          <w:rStyle w:val="fontstyle01"/>
          <w:rFonts w:ascii="Times New Roman" w:hAnsi="Times New Roman" w:cs="Times New Roman"/>
          <w:bCs/>
        </w:rPr>
        <w:t>Ovim člankom određuje se stupanje na snagu</w:t>
      </w:r>
      <w:r w:rsidR="007F362A">
        <w:rPr>
          <w:rStyle w:val="fontstyle01"/>
          <w:rFonts w:ascii="Times New Roman" w:hAnsi="Times New Roman" w:cs="Times New Roman"/>
          <w:bCs/>
        </w:rPr>
        <w:t xml:space="preserve"> Zakona</w:t>
      </w:r>
      <w:r w:rsidR="0094171F" w:rsidRPr="007B65B1">
        <w:rPr>
          <w:rStyle w:val="fontstyle01"/>
          <w:rFonts w:ascii="Times New Roman" w:hAnsi="Times New Roman" w:cs="Times New Roman"/>
          <w:bCs/>
        </w:rPr>
        <w:t>.</w:t>
      </w:r>
    </w:p>
    <w:p w14:paraId="084F212F" w14:textId="77777777" w:rsidR="00D026E5" w:rsidRPr="00541CF8" w:rsidRDefault="00D026E5" w:rsidP="00C003BC">
      <w:pPr>
        <w:pStyle w:val="NoSpacing"/>
        <w:rPr>
          <w:rStyle w:val="fontstyle01"/>
          <w:rFonts w:ascii="Times New Roman" w:hAnsi="Times New Roman" w:cs="Times New Roman"/>
          <w:highlight w:val="yellow"/>
        </w:rPr>
      </w:pPr>
      <w:r w:rsidRPr="00541CF8">
        <w:rPr>
          <w:rStyle w:val="fontstyle01"/>
          <w:rFonts w:ascii="Times New Roman" w:hAnsi="Times New Roman" w:cs="Times New Roman"/>
          <w:highlight w:val="yellow"/>
        </w:rPr>
        <w:br w:type="page"/>
      </w:r>
    </w:p>
    <w:p w14:paraId="5EB8AD16" w14:textId="01EF5CBD" w:rsidR="00CD6572" w:rsidRPr="00541CF8" w:rsidRDefault="00CD6572" w:rsidP="00474868">
      <w:pPr>
        <w:tabs>
          <w:tab w:val="left" w:pos="142"/>
        </w:tabs>
        <w:spacing w:after="0" w:line="240" w:lineRule="auto"/>
        <w:jc w:val="center"/>
        <w:outlineLvl w:val="0"/>
        <w:rPr>
          <w:rFonts w:ascii="Times New Roman" w:hAnsi="Times New Roman" w:cs="Times New Roman"/>
          <w:b/>
          <w:sz w:val="24"/>
          <w:szCs w:val="24"/>
          <w:lang w:eastAsia="hr-HR"/>
        </w:rPr>
      </w:pPr>
      <w:r w:rsidRPr="00474868">
        <w:rPr>
          <w:rStyle w:val="fontstyle01"/>
          <w:rFonts w:ascii="Times New Roman" w:hAnsi="Times New Roman"/>
          <w:b/>
          <w:bCs/>
        </w:rPr>
        <w:lastRenderedPageBreak/>
        <w:t>ODREDBE</w:t>
      </w:r>
      <w:r w:rsidRPr="00541CF8">
        <w:rPr>
          <w:rFonts w:ascii="Times New Roman" w:hAnsi="Times New Roman" w:cs="Times New Roman"/>
          <w:b/>
          <w:sz w:val="24"/>
          <w:szCs w:val="24"/>
          <w:lang w:eastAsia="hr-HR"/>
        </w:rPr>
        <w:t xml:space="preserve"> VAŽEĆEG ZAKONA KOJE SE MIJENJAJU, </w:t>
      </w:r>
      <w:r w:rsidRPr="00541CF8">
        <w:rPr>
          <w:rFonts w:ascii="Times New Roman" w:hAnsi="Times New Roman" w:cs="Times New Roman"/>
          <w:b/>
          <w:sz w:val="24"/>
          <w:szCs w:val="24"/>
        </w:rPr>
        <w:t>ODNOSNO DOPUNJUJU</w:t>
      </w:r>
    </w:p>
    <w:p w14:paraId="5EB511D2" w14:textId="77777777" w:rsidR="000F0222" w:rsidRPr="000F0222" w:rsidRDefault="000F0222" w:rsidP="00D64063">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0F0222">
        <w:rPr>
          <w:rFonts w:ascii="Times New Roman" w:eastAsia="Times New Roman" w:hAnsi="Times New Roman" w:cs="Times New Roman"/>
          <w:i/>
          <w:iCs/>
          <w:color w:val="231F20"/>
          <w:sz w:val="24"/>
          <w:szCs w:val="24"/>
          <w:lang w:eastAsia="hr-HR"/>
        </w:rPr>
        <w:t>Pojmovi</w:t>
      </w:r>
    </w:p>
    <w:p w14:paraId="63799588" w14:textId="77777777" w:rsidR="000F0222" w:rsidRPr="000F0222" w:rsidRDefault="000F0222" w:rsidP="000F0222">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Članak 4.</w:t>
      </w:r>
    </w:p>
    <w:p w14:paraId="4A6A5FF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U ovom Zakonu za propise Europske unije upotrebljavaju se sljedeći skraćeni nazivi:</w:t>
      </w:r>
    </w:p>
    <w:p w14:paraId="6DF1681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w:t>
      </w:r>
      <w:r w:rsidRPr="000F0222">
        <w:rPr>
          <w:rFonts w:ascii="Times New Roman" w:eastAsia="Times New Roman" w:hAnsi="Times New Roman" w:cs="Times New Roman"/>
          <w:i/>
          <w:iCs/>
          <w:color w:val="231F20"/>
          <w:sz w:val="24"/>
          <w:szCs w:val="24"/>
          <w:bdr w:val="none" w:sz="0" w:space="0" w:color="auto" w:frame="1"/>
          <w:lang w:eastAsia="hr-HR"/>
        </w:rPr>
        <w:t>Uredba Vijeća (EU) br. 1024/2013 </w:t>
      </w:r>
      <w:r w:rsidRPr="000F0222">
        <w:rPr>
          <w:rFonts w:ascii="Times New Roman" w:eastAsia="Times New Roman" w:hAnsi="Times New Roman" w:cs="Times New Roman"/>
          <w:color w:val="231F20"/>
          <w:sz w:val="24"/>
          <w:szCs w:val="24"/>
          <w:lang w:eastAsia="hr-HR"/>
        </w:rPr>
        <w:t>je Uredba Vijeća (EU) br. 1024/2013 od 15. listopada 2013. o dodjeli određenih zadaća Europskoj središnjoj banci u vezi s politikama bonitetnog nadzora kreditnih institucija (SL L 287, 29. 10. 2013.)</w:t>
      </w:r>
    </w:p>
    <w:p w14:paraId="61332BD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w:t>
      </w:r>
      <w:r w:rsidRPr="000F0222">
        <w:rPr>
          <w:rFonts w:ascii="Times New Roman" w:eastAsia="Times New Roman" w:hAnsi="Times New Roman" w:cs="Times New Roman"/>
          <w:i/>
          <w:iCs/>
          <w:color w:val="231F20"/>
          <w:sz w:val="24"/>
          <w:szCs w:val="24"/>
          <w:bdr w:val="none" w:sz="0" w:space="0" w:color="auto" w:frame="1"/>
          <w:lang w:eastAsia="hr-HR"/>
        </w:rPr>
        <w:t>Uredba (EU) br. 648/2012 </w:t>
      </w:r>
      <w:r w:rsidRPr="000F0222">
        <w:rPr>
          <w:rFonts w:ascii="Times New Roman" w:eastAsia="Times New Roman" w:hAnsi="Times New Roman" w:cs="Times New Roman"/>
          <w:color w:val="231F20"/>
          <w:sz w:val="24"/>
          <w:szCs w:val="24"/>
          <w:lang w:eastAsia="hr-HR"/>
        </w:rPr>
        <w:t>je Uredba (EU) br. 648/2012 Europskog parlamenta i Vijeća od 4. srpnja 2012. o OTC izvedenicama, središnjoj drugoj ugovornoj strani i trgovinskom repozitoriju (Tekst značajan za EGP) (SL L 201, 27. 2. 2012.)</w:t>
      </w:r>
    </w:p>
    <w:p w14:paraId="0326EB0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3. </w:t>
      </w:r>
      <w:r w:rsidRPr="000F0222">
        <w:rPr>
          <w:rFonts w:ascii="Times New Roman" w:eastAsia="Times New Roman" w:hAnsi="Times New Roman" w:cs="Times New Roman"/>
          <w:i/>
          <w:iCs/>
          <w:color w:val="231F20"/>
          <w:sz w:val="24"/>
          <w:szCs w:val="24"/>
          <w:bdr w:val="none" w:sz="0" w:space="0" w:color="auto" w:frame="1"/>
          <w:lang w:eastAsia="hr-HR"/>
        </w:rPr>
        <w:t>Uredba (EU) br. 1093/2010 </w:t>
      </w:r>
      <w:r w:rsidRPr="000F0222">
        <w:rPr>
          <w:rFonts w:ascii="Times New Roman" w:eastAsia="Times New Roman" w:hAnsi="Times New Roman" w:cs="Times New Roman"/>
          <w:color w:val="231F20"/>
          <w:sz w:val="24"/>
          <w:szCs w:val="24"/>
          <w:lang w:eastAsia="hr-HR"/>
        </w:rPr>
        <w:t>je Uredba (EU) br. 1093/2010 Europskog parlamenta i Vijeća od 24. studenoga 2010. o osnivanju europskog nadzornog tijela (Europskog nadzornog tijela za bankarstvo), kojom se izmjenjuje Odluka br. 716/2009/EZ i stavlja izvan snage Odluka Komisije 2009/78/EZ (SL L 331, 15. 12. 2010.)</w:t>
      </w:r>
    </w:p>
    <w:p w14:paraId="0713E77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4. </w:t>
      </w:r>
      <w:r w:rsidRPr="000F0222">
        <w:rPr>
          <w:rFonts w:ascii="Times New Roman" w:eastAsia="Times New Roman" w:hAnsi="Times New Roman" w:cs="Times New Roman"/>
          <w:i/>
          <w:iCs/>
          <w:color w:val="231F20"/>
          <w:sz w:val="24"/>
          <w:szCs w:val="24"/>
          <w:bdr w:val="none" w:sz="0" w:space="0" w:color="auto" w:frame="1"/>
          <w:lang w:eastAsia="hr-HR"/>
        </w:rPr>
        <w:t>Preporuka Komisije 2003/361/EZ </w:t>
      </w:r>
      <w:r w:rsidRPr="000F0222">
        <w:rPr>
          <w:rFonts w:ascii="Times New Roman" w:eastAsia="Times New Roman" w:hAnsi="Times New Roman" w:cs="Times New Roman"/>
          <w:color w:val="231F20"/>
          <w:sz w:val="24"/>
          <w:szCs w:val="24"/>
          <w:lang w:eastAsia="hr-HR"/>
        </w:rPr>
        <w:t>je Preporuka Komisije 2003/361/EZ od 6. svibnja 2003. o definiciji mikropoduzeća te malih i srednjih poduzeća (Tekst značajan za EGP) (SL L 124, 20. 5. 2003.)</w:t>
      </w:r>
    </w:p>
    <w:p w14:paraId="21A31A8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5. </w:t>
      </w:r>
      <w:r w:rsidRPr="000F0222">
        <w:rPr>
          <w:rFonts w:ascii="Times New Roman" w:eastAsia="Times New Roman" w:hAnsi="Times New Roman" w:cs="Times New Roman"/>
          <w:i/>
          <w:iCs/>
          <w:color w:val="231F20"/>
          <w:sz w:val="24"/>
          <w:szCs w:val="24"/>
          <w:bdr w:val="none" w:sz="0" w:space="0" w:color="auto" w:frame="1"/>
          <w:lang w:eastAsia="hr-HR"/>
        </w:rPr>
        <w:t>Uredba (EU) br. 468/2014 </w:t>
      </w:r>
      <w:r w:rsidRPr="000F0222">
        <w:rPr>
          <w:rFonts w:ascii="Times New Roman" w:eastAsia="Times New Roman" w:hAnsi="Times New Roman" w:cs="Times New Roman"/>
          <w:color w:val="231F20"/>
          <w:sz w:val="24"/>
          <w:szCs w:val="24"/>
          <w:lang w:eastAsia="hr-HR"/>
        </w:rPr>
        <w:t>je Uredba (EU) br. 468/2014 Europske središnje banke od 16. travnja 2014. o uspostavljanju okvira za suradnju unutar Jedinstvenog nadzornog mehanizma između Europske središnje banke i nacionalnih nadležnih tijela te s nacionalnim imenovanim tijelima (Okvirna uredba o SSM-u) (SL L 141, 14. 5. 2014.)</w:t>
      </w:r>
    </w:p>
    <w:p w14:paraId="093E295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6. </w:t>
      </w:r>
      <w:r w:rsidRPr="000F0222">
        <w:rPr>
          <w:rFonts w:ascii="Times New Roman" w:eastAsia="Times New Roman" w:hAnsi="Times New Roman" w:cs="Times New Roman"/>
          <w:i/>
          <w:iCs/>
          <w:color w:val="231F20"/>
          <w:sz w:val="24"/>
          <w:szCs w:val="24"/>
          <w:bdr w:val="none" w:sz="0" w:space="0" w:color="auto" w:frame="1"/>
          <w:lang w:eastAsia="hr-HR"/>
        </w:rPr>
        <w:t>Uredba (EU) br. 2019/2033 </w:t>
      </w:r>
      <w:r w:rsidRPr="000F0222">
        <w:rPr>
          <w:rFonts w:ascii="Times New Roman" w:eastAsia="Times New Roman" w:hAnsi="Times New Roman" w:cs="Times New Roman"/>
          <w:color w:val="231F20"/>
          <w:sz w:val="24"/>
          <w:szCs w:val="24"/>
          <w:lang w:eastAsia="hr-HR"/>
        </w:rPr>
        <w:t>je Uredba (EU) br. 2019/2033 Europskog parlamenta i Vijeća od 27. studenoga 2019. o bonitetnim zahtjevima za investicijska društva i o izmjeni uredaba (EU) br. 1093/2010, (EU) br. 575/2013, (EU) br. 600/2014 i (EU) br. 806/2014 (Tekst značajan za EGP) (SL L 314, 5. 12. 2019.)</w:t>
      </w:r>
    </w:p>
    <w:p w14:paraId="30C3E96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7. </w:t>
      </w:r>
      <w:r w:rsidRPr="000F0222">
        <w:rPr>
          <w:rFonts w:ascii="Times New Roman" w:eastAsia="Times New Roman" w:hAnsi="Times New Roman" w:cs="Times New Roman"/>
          <w:i/>
          <w:iCs/>
          <w:color w:val="231F20"/>
          <w:sz w:val="24"/>
          <w:szCs w:val="24"/>
          <w:bdr w:val="none" w:sz="0" w:space="0" w:color="auto" w:frame="1"/>
          <w:lang w:eastAsia="hr-HR"/>
        </w:rPr>
        <w:t>Delegirana uredba Komisije (EU) br. 2016/1712 </w:t>
      </w:r>
      <w:r w:rsidRPr="000F0222">
        <w:rPr>
          <w:rFonts w:ascii="Times New Roman" w:eastAsia="Times New Roman" w:hAnsi="Times New Roman" w:cs="Times New Roman"/>
          <w:color w:val="231F20"/>
          <w:sz w:val="24"/>
          <w:szCs w:val="24"/>
          <w:lang w:eastAsia="hr-HR"/>
        </w:rPr>
        <w:t>je Delegirana uredba Komisije (EU) 2016/1712 od 7. lipnja 2016. o dopuni Direktive 2014/59/EU Europskog parlamenta i Vijeća o uspostavi okvira za oporavak i sanaciju kreditnih institucija i investicijskih društava u pogledu regulatornih tehničkih standarda kojima se utvrđuju minimalni skup informacija o financijskim ugovorima koje mora sadržavati detaljna evidencija i okolnosti u kojima treba nametnuti zahtjev (Tekst značajan za EGP) (SL L 258, 24. 9. 2016.)</w:t>
      </w:r>
    </w:p>
    <w:p w14:paraId="66DEA00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8. </w:t>
      </w:r>
      <w:r w:rsidRPr="000F0222">
        <w:rPr>
          <w:rFonts w:ascii="Times New Roman" w:eastAsia="Times New Roman" w:hAnsi="Times New Roman" w:cs="Times New Roman"/>
          <w:i/>
          <w:iCs/>
          <w:color w:val="231F20"/>
          <w:sz w:val="24"/>
          <w:szCs w:val="24"/>
          <w:bdr w:val="none" w:sz="0" w:space="0" w:color="auto" w:frame="1"/>
          <w:lang w:eastAsia="hr-HR"/>
        </w:rPr>
        <w:t>Delegirana uredba Komisije (EU) br. 2015/63 </w:t>
      </w:r>
      <w:r w:rsidRPr="000F0222">
        <w:rPr>
          <w:rFonts w:ascii="Times New Roman" w:eastAsia="Times New Roman" w:hAnsi="Times New Roman" w:cs="Times New Roman"/>
          <w:color w:val="231F20"/>
          <w:sz w:val="24"/>
          <w:szCs w:val="24"/>
          <w:lang w:eastAsia="hr-HR"/>
        </w:rPr>
        <w:t>je Delegirana uredba Komisije (EU) 2015/63 od 21. listopada 2014. o dopuni Direktive 2014/59/EU Europskog parlamenta i Vijeća u vezi s </w:t>
      </w:r>
      <w:r w:rsidRPr="000F0222">
        <w:rPr>
          <w:rFonts w:ascii="Times New Roman" w:eastAsia="Times New Roman" w:hAnsi="Times New Roman" w:cs="Times New Roman"/>
          <w:i/>
          <w:iCs/>
          <w:color w:val="231F20"/>
          <w:sz w:val="24"/>
          <w:szCs w:val="24"/>
          <w:bdr w:val="none" w:sz="0" w:space="0" w:color="auto" w:frame="1"/>
          <w:lang w:eastAsia="hr-HR"/>
        </w:rPr>
        <w:t>ex ante </w:t>
      </w:r>
      <w:r w:rsidRPr="000F0222">
        <w:rPr>
          <w:rFonts w:ascii="Times New Roman" w:eastAsia="Times New Roman" w:hAnsi="Times New Roman" w:cs="Times New Roman"/>
          <w:color w:val="231F20"/>
          <w:sz w:val="24"/>
          <w:szCs w:val="24"/>
          <w:lang w:eastAsia="hr-HR"/>
        </w:rPr>
        <w:t>doprinosima aranžmanima financiranja sanacije (SL L 11, 17. 1. 2015.)</w:t>
      </w:r>
    </w:p>
    <w:p w14:paraId="05ADE8D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9. </w:t>
      </w:r>
      <w:r w:rsidRPr="000F0222">
        <w:rPr>
          <w:rFonts w:ascii="Times New Roman" w:eastAsia="Times New Roman" w:hAnsi="Times New Roman" w:cs="Times New Roman"/>
          <w:i/>
          <w:iCs/>
          <w:color w:val="231F20"/>
          <w:sz w:val="24"/>
          <w:szCs w:val="24"/>
          <w:lang w:eastAsia="hr-HR"/>
        </w:rPr>
        <w:t>Delegirana uredba Komisije (EU) br. 2016/1075</w:t>
      </w:r>
      <w:r w:rsidRPr="000F0222">
        <w:rPr>
          <w:rFonts w:ascii="Times New Roman" w:eastAsia="Times New Roman" w:hAnsi="Times New Roman" w:cs="Times New Roman"/>
          <w:color w:val="231F20"/>
          <w:sz w:val="24"/>
          <w:szCs w:val="24"/>
          <w:lang w:eastAsia="hr-HR"/>
        </w:rPr>
        <w:t xml:space="preserve"> je Delegirana uredba Komisije (EU) br. 2016/1075 оd 23. ožujka 2016. o dopuni Direktive 2014/59/EU Europskog parlamenta i Vijeća u pogledu regulatornih tehničkih standarda kojima se pobliže određuju sadržaj planova oporavka, planova sanacije i planova sanacije grupe, </w:t>
      </w:r>
      <w:r w:rsidRPr="000F0222">
        <w:rPr>
          <w:rFonts w:ascii="Times New Roman" w:eastAsia="Times New Roman" w:hAnsi="Times New Roman" w:cs="Times New Roman"/>
          <w:color w:val="231F20"/>
          <w:sz w:val="24"/>
          <w:szCs w:val="24"/>
          <w:lang w:eastAsia="hr-HR"/>
        </w:rPr>
        <w:lastRenderedPageBreak/>
        <w:t>minimalni kriteriji koje nadležno tijelo treba procijeniti u pogledu planova oporavka i planova oporavka grupe, uvjeti za financijsku potporu grupe, zahtjevi za neovisne procjenitelje, ugovorno priznavanje ovlasti otpisa i konverzije, postupci i sadržaj zahtjeva u pogledu obavješćivanja i obavijesti o suspenziji te operativno funkcioniranje sanacijskih kolegija (Tekst značajan za EGP) (SL L 184, 8. 7. 2016)</w:t>
      </w:r>
    </w:p>
    <w:p w14:paraId="7BC9B25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10. </w:t>
      </w:r>
      <w:r w:rsidRPr="000F0222">
        <w:rPr>
          <w:rFonts w:ascii="Times New Roman" w:eastAsia="Times New Roman" w:hAnsi="Times New Roman" w:cs="Times New Roman"/>
          <w:i/>
          <w:iCs/>
          <w:color w:val="231F20"/>
          <w:sz w:val="24"/>
          <w:szCs w:val="24"/>
          <w:lang w:eastAsia="hr-HR"/>
        </w:rPr>
        <w:t>Provedbena uredba Komisije (EU) br. 2021/763</w:t>
      </w:r>
      <w:r w:rsidRPr="000F0222">
        <w:rPr>
          <w:rFonts w:ascii="Times New Roman" w:eastAsia="Times New Roman" w:hAnsi="Times New Roman" w:cs="Times New Roman"/>
          <w:color w:val="231F20"/>
          <w:sz w:val="24"/>
          <w:szCs w:val="24"/>
          <w:lang w:eastAsia="hr-HR"/>
        </w:rPr>
        <w:t xml:space="preserve"> je Provedbena uredba Komisije (EU) 2021/763 od 23. travnja 2021. o utvrđivanju provedbenih tehničkih standarda za primjenu Uredbe (EU) br. 575/2013 Europskog parlamenta i Vijeća i Direktive 2014/59/EU Europskog parlamenta i Vijeća u pogledu nadzornog izvješćivanja i javne objave minimalnog zahtjeva za regulatorni kapital i prihvatljive obveze (Tekst značajan za EGP) (SL L 168, 12. 5. 2021.)</w:t>
      </w:r>
    </w:p>
    <w:p w14:paraId="03CB2BE4" w14:textId="443E1351" w:rsid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11. </w:t>
      </w:r>
      <w:bookmarkStart w:id="7" w:name="_Hlk130198663"/>
      <w:r w:rsidRPr="000F0222">
        <w:rPr>
          <w:rFonts w:ascii="Times New Roman" w:eastAsia="Times New Roman" w:hAnsi="Times New Roman" w:cs="Times New Roman"/>
          <w:i/>
          <w:iCs/>
          <w:color w:val="231F20"/>
          <w:sz w:val="24"/>
          <w:szCs w:val="24"/>
          <w:lang w:eastAsia="hr-HR"/>
        </w:rPr>
        <w:t>Uredba (EU) br. 2022/2554</w:t>
      </w:r>
      <w:r w:rsidRPr="000F0222">
        <w:rPr>
          <w:rFonts w:ascii="Times New Roman" w:eastAsia="Times New Roman" w:hAnsi="Times New Roman" w:cs="Times New Roman"/>
          <w:color w:val="231F20"/>
          <w:sz w:val="24"/>
          <w:szCs w:val="24"/>
          <w:lang w:eastAsia="hr-HR"/>
        </w:rPr>
        <w:t xml:space="preserve"> </w:t>
      </w:r>
      <w:bookmarkEnd w:id="7"/>
      <w:r w:rsidRPr="000F0222">
        <w:rPr>
          <w:rFonts w:ascii="Times New Roman" w:eastAsia="Times New Roman" w:hAnsi="Times New Roman" w:cs="Times New Roman"/>
          <w:color w:val="231F20"/>
          <w:sz w:val="24"/>
          <w:szCs w:val="24"/>
          <w:lang w:eastAsia="hr-HR"/>
        </w:rPr>
        <w:t xml:space="preserve">je Uredba (EU) 2022/2554 Europskog parlamenta i Vijeća od 14. prosinca 2022. o digitalnoj operativnoj otpornosti za financijski sektor i izmjeni uredbi (EZ) br. 1060/2009, (EU) br. 648/2012, (EU) br. 600/2014, (EU) br. 909/2014 i (EU) 2016/1011 (Tekst značajan za EGP) </w:t>
      </w:r>
      <w:bookmarkStart w:id="8" w:name="_Hlk129957665"/>
      <w:r w:rsidRPr="000F0222">
        <w:rPr>
          <w:rFonts w:ascii="Times New Roman" w:eastAsia="Times New Roman" w:hAnsi="Times New Roman" w:cs="Times New Roman"/>
          <w:color w:val="231F20"/>
          <w:sz w:val="24"/>
          <w:szCs w:val="24"/>
          <w:lang w:eastAsia="hr-HR"/>
        </w:rPr>
        <w:t>(SL L 333, 27. 12. 2022.)</w:t>
      </w:r>
      <w:bookmarkEnd w:id="8"/>
    </w:p>
    <w:p w14:paraId="55737C0C" w14:textId="3B49EF73" w:rsidR="000840C7" w:rsidRPr="000F0222" w:rsidRDefault="000840C7"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840C7">
        <w:rPr>
          <w:rFonts w:ascii="Times New Roman" w:eastAsia="Times New Roman" w:hAnsi="Times New Roman" w:cs="Times New Roman"/>
          <w:color w:val="231F20"/>
          <w:sz w:val="24"/>
          <w:szCs w:val="24"/>
          <w:lang w:eastAsia="hr-HR"/>
        </w:rPr>
        <w:t xml:space="preserve">12. </w:t>
      </w:r>
      <w:r w:rsidRPr="00A639A8">
        <w:rPr>
          <w:rFonts w:ascii="Times New Roman" w:eastAsia="Times New Roman" w:hAnsi="Times New Roman" w:cs="Times New Roman"/>
          <w:i/>
          <w:color w:val="231F20"/>
          <w:sz w:val="24"/>
          <w:szCs w:val="24"/>
          <w:lang w:eastAsia="hr-HR"/>
        </w:rPr>
        <w:t>Uredba (EU) 2023/2859</w:t>
      </w:r>
      <w:r w:rsidRPr="000840C7">
        <w:rPr>
          <w:rFonts w:ascii="Times New Roman" w:eastAsia="Times New Roman" w:hAnsi="Times New Roman" w:cs="Times New Roman"/>
          <w:color w:val="231F20"/>
          <w:sz w:val="24"/>
          <w:szCs w:val="24"/>
          <w:lang w:eastAsia="hr-HR"/>
        </w:rPr>
        <w:t xml:space="preserve"> je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 12. 2023.).</w:t>
      </w:r>
    </w:p>
    <w:p w14:paraId="245F888C"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Pojedini pojmovi u smislu ovoga Zakona imaju sljedeće značenje:</w:t>
      </w:r>
    </w:p>
    <w:p w14:paraId="0006179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w:t>
      </w:r>
      <w:r w:rsidRPr="000F0222">
        <w:rPr>
          <w:rFonts w:ascii="Times New Roman" w:eastAsia="Times New Roman" w:hAnsi="Times New Roman" w:cs="Times New Roman"/>
          <w:i/>
          <w:iCs/>
          <w:color w:val="231F20"/>
          <w:sz w:val="24"/>
          <w:szCs w:val="24"/>
          <w:bdr w:val="none" w:sz="0" w:space="0" w:color="auto" w:frame="1"/>
          <w:lang w:eastAsia="hr-HR"/>
        </w:rPr>
        <w:t>aranžman financiranja grupe </w:t>
      </w:r>
      <w:r w:rsidRPr="000F0222">
        <w:rPr>
          <w:rFonts w:ascii="Times New Roman" w:eastAsia="Times New Roman" w:hAnsi="Times New Roman" w:cs="Times New Roman"/>
          <w:color w:val="231F20"/>
          <w:sz w:val="24"/>
          <w:szCs w:val="24"/>
          <w:lang w:eastAsia="hr-HR"/>
        </w:rPr>
        <w:t>je aranžman financiranja ili aranžmani financiranja dostupni u državi članici u kojoj se nalazi grupno sanacijsko tijelo</w:t>
      </w:r>
    </w:p>
    <w:p w14:paraId="04C490B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w:t>
      </w:r>
      <w:r w:rsidRPr="000F0222">
        <w:rPr>
          <w:rFonts w:ascii="Times New Roman" w:eastAsia="Times New Roman" w:hAnsi="Times New Roman" w:cs="Times New Roman"/>
          <w:i/>
          <w:iCs/>
          <w:color w:val="231F20"/>
          <w:sz w:val="24"/>
          <w:szCs w:val="24"/>
          <w:bdr w:val="none" w:sz="0" w:space="0" w:color="auto" w:frame="1"/>
          <w:lang w:eastAsia="hr-HR"/>
        </w:rPr>
        <w:t>ciljevi sanacije </w:t>
      </w:r>
      <w:r w:rsidRPr="000F0222">
        <w:rPr>
          <w:rFonts w:ascii="Times New Roman" w:eastAsia="Times New Roman" w:hAnsi="Times New Roman" w:cs="Times New Roman"/>
          <w:color w:val="231F20"/>
          <w:sz w:val="24"/>
          <w:szCs w:val="24"/>
          <w:lang w:eastAsia="hr-HR"/>
        </w:rPr>
        <w:t>kako je uređeno člankom 6. ovoga Zakona</w:t>
      </w:r>
    </w:p>
    <w:p w14:paraId="03F09C8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3. </w:t>
      </w:r>
      <w:r w:rsidRPr="000F0222">
        <w:rPr>
          <w:rFonts w:ascii="Times New Roman" w:eastAsia="Times New Roman" w:hAnsi="Times New Roman" w:cs="Times New Roman"/>
          <w:i/>
          <w:iCs/>
          <w:color w:val="231F20"/>
          <w:sz w:val="24"/>
          <w:szCs w:val="24"/>
          <w:bdr w:val="none" w:sz="0" w:space="0" w:color="auto" w:frame="1"/>
          <w:lang w:eastAsia="hr-HR"/>
        </w:rPr>
        <w:t>članica grupe </w:t>
      </w:r>
      <w:r w:rsidRPr="000F0222">
        <w:rPr>
          <w:rFonts w:ascii="Times New Roman" w:eastAsia="Times New Roman" w:hAnsi="Times New Roman" w:cs="Times New Roman"/>
          <w:color w:val="231F20"/>
          <w:sz w:val="24"/>
          <w:szCs w:val="24"/>
          <w:lang w:eastAsia="hr-HR"/>
        </w:rPr>
        <w:t>je pravna osoba koja je dio grupe</w:t>
      </w:r>
    </w:p>
    <w:p w14:paraId="40B23C6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4. </w:t>
      </w:r>
      <w:r w:rsidRPr="000F0222">
        <w:rPr>
          <w:rFonts w:ascii="Times New Roman" w:eastAsia="Times New Roman" w:hAnsi="Times New Roman" w:cs="Times New Roman"/>
          <w:i/>
          <w:iCs/>
          <w:color w:val="231F20"/>
          <w:sz w:val="24"/>
          <w:szCs w:val="24"/>
          <w:bdr w:val="none" w:sz="0" w:space="0" w:color="auto" w:frame="1"/>
          <w:lang w:eastAsia="hr-HR"/>
        </w:rPr>
        <w:t>deponent </w:t>
      </w:r>
      <w:r w:rsidRPr="000F0222">
        <w:rPr>
          <w:rFonts w:ascii="Times New Roman" w:eastAsia="Times New Roman" w:hAnsi="Times New Roman" w:cs="Times New Roman"/>
          <w:color w:val="231F20"/>
          <w:sz w:val="24"/>
          <w:szCs w:val="24"/>
          <w:lang w:eastAsia="hr-HR"/>
        </w:rPr>
        <w:t>znači imatelj ili, u slučaju zajedničkog računa, svaki od imatelja depozita, a u Republici Hrvatskoj kako je uređeno propisom kojim se uređuje osiguranje depozita</w:t>
      </w:r>
    </w:p>
    <w:p w14:paraId="10C3529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5. </w:t>
      </w:r>
      <w:r w:rsidRPr="000F0222">
        <w:rPr>
          <w:rFonts w:ascii="Times New Roman" w:eastAsia="Times New Roman" w:hAnsi="Times New Roman" w:cs="Times New Roman"/>
          <w:i/>
          <w:iCs/>
          <w:color w:val="231F20"/>
          <w:sz w:val="24"/>
          <w:szCs w:val="24"/>
          <w:bdr w:val="none" w:sz="0" w:space="0" w:color="auto" w:frame="1"/>
          <w:lang w:eastAsia="hr-HR"/>
        </w:rPr>
        <w:t>dioničar </w:t>
      </w:r>
      <w:r w:rsidRPr="000F0222">
        <w:rPr>
          <w:rFonts w:ascii="Times New Roman" w:eastAsia="Times New Roman" w:hAnsi="Times New Roman" w:cs="Times New Roman"/>
          <w:color w:val="231F20"/>
          <w:sz w:val="24"/>
          <w:szCs w:val="24"/>
          <w:lang w:eastAsia="hr-HR"/>
        </w:rPr>
        <w:t>je dioničar ili imatelj drugog vlasničkog instrumenta</w:t>
      </w:r>
    </w:p>
    <w:p w14:paraId="30451E9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6. </w:t>
      </w:r>
      <w:r w:rsidRPr="000F0222">
        <w:rPr>
          <w:rFonts w:ascii="Times New Roman" w:eastAsia="Times New Roman" w:hAnsi="Times New Roman" w:cs="Times New Roman"/>
          <w:i/>
          <w:iCs/>
          <w:color w:val="231F20"/>
          <w:sz w:val="24"/>
          <w:szCs w:val="24"/>
          <w:bdr w:val="none" w:sz="0" w:space="0" w:color="auto" w:frame="1"/>
          <w:lang w:eastAsia="hr-HR"/>
        </w:rPr>
        <w:t>društvo kći </w:t>
      </w:r>
      <w:r w:rsidRPr="000F0222">
        <w:rPr>
          <w:rFonts w:ascii="Times New Roman" w:eastAsia="Times New Roman" w:hAnsi="Times New Roman" w:cs="Times New Roman"/>
          <w:color w:val="231F20"/>
          <w:sz w:val="24"/>
          <w:szCs w:val="24"/>
          <w:lang w:eastAsia="hr-HR"/>
        </w:rPr>
        <w:t>kako je uređeno člankom 4. stavkom 1. točkom 16. Uredbe (EU) br. 575/2013</w:t>
      </w:r>
    </w:p>
    <w:p w14:paraId="66B33A4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7. </w:t>
      </w:r>
      <w:r w:rsidRPr="000F0222">
        <w:rPr>
          <w:rFonts w:ascii="Times New Roman" w:eastAsia="Times New Roman" w:hAnsi="Times New Roman" w:cs="Times New Roman"/>
          <w:i/>
          <w:iCs/>
          <w:color w:val="231F20"/>
          <w:sz w:val="24"/>
          <w:szCs w:val="24"/>
          <w:bdr w:val="none" w:sz="0" w:space="0" w:color="auto" w:frame="1"/>
          <w:lang w:eastAsia="hr-HR"/>
        </w:rPr>
        <w:t>država članica sudionica </w:t>
      </w:r>
      <w:r w:rsidRPr="000F0222">
        <w:rPr>
          <w:rFonts w:ascii="Times New Roman" w:eastAsia="Times New Roman" w:hAnsi="Times New Roman" w:cs="Times New Roman"/>
          <w:color w:val="231F20"/>
          <w:sz w:val="24"/>
          <w:szCs w:val="24"/>
          <w:lang w:eastAsia="hr-HR"/>
        </w:rPr>
        <w:t>je država članica u smislu članka 2. točke 1. Uredbe Vijeća (EU) br. 1024/2013</w:t>
      </w:r>
    </w:p>
    <w:p w14:paraId="04CEC0A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8. </w:t>
      </w:r>
      <w:r w:rsidRPr="000F0222">
        <w:rPr>
          <w:rFonts w:ascii="Times New Roman" w:eastAsia="Times New Roman" w:hAnsi="Times New Roman" w:cs="Times New Roman"/>
          <w:i/>
          <w:iCs/>
          <w:color w:val="231F20"/>
          <w:sz w:val="24"/>
          <w:szCs w:val="24"/>
          <w:bdr w:val="none" w:sz="0" w:space="0" w:color="auto" w:frame="1"/>
          <w:lang w:eastAsia="hr-HR"/>
        </w:rPr>
        <w:t>dužnički instrumenti </w:t>
      </w:r>
      <w:r w:rsidRPr="000F0222">
        <w:rPr>
          <w:rFonts w:ascii="Times New Roman" w:eastAsia="Times New Roman" w:hAnsi="Times New Roman" w:cs="Times New Roman"/>
          <w:color w:val="231F20"/>
          <w:sz w:val="24"/>
          <w:szCs w:val="24"/>
          <w:lang w:eastAsia="hr-HR"/>
        </w:rPr>
        <w:t>navedeni u članku 97. stavku 1. točkama 7. i 10. ovoga Zakona su obveznice i ostali oblici prenosivog duga, instrumenti koji stvaraju ili priznaju dug te instrumenti koji daju pravo na stjecanje dužničkih instrumenata</w:t>
      </w:r>
    </w:p>
    <w:p w14:paraId="0AC2B0B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9. </w:t>
      </w:r>
      <w:r w:rsidRPr="000F0222">
        <w:rPr>
          <w:rFonts w:ascii="Times New Roman" w:eastAsia="Times New Roman" w:hAnsi="Times New Roman" w:cs="Times New Roman"/>
          <w:i/>
          <w:iCs/>
          <w:color w:val="231F20"/>
          <w:sz w:val="24"/>
          <w:szCs w:val="24"/>
          <w:bdr w:val="none" w:sz="0" w:space="0" w:color="auto" w:frame="1"/>
          <w:lang w:eastAsia="hr-HR"/>
        </w:rPr>
        <w:t>Europska podružnica </w:t>
      </w:r>
      <w:r w:rsidRPr="000F0222">
        <w:rPr>
          <w:rFonts w:ascii="Times New Roman" w:eastAsia="Times New Roman" w:hAnsi="Times New Roman" w:cs="Times New Roman"/>
          <w:color w:val="231F20"/>
          <w:sz w:val="24"/>
          <w:szCs w:val="24"/>
          <w:lang w:eastAsia="hr-HR"/>
        </w:rPr>
        <w:t>je podružnica institucije treće zemlje sa sjedištem u Republici Hrvatskoj</w:t>
      </w:r>
    </w:p>
    <w:p w14:paraId="6A02770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10. </w:t>
      </w:r>
      <w:r w:rsidRPr="000F0222">
        <w:rPr>
          <w:rFonts w:ascii="Times New Roman" w:eastAsia="Times New Roman" w:hAnsi="Times New Roman" w:cs="Times New Roman"/>
          <w:i/>
          <w:iCs/>
          <w:color w:val="231F20"/>
          <w:sz w:val="24"/>
          <w:szCs w:val="24"/>
          <w:bdr w:val="none" w:sz="0" w:space="0" w:color="auto" w:frame="1"/>
          <w:lang w:eastAsia="hr-HR"/>
        </w:rPr>
        <w:t>Europsko društvo kći </w:t>
      </w:r>
      <w:r w:rsidRPr="000F0222">
        <w:rPr>
          <w:rFonts w:ascii="Times New Roman" w:eastAsia="Times New Roman" w:hAnsi="Times New Roman" w:cs="Times New Roman"/>
          <w:color w:val="231F20"/>
          <w:sz w:val="24"/>
          <w:szCs w:val="24"/>
          <w:lang w:eastAsia="hr-HR"/>
        </w:rPr>
        <w:t>je institucija sa sjedištem u Republici Hrvatskoj ili drugoj državi članici, a koja je društvo kći institucije treće zemlje ili matičnog društva treće zemlje</w:t>
      </w:r>
    </w:p>
    <w:p w14:paraId="7B9E49B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11. </w:t>
      </w:r>
      <w:r w:rsidRPr="000F0222">
        <w:rPr>
          <w:rFonts w:ascii="Times New Roman" w:eastAsia="Times New Roman" w:hAnsi="Times New Roman" w:cs="Times New Roman"/>
          <w:i/>
          <w:iCs/>
          <w:color w:val="231F20"/>
          <w:sz w:val="24"/>
          <w:szCs w:val="24"/>
          <w:bdr w:val="none" w:sz="0" w:space="0" w:color="auto" w:frame="1"/>
          <w:lang w:eastAsia="hr-HR"/>
        </w:rPr>
        <w:t>financijska institucija </w:t>
      </w:r>
      <w:r w:rsidRPr="000F0222">
        <w:rPr>
          <w:rFonts w:ascii="Times New Roman" w:eastAsia="Times New Roman" w:hAnsi="Times New Roman" w:cs="Times New Roman"/>
          <w:color w:val="231F20"/>
          <w:sz w:val="24"/>
          <w:szCs w:val="24"/>
          <w:lang w:eastAsia="hr-HR"/>
        </w:rPr>
        <w:t>kako je uređeno člankom 4. stavkom 1. točkom 26. Uredbe (EU) br. 575/2013</w:t>
      </w:r>
    </w:p>
    <w:p w14:paraId="027F1EC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12. </w:t>
      </w:r>
      <w:r w:rsidRPr="000F0222">
        <w:rPr>
          <w:rFonts w:ascii="Times New Roman" w:eastAsia="Times New Roman" w:hAnsi="Times New Roman" w:cs="Times New Roman"/>
          <w:i/>
          <w:iCs/>
          <w:color w:val="231F20"/>
          <w:sz w:val="24"/>
          <w:szCs w:val="24"/>
          <w:bdr w:val="none" w:sz="0" w:space="0" w:color="auto" w:frame="1"/>
          <w:lang w:eastAsia="hr-HR"/>
        </w:rPr>
        <w:t>financijski holding </w:t>
      </w:r>
      <w:r w:rsidRPr="000F0222">
        <w:rPr>
          <w:rFonts w:ascii="Times New Roman" w:eastAsia="Times New Roman" w:hAnsi="Times New Roman" w:cs="Times New Roman"/>
          <w:color w:val="231F20"/>
          <w:sz w:val="24"/>
          <w:szCs w:val="24"/>
          <w:lang w:eastAsia="hr-HR"/>
        </w:rPr>
        <w:t>kako je uređeno člankom 4. stavkom 1. točkom 20. Uredbe (EU) br. 575/2013</w:t>
      </w:r>
    </w:p>
    <w:p w14:paraId="61CD0A7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13. </w:t>
      </w:r>
      <w:r w:rsidRPr="000F0222">
        <w:rPr>
          <w:rFonts w:ascii="Times New Roman" w:eastAsia="Times New Roman" w:hAnsi="Times New Roman" w:cs="Times New Roman"/>
          <w:i/>
          <w:iCs/>
          <w:color w:val="231F20"/>
          <w:sz w:val="24"/>
          <w:szCs w:val="24"/>
          <w:bdr w:val="none" w:sz="0" w:space="0" w:color="auto" w:frame="1"/>
          <w:lang w:eastAsia="hr-HR"/>
        </w:rPr>
        <w:t>financijski ugovor </w:t>
      </w:r>
      <w:r w:rsidRPr="000F0222">
        <w:rPr>
          <w:rFonts w:ascii="Times New Roman" w:eastAsia="Times New Roman" w:hAnsi="Times New Roman" w:cs="Times New Roman"/>
          <w:color w:val="231F20"/>
          <w:sz w:val="24"/>
          <w:szCs w:val="24"/>
          <w:lang w:eastAsia="hr-HR"/>
        </w:rPr>
        <w:t>uključuje sljedeće ugovore i sporazume:</w:t>
      </w:r>
    </w:p>
    <w:p w14:paraId="12176455"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ugovor o vrijednosnim papirima, uključujući:</w:t>
      </w:r>
    </w:p>
    <w:p w14:paraId="2670C6F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ugovor za kupnju, prodaju ili zajam vrijednosnog papira, skupine ili indeksa vrijednosnih papira</w:t>
      </w:r>
    </w:p>
    <w:p w14:paraId="4F8E4434"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opciju na vrijednosni papir, skupinu ili indeks vrijednosnih papira</w:t>
      </w:r>
    </w:p>
    <w:p w14:paraId="1FDB6180"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repo transakciju ili obratnu repo transakciju bilo kojeg od tih vrijednosnih papira, skupine ili indeksa vrijednosnih papira</w:t>
      </w:r>
    </w:p>
    <w:p w14:paraId="3E38207A"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ugovor o robi, uključujući:</w:t>
      </w:r>
    </w:p>
    <w:p w14:paraId="0A42ABE9"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ugovor za kupnju, prodaju ili zajam robe, skupine ili indeksa robe za buduću isporuku</w:t>
      </w:r>
    </w:p>
    <w:p w14:paraId="3AC9B6FA"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opciju na robu, skupinu ili indeks robe</w:t>
      </w:r>
    </w:p>
    <w:p w14:paraId="677D6A89"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repo transakciju ili obratnu repo transakciju bilo koje od tih roba, skupine ili indeksa robe</w:t>
      </w:r>
    </w:p>
    <w:p w14:paraId="516D022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c) terminski ugovor i nestandardizirani terminski ugovor, uključujući ugovor (koji nije ugovor o robi) za kupnju, prodaju ili prijenos robe ili imovine bilo koje druge vrste, usluge, prava ili udjela po dogovorenoj cijeni na budući datum</w:t>
      </w:r>
    </w:p>
    <w:p w14:paraId="5DF97494"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d) sporazum o zamjeni, uključujući:</w:t>
      </w:r>
    </w:p>
    <w:p w14:paraId="45FA31C0"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zamjenu i opciju u vezi s kamatnim stopama, sporazum o promptnom ili drugom trgovanju deviza, valuta indeks vlasničkog kapitala ili vlasnički kapital, dužnički indeks ili dug, indekse robe ili robu; vrijeme; emisije ili inflaciju</w:t>
      </w:r>
    </w:p>
    <w:p w14:paraId="2A53606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ukupni povrat, razlika kamatne stope kredita i nerizične kamatne stope (engl. </w:t>
      </w:r>
      <w:r w:rsidRPr="000F0222">
        <w:rPr>
          <w:rFonts w:ascii="Times New Roman" w:eastAsia="Times New Roman" w:hAnsi="Times New Roman" w:cs="Times New Roman"/>
          <w:i/>
          <w:iCs/>
          <w:color w:val="231F20"/>
          <w:sz w:val="24"/>
          <w:szCs w:val="24"/>
          <w:bdr w:val="none" w:sz="0" w:space="0" w:color="auto" w:frame="1"/>
          <w:lang w:eastAsia="hr-HR"/>
        </w:rPr>
        <w:t>credit spread) </w:t>
      </w:r>
      <w:r w:rsidRPr="000F0222">
        <w:rPr>
          <w:rFonts w:ascii="Times New Roman" w:eastAsia="Times New Roman" w:hAnsi="Times New Roman" w:cs="Times New Roman"/>
          <w:color w:val="231F20"/>
          <w:sz w:val="24"/>
          <w:szCs w:val="24"/>
          <w:lang w:eastAsia="hr-HR"/>
        </w:rPr>
        <w:t>ili zamjenu kredita</w:t>
      </w:r>
    </w:p>
    <w:p w14:paraId="5BA5239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bilo koji sporazum ili transakciju koja je slična sporazumu iz podstavaka 1. i 2. ove podtočke kojim se periodično trguje na tržištima zamjena ili izvedenica</w:t>
      </w:r>
    </w:p>
    <w:p w14:paraId="6953DE4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e) međubankovni sporazum o zajmu ako je rok zajma tri mjeseca ili manje</w:t>
      </w:r>
    </w:p>
    <w:p w14:paraId="5182417F"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f) okvirni sporazum za bilo koji ugovor ili sporazum iz podtočaka a) do e) ove točke</w:t>
      </w:r>
    </w:p>
    <w:p w14:paraId="0D1795D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14. </w:t>
      </w:r>
      <w:r w:rsidRPr="000F0222">
        <w:rPr>
          <w:rFonts w:ascii="Times New Roman" w:eastAsia="Times New Roman" w:hAnsi="Times New Roman" w:cs="Times New Roman"/>
          <w:i/>
          <w:iCs/>
          <w:color w:val="231F20"/>
          <w:sz w:val="24"/>
          <w:szCs w:val="24"/>
          <w:bdr w:val="none" w:sz="0" w:space="0" w:color="auto" w:frame="1"/>
          <w:lang w:eastAsia="hr-HR"/>
        </w:rPr>
        <w:t>globalna sistemski važna institucija </w:t>
      </w:r>
      <w:r w:rsidRPr="000F0222">
        <w:rPr>
          <w:rFonts w:ascii="Times New Roman" w:eastAsia="Times New Roman" w:hAnsi="Times New Roman" w:cs="Times New Roman"/>
          <w:color w:val="231F20"/>
          <w:sz w:val="24"/>
          <w:szCs w:val="24"/>
          <w:lang w:eastAsia="hr-HR"/>
        </w:rPr>
        <w:t>ili </w:t>
      </w:r>
      <w:r w:rsidRPr="000F0222">
        <w:rPr>
          <w:rFonts w:ascii="Times New Roman" w:eastAsia="Times New Roman" w:hAnsi="Times New Roman" w:cs="Times New Roman"/>
          <w:i/>
          <w:iCs/>
          <w:color w:val="231F20"/>
          <w:sz w:val="24"/>
          <w:szCs w:val="24"/>
          <w:bdr w:val="none" w:sz="0" w:space="0" w:color="auto" w:frame="1"/>
          <w:lang w:eastAsia="hr-HR"/>
        </w:rPr>
        <w:t>GSV institucija </w:t>
      </w:r>
      <w:r w:rsidRPr="000F0222">
        <w:rPr>
          <w:rFonts w:ascii="Times New Roman" w:eastAsia="Times New Roman" w:hAnsi="Times New Roman" w:cs="Times New Roman"/>
          <w:color w:val="231F20"/>
          <w:sz w:val="24"/>
          <w:szCs w:val="24"/>
          <w:lang w:eastAsia="hr-HR"/>
        </w:rPr>
        <w:t>kako je uređeno člankom 4. stavkom 1. točkom 133. Uredbe (EU) br. 575/2013</w:t>
      </w:r>
    </w:p>
    <w:p w14:paraId="5CDBC70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15. </w:t>
      </w:r>
      <w:r w:rsidRPr="000F0222">
        <w:rPr>
          <w:rFonts w:ascii="Times New Roman" w:eastAsia="Times New Roman" w:hAnsi="Times New Roman" w:cs="Times New Roman"/>
          <w:i/>
          <w:iCs/>
          <w:color w:val="231F20"/>
          <w:sz w:val="24"/>
          <w:szCs w:val="24"/>
          <w:bdr w:val="none" w:sz="0" w:space="0" w:color="auto" w:frame="1"/>
          <w:lang w:eastAsia="hr-HR"/>
        </w:rPr>
        <w:t>globalna sistemski važna institucija izvan EU-a </w:t>
      </w:r>
      <w:r w:rsidRPr="000F0222">
        <w:rPr>
          <w:rFonts w:ascii="Times New Roman" w:eastAsia="Times New Roman" w:hAnsi="Times New Roman" w:cs="Times New Roman"/>
          <w:color w:val="231F20"/>
          <w:sz w:val="24"/>
          <w:szCs w:val="24"/>
          <w:lang w:eastAsia="hr-HR"/>
        </w:rPr>
        <w:t>ili </w:t>
      </w:r>
      <w:r w:rsidRPr="000F0222">
        <w:rPr>
          <w:rFonts w:ascii="Times New Roman" w:eastAsia="Times New Roman" w:hAnsi="Times New Roman" w:cs="Times New Roman"/>
          <w:i/>
          <w:iCs/>
          <w:color w:val="231F20"/>
          <w:sz w:val="24"/>
          <w:szCs w:val="24"/>
          <w:bdr w:val="none" w:sz="0" w:space="0" w:color="auto" w:frame="1"/>
          <w:lang w:eastAsia="hr-HR"/>
        </w:rPr>
        <w:t>GSV institucija izvan EU-a </w:t>
      </w:r>
      <w:r w:rsidRPr="000F0222">
        <w:rPr>
          <w:rFonts w:ascii="Times New Roman" w:eastAsia="Times New Roman" w:hAnsi="Times New Roman" w:cs="Times New Roman"/>
          <w:color w:val="231F20"/>
          <w:sz w:val="24"/>
          <w:szCs w:val="24"/>
          <w:lang w:eastAsia="hr-HR"/>
        </w:rPr>
        <w:t>kako je uređeno člankom 4. stavkom 1. točkom 134. Uredbe (EU) br. 575/2013</w:t>
      </w:r>
    </w:p>
    <w:p w14:paraId="766FF9D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16. </w:t>
      </w:r>
      <w:r w:rsidRPr="000F0222">
        <w:rPr>
          <w:rFonts w:ascii="Times New Roman" w:eastAsia="Times New Roman" w:hAnsi="Times New Roman" w:cs="Times New Roman"/>
          <w:i/>
          <w:iCs/>
          <w:color w:val="231F20"/>
          <w:sz w:val="24"/>
          <w:szCs w:val="24"/>
          <w:bdr w:val="none" w:sz="0" w:space="0" w:color="auto" w:frame="1"/>
          <w:lang w:eastAsia="hr-HR"/>
        </w:rPr>
        <w:t>grupa </w:t>
      </w:r>
      <w:r w:rsidRPr="000F0222">
        <w:rPr>
          <w:rFonts w:ascii="Times New Roman" w:eastAsia="Times New Roman" w:hAnsi="Times New Roman" w:cs="Times New Roman"/>
          <w:color w:val="231F20"/>
          <w:sz w:val="24"/>
          <w:szCs w:val="24"/>
          <w:lang w:eastAsia="hr-HR"/>
        </w:rPr>
        <w:t>je matično društvo i njegova društva kćeri promatrani zajedno</w:t>
      </w:r>
    </w:p>
    <w:p w14:paraId="40CF945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17. </w:t>
      </w:r>
      <w:r w:rsidRPr="000F0222">
        <w:rPr>
          <w:rFonts w:ascii="Times New Roman" w:eastAsia="Times New Roman" w:hAnsi="Times New Roman" w:cs="Times New Roman"/>
          <w:i/>
          <w:iCs/>
          <w:color w:val="231F20"/>
          <w:sz w:val="24"/>
          <w:szCs w:val="24"/>
          <w:bdr w:val="none" w:sz="0" w:space="0" w:color="auto" w:frame="1"/>
          <w:lang w:eastAsia="hr-HR"/>
        </w:rPr>
        <w:t>grupni sanacijski plan </w:t>
      </w:r>
      <w:r w:rsidRPr="000F0222">
        <w:rPr>
          <w:rFonts w:ascii="Times New Roman" w:eastAsia="Times New Roman" w:hAnsi="Times New Roman" w:cs="Times New Roman"/>
          <w:color w:val="231F20"/>
          <w:sz w:val="24"/>
          <w:szCs w:val="24"/>
          <w:lang w:eastAsia="hr-HR"/>
        </w:rPr>
        <w:t>je plan sanacije grupe sastavljen u skladu s člankom 18. ovoga Zakona</w:t>
      </w:r>
    </w:p>
    <w:p w14:paraId="767A266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18. </w:t>
      </w:r>
      <w:r w:rsidRPr="000F0222">
        <w:rPr>
          <w:rFonts w:ascii="Times New Roman" w:eastAsia="Times New Roman" w:hAnsi="Times New Roman" w:cs="Times New Roman"/>
          <w:i/>
          <w:iCs/>
          <w:color w:val="231F20"/>
          <w:sz w:val="24"/>
          <w:szCs w:val="24"/>
          <w:bdr w:val="none" w:sz="0" w:space="0" w:color="auto" w:frame="1"/>
          <w:lang w:eastAsia="hr-HR"/>
        </w:rPr>
        <w:t>grupno sanacijsko tijelo </w:t>
      </w:r>
      <w:r w:rsidRPr="000F0222">
        <w:rPr>
          <w:rFonts w:ascii="Times New Roman" w:eastAsia="Times New Roman" w:hAnsi="Times New Roman" w:cs="Times New Roman"/>
          <w:color w:val="231F20"/>
          <w:sz w:val="24"/>
          <w:szCs w:val="24"/>
          <w:lang w:eastAsia="hr-HR"/>
        </w:rPr>
        <w:t>je sanacijsko tijelo u državi članici u kojoj se nalazi konsolidirajuće nadzorno tijelo</w:t>
      </w:r>
    </w:p>
    <w:p w14:paraId="4720B0C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19. </w:t>
      </w:r>
      <w:r w:rsidRPr="000F0222">
        <w:rPr>
          <w:rFonts w:ascii="Times New Roman" w:eastAsia="Times New Roman" w:hAnsi="Times New Roman" w:cs="Times New Roman"/>
          <w:i/>
          <w:iCs/>
          <w:color w:val="231F20"/>
          <w:sz w:val="24"/>
          <w:szCs w:val="24"/>
          <w:bdr w:val="none" w:sz="0" w:space="0" w:color="auto" w:frame="1"/>
          <w:lang w:eastAsia="hr-HR"/>
        </w:rPr>
        <w:t>GSV subjekt </w:t>
      </w:r>
      <w:r w:rsidRPr="000F0222">
        <w:rPr>
          <w:rFonts w:ascii="Times New Roman" w:eastAsia="Times New Roman" w:hAnsi="Times New Roman" w:cs="Times New Roman"/>
          <w:color w:val="231F20"/>
          <w:sz w:val="24"/>
          <w:szCs w:val="24"/>
          <w:lang w:eastAsia="hr-HR"/>
        </w:rPr>
        <w:t>kako je uređeno člankom 4. stavkom 1. točkom 136. Uredbe (EU) br. 575/2013</w:t>
      </w:r>
    </w:p>
    <w:p w14:paraId="4C2AE7A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20. </w:t>
      </w:r>
      <w:r w:rsidRPr="000F0222">
        <w:rPr>
          <w:rFonts w:ascii="Times New Roman" w:eastAsia="Times New Roman" w:hAnsi="Times New Roman" w:cs="Times New Roman"/>
          <w:i/>
          <w:iCs/>
          <w:color w:val="231F20"/>
          <w:sz w:val="24"/>
          <w:szCs w:val="24"/>
          <w:bdr w:val="none" w:sz="0" w:space="0" w:color="auto" w:frame="1"/>
          <w:lang w:eastAsia="hr-HR"/>
        </w:rPr>
        <w:t>hitna likvidnosna pomoć </w:t>
      </w:r>
      <w:r w:rsidRPr="000F0222">
        <w:rPr>
          <w:rFonts w:ascii="Times New Roman" w:eastAsia="Times New Roman" w:hAnsi="Times New Roman" w:cs="Times New Roman"/>
          <w:color w:val="231F20"/>
          <w:sz w:val="24"/>
          <w:szCs w:val="24"/>
          <w:lang w:eastAsia="hr-HR"/>
        </w:rPr>
        <w:t>je osiguravanje likvidnosti od strane središnje banke ili bilo koja druga pomoć koja može rezultirati povećanjem likvidnosne podrške središnje banke, solventnoj instituciji ili grupi solventnih institucija, a koja ima privremene probleme s likvidnošću, a da takva mjera nije dio mjera monetarne politike</w:t>
      </w:r>
    </w:p>
    <w:p w14:paraId="250613A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20.a </w:t>
      </w:r>
      <w:r w:rsidRPr="000F0222">
        <w:rPr>
          <w:rFonts w:ascii="Times New Roman" w:eastAsia="Times New Roman" w:hAnsi="Times New Roman" w:cs="Times New Roman"/>
          <w:i/>
          <w:iCs/>
          <w:color w:val="231F20"/>
          <w:sz w:val="24"/>
          <w:szCs w:val="24"/>
          <w:lang w:eastAsia="hr-HR"/>
        </w:rPr>
        <w:t>IKT incident</w:t>
      </w:r>
      <w:r w:rsidRPr="000F0222">
        <w:rPr>
          <w:rFonts w:ascii="Times New Roman" w:eastAsia="Calibri" w:hAnsi="Times New Roman" w:cs="Times New Roman"/>
          <w:sz w:val="24"/>
          <w:szCs w:val="24"/>
        </w:rPr>
        <w:t xml:space="preserve"> </w:t>
      </w:r>
      <w:r w:rsidRPr="000F0222">
        <w:rPr>
          <w:rFonts w:ascii="Times New Roman" w:eastAsia="Times New Roman" w:hAnsi="Times New Roman" w:cs="Times New Roman"/>
          <w:color w:val="231F20"/>
          <w:sz w:val="24"/>
          <w:szCs w:val="24"/>
          <w:lang w:eastAsia="hr-HR"/>
        </w:rPr>
        <w:t>kako je uređeno člankom 3. točkom 8. Uredbe (EU) br. 2022/2554</w:t>
      </w:r>
    </w:p>
    <w:p w14:paraId="752D2F5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20.b </w:t>
      </w:r>
      <w:r w:rsidRPr="000F0222">
        <w:rPr>
          <w:rFonts w:ascii="Times New Roman" w:eastAsia="Times New Roman" w:hAnsi="Times New Roman" w:cs="Times New Roman"/>
          <w:i/>
          <w:iCs/>
          <w:color w:val="231F20"/>
          <w:sz w:val="24"/>
          <w:szCs w:val="24"/>
          <w:lang w:eastAsia="hr-HR"/>
        </w:rPr>
        <w:t>IKT usluge</w:t>
      </w:r>
      <w:r w:rsidRPr="000F0222">
        <w:rPr>
          <w:rFonts w:ascii="Times New Roman" w:eastAsia="Calibri" w:hAnsi="Times New Roman" w:cs="Times New Roman"/>
          <w:sz w:val="24"/>
          <w:szCs w:val="24"/>
        </w:rPr>
        <w:t xml:space="preserve"> </w:t>
      </w:r>
      <w:r w:rsidRPr="000F0222">
        <w:rPr>
          <w:rFonts w:ascii="Times New Roman" w:eastAsia="Times New Roman" w:hAnsi="Times New Roman" w:cs="Times New Roman"/>
          <w:color w:val="231F20"/>
          <w:sz w:val="24"/>
          <w:szCs w:val="24"/>
          <w:lang w:eastAsia="hr-HR"/>
        </w:rPr>
        <w:t>kako je uređeno člankom 3. točkom 21. Uredbe (EU) br. 2022/2554</w:t>
      </w:r>
    </w:p>
    <w:p w14:paraId="617EA4A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21. </w:t>
      </w:r>
      <w:r w:rsidRPr="000F0222">
        <w:rPr>
          <w:rFonts w:ascii="Times New Roman" w:eastAsia="Times New Roman" w:hAnsi="Times New Roman" w:cs="Times New Roman"/>
          <w:i/>
          <w:iCs/>
          <w:color w:val="231F20"/>
          <w:sz w:val="24"/>
          <w:szCs w:val="24"/>
          <w:bdr w:val="none" w:sz="0" w:space="0" w:color="auto" w:frame="1"/>
          <w:lang w:eastAsia="hr-HR"/>
        </w:rPr>
        <w:t>imenovano nacionalno makrobonitetno tijelo </w:t>
      </w:r>
      <w:r w:rsidRPr="000F0222">
        <w:rPr>
          <w:rFonts w:ascii="Times New Roman" w:eastAsia="Times New Roman" w:hAnsi="Times New Roman" w:cs="Times New Roman"/>
          <w:color w:val="231F20"/>
          <w:sz w:val="24"/>
          <w:szCs w:val="24"/>
          <w:lang w:eastAsia="hr-HR"/>
        </w:rPr>
        <w:t>znači tijelo države članice kojem je povjerena provedba makrobonitetne politike iz Preporuke B1 Preporuke Europskog odbora za sistemske rizike od 22. prosinca 2011. o makrobonitetnim ovlastima nacionalnih tijela (ESRB/2011/3), a u Republici Hrvatskoj to je Hrvatska narodna banka</w:t>
      </w:r>
    </w:p>
    <w:p w14:paraId="527F786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22. </w:t>
      </w:r>
      <w:r w:rsidRPr="000F0222">
        <w:rPr>
          <w:rFonts w:ascii="Times New Roman" w:eastAsia="Times New Roman" w:hAnsi="Times New Roman" w:cs="Times New Roman"/>
          <w:i/>
          <w:iCs/>
          <w:color w:val="231F20"/>
          <w:sz w:val="24"/>
          <w:szCs w:val="24"/>
          <w:bdr w:val="none" w:sz="0" w:space="0" w:color="auto" w:frame="1"/>
          <w:lang w:eastAsia="hr-HR"/>
        </w:rPr>
        <w:t>individualni sanacijski plan </w:t>
      </w:r>
      <w:r w:rsidRPr="000F0222">
        <w:rPr>
          <w:rFonts w:ascii="Times New Roman" w:eastAsia="Times New Roman" w:hAnsi="Times New Roman" w:cs="Times New Roman"/>
          <w:color w:val="231F20"/>
          <w:sz w:val="24"/>
          <w:szCs w:val="24"/>
          <w:lang w:eastAsia="hr-HR"/>
        </w:rPr>
        <w:t>je plan sanacije institucije sastavljen u skladu s člankom 17. ovoga Zakona</w:t>
      </w:r>
    </w:p>
    <w:p w14:paraId="7F3AEA2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23. </w:t>
      </w:r>
      <w:r w:rsidRPr="000F0222">
        <w:rPr>
          <w:rFonts w:ascii="Times New Roman" w:eastAsia="Times New Roman" w:hAnsi="Times New Roman" w:cs="Times New Roman"/>
          <w:i/>
          <w:iCs/>
          <w:color w:val="231F20"/>
          <w:sz w:val="24"/>
          <w:szCs w:val="24"/>
          <w:bdr w:val="none" w:sz="0" w:space="0" w:color="auto" w:frame="1"/>
          <w:lang w:eastAsia="hr-HR"/>
        </w:rPr>
        <w:t>institucija </w:t>
      </w:r>
      <w:r w:rsidRPr="000F0222">
        <w:rPr>
          <w:rFonts w:ascii="Times New Roman" w:eastAsia="Times New Roman" w:hAnsi="Times New Roman" w:cs="Times New Roman"/>
          <w:color w:val="231F20"/>
          <w:sz w:val="24"/>
          <w:szCs w:val="24"/>
          <w:lang w:eastAsia="hr-HR"/>
        </w:rPr>
        <w:t>je kreditna institucija ili investicijsko društvo</w:t>
      </w:r>
    </w:p>
    <w:p w14:paraId="1236834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24. </w:t>
      </w:r>
      <w:r w:rsidRPr="000F0222">
        <w:rPr>
          <w:rFonts w:ascii="Times New Roman" w:eastAsia="Times New Roman" w:hAnsi="Times New Roman" w:cs="Times New Roman"/>
          <w:i/>
          <w:iCs/>
          <w:color w:val="231F20"/>
          <w:sz w:val="24"/>
          <w:szCs w:val="24"/>
          <w:bdr w:val="none" w:sz="0" w:space="0" w:color="auto" w:frame="1"/>
          <w:lang w:eastAsia="hr-HR"/>
        </w:rPr>
        <w:t>institucija treće zemlje </w:t>
      </w:r>
      <w:r w:rsidRPr="000F0222">
        <w:rPr>
          <w:rFonts w:ascii="Times New Roman" w:eastAsia="Times New Roman" w:hAnsi="Times New Roman" w:cs="Times New Roman"/>
          <w:color w:val="231F20"/>
          <w:sz w:val="24"/>
          <w:szCs w:val="24"/>
          <w:lang w:eastAsia="hr-HR"/>
        </w:rPr>
        <w:t>je subjekt čije sjedište je u trećoj zemlji i koji bi, da ima poslovni nastan u Europskoj uniji, bio obuhvaćen definicijom institucije</w:t>
      </w:r>
    </w:p>
    <w:p w14:paraId="50565CC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25. </w:t>
      </w:r>
      <w:r w:rsidRPr="000F0222">
        <w:rPr>
          <w:rFonts w:ascii="Times New Roman" w:eastAsia="Times New Roman" w:hAnsi="Times New Roman" w:cs="Times New Roman"/>
          <w:i/>
          <w:iCs/>
          <w:color w:val="231F20"/>
          <w:sz w:val="24"/>
          <w:szCs w:val="24"/>
          <w:bdr w:val="none" w:sz="0" w:space="0" w:color="auto" w:frame="1"/>
          <w:lang w:eastAsia="hr-HR"/>
        </w:rPr>
        <w:t>institucija u sanaciji </w:t>
      </w:r>
      <w:r w:rsidRPr="000F0222">
        <w:rPr>
          <w:rFonts w:ascii="Times New Roman" w:eastAsia="Times New Roman" w:hAnsi="Times New Roman" w:cs="Times New Roman"/>
          <w:color w:val="231F20"/>
          <w:sz w:val="24"/>
          <w:szCs w:val="24"/>
          <w:lang w:eastAsia="hr-HR"/>
        </w:rPr>
        <w:t>je institucija, financijska institucija, financijski holding, mješoviti financijski holding, mješoviti holding, matični financijski holding u Republici Hrvatskoj, matični financijski holding u Europskoj uniji, matični mješoviti financijski holding u Republici Hrvatskoj ili matični mješoviti holding u Europskoj uniji, nad kojim se provodi sanacijska mjera</w:t>
      </w:r>
    </w:p>
    <w:p w14:paraId="1C3159E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26. </w:t>
      </w:r>
      <w:r w:rsidRPr="000F0222">
        <w:rPr>
          <w:rFonts w:ascii="Times New Roman" w:eastAsia="Times New Roman" w:hAnsi="Times New Roman" w:cs="Times New Roman"/>
          <w:i/>
          <w:iCs/>
          <w:color w:val="231F20"/>
          <w:sz w:val="24"/>
          <w:szCs w:val="24"/>
          <w:bdr w:val="none" w:sz="0" w:space="0" w:color="auto" w:frame="1"/>
          <w:lang w:eastAsia="hr-HR"/>
        </w:rPr>
        <w:t>institucionalni sustav zaštite </w:t>
      </w:r>
      <w:r w:rsidRPr="000F0222">
        <w:rPr>
          <w:rFonts w:ascii="Times New Roman" w:eastAsia="Times New Roman" w:hAnsi="Times New Roman" w:cs="Times New Roman"/>
          <w:color w:val="231F20"/>
          <w:sz w:val="24"/>
          <w:szCs w:val="24"/>
          <w:lang w:eastAsia="hr-HR"/>
        </w:rPr>
        <w:t>kako je uređeno člankom 113. stavkom 7. Uredbe (EU) br. 575/2013</w:t>
      </w:r>
    </w:p>
    <w:p w14:paraId="2C524A6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27. </w:t>
      </w:r>
      <w:r w:rsidRPr="000F0222">
        <w:rPr>
          <w:rFonts w:ascii="Times New Roman" w:eastAsia="Times New Roman" w:hAnsi="Times New Roman" w:cs="Times New Roman"/>
          <w:i/>
          <w:iCs/>
          <w:color w:val="231F20"/>
          <w:sz w:val="24"/>
          <w:szCs w:val="24"/>
          <w:bdr w:val="none" w:sz="0" w:space="0" w:color="auto" w:frame="1"/>
          <w:lang w:eastAsia="hr-HR"/>
        </w:rPr>
        <w:t>instrument odvajanja imovine </w:t>
      </w:r>
      <w:r w:rsidRPr="000F0222">
        <w:rPr>
          <w:rFonts w:ascii="Times New Roman" w:eastAsia="Times New Roman" w:hAnsi="Times New Roman" w:cs="Times New Roman"/>
          <w:color w:val="231F20"/>
          <w:sz w:val="24"/>
          <w:szCs w:val="24"/>
          <w:lang w:eastAsia="hr-HR"/>
        </w:rPr>
        <w:t>je mehanizam kojim sanacijsko tijelo u skladu s odredbama glave IX.4 ovoga Zakona izvršava prijenos imovine, prava ili obveza institucije u sanaciji na nositelja upravljanja imovinom</w:t>
      </w:r>
    </w:p>
    <w:p w14:paraId="6BFC612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28. </w:t>
      </w:r>
      <w:r w:rsidRPr="000F0222">
        <w:rPr>
          <w:rFonts w:ascii="Times New Roman" w:eastAsia="Times New Roman" w:hAnsi="Times New Roman" w:cs="Times New Roman"/>
          <w:i/>
          <w:iCs/>
          <w:color w:val="231F20"/>
          <w:sz w:val="24"/>
          <w:szCs w:val="24"/>
          <w:bdr w:val="none" w:sz="0" w:space="0" w:color="auto" w:frame="1"/>
          <w:lang w:eastAsia="hr-HR"/>
        </w:rPr>
        <w:t>instrument prijelazne institucije </w:t>
      </w:r>
      <w:r w:rsidRPr="000F0222">
        <w:rPr>
          <w:rFonts w:ascii="Times New Roman" w:eastAsia="Times New Roman" w:hAnsi="Times New Roman" w:cs="Times New Roman"/>
          <w:color w:val="231F20"/>
          <w:sz w:val="24"/>
          <w:szCs w:val="24"/>
          <w:lang w:eastAsia="hr-HR"/>
        </w:rPr>
        <w:t>je mehanizam kojim sanacijsko tijelo u skladu s odredbama glave IX.3 ovoga Zakona izvršava prijenos dionica ili drugih vlasničkih instrumenata koje je izdala institucija u sanaciji ili imovine, prava ili obveza institucije u sanaciji na prijelaznu instituciju</w:t>
      </w:r>
    </w:p>
    <w:p w14:paraId="4C28D17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29. </w:t>
      </w:r>
      <w:r w:rsidRPr="000F0222">
        <w:rPr>
          <w:rFonts w:ascii="Times New Roman" w:eastAsia="Times New Roman" w:hAnsi="Times New Roman" w:cs="Times New Roman"/>
          <w:i/>
          <w:iCs/>
          <w:color w:val="231F20"/>
          <w:sz w:val="24"/>
          <w:szCs w:val="24"/>
          <w:bdr w:val="none" w:sz="0" w:space="0" w:color="auto" w:frame="1"/>
          <w:lang w:eastAsia="hr-HR"/>
        </w:rPr>
        <w:t>instrument prodaje </w:t>
      </w:r>
      <w:r w:rsidRPr="000F0222">
        <w:rPr>
          <w:rFonts w:ascii="Times New Roman" w:eastAsia="Times New Roman" w:hAnsi="Times New Roman" w:cs="Times New Roman"/>
          <w:color w:val="231F20"/>
          <w:sz w:val="24"/>
          <w:szCs w:val="24"/>
          <w:lang w:eastAsia="hr-HR"/>
        </w:rPr>
        <w:t>je mehanizam kojim sanacijsko tijelo u skladu s odredbama glave IX.2 ovoga Zakona izvršava prijenos dionica ili drugih vlasničkih instrumenata koje je izdala institucija u sanaciji, ili imovine, prava ili obveza institucije u sanaciji na stjecatelja koji nije prijelazna institucija</w:t>
      </w:r>
    </w:p>
    <w:p w14:paraId="54F7AAA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30. </w:t>
      </w:r>
      <w:r w:rsidRPr="000F0222">
        <w:rPr>
          <w:rFonts w:ascii="Times New Roman" w:eastAsia="Times New Roman" w:hAnsi="Times New Roman" w:cs="Times New Roman"/>
          <w:i/>
          <w:iCs/>
          <w:color w:val="231F20"/>
          <w:sz w:val="24"/>
          <w:szCs w:val="24"/>
          <w:bdr w:val="none" w:sz="0" w:space="0" w:color="auto" w:frame="1"/>
          <w:lang w:eastAsia="hr-HR"/>
        </w:rPr>
        <w:t>instrument unutarnje sanacije </w:t>
      </w:r>
      <w:r w:rsidRPr="000F0222">
        <w:rPr>
          <w:rFonts w:ascii="Times New Roman" w:eastAsia="Times New Roman" w:hAnsi="Times New Roman" w:cs="Times New Roman"/>
          <w:color w:val="231F20"/>
          <w:sz w:val="24"/>
          <w:szCs w:val="24"/>
          <w:lang w:eastAsia="hr-HR"/>
        </w:rPr>
        <w:t>je mehanizam kojim sanacijsko tijelo u skladu s odredbama glave IX.5 ovoga Zakona otpisuje i pretvara obveze institucije u sanaciji</w:t>
      </w:r>
    </w:p>
    <w:p w14:paraId="3C5A90E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31. </w:t>
      </w:r>
      <w:r w:rsidRPr="000F0222">
        <w:rPr>
          <w:rFonts w:ascii="Times New Roman" w:eastAsia="Times New Roman" w:hAnsi="Times New Roman" w:cs="Times New Roman"/>
          <w:i/>
          <w:iCs/>
          <w:color w:val="231F20"/>
          <w:sz w:val="24"/>
          <w:szCs w:val="24"/>
          <w:bdr w:val="none" w:sz="0" w:space="0" w:color="auto" w:frame="1"/>
          <w:lang w:eastAsia="hr-HR"/>
        </w:rPr>
        <w:t>instrumenti dodatnog osnovnog kapitala </w:t>
      </w:r>
      <w:r w:rsidRPr="000F0222">
        <w:rPr>
          <w:rFonts w:ascii="Times New Roman" w:eastAsia="Times New Roman" w:hAnsi="Times New Roman" w:cs="Times New Roman"/>
          <w:color w:val="231F20"/>
          <w:sz w:val="24"/>
          <w:szCs w:val="24"/>
          <w:lang w:eastAsia="hr-HR"/>
        </w:rPr>
        <w:t>su instrumenti kapitala koji ispunjavaju uvjete utvrđene člankom 52. stavkom 1. Uredbe (EU) br. 575/2013</w:t>
      </w:r>
    </w:p>
    <w:p w14:paraId="7975A54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32. </w:t>
      </w:r>
      <w:r w:rsidRPr="000F0222">
        <w:rPr>
          <w:rFonts w:ascii="Times New Roman" w:eastAsia="Times New Roman" w:hAnsi="Times New Roman" w:cs="Times New Roman"/>
          <w:i/>
          <w:iCs/>
          <w:color w:val="231F20"/>
          <w:sz w:val="24"/>
          <w:szCs w:val="24"/>
          <w:bdr w:val="none" w:sz="0" w:space="0" w:color="auto" w:frame="1"/>
          <w:lang w:eastAsia="hr-HR"/>
        </w:rPr>
        <w:t>instrumenti dopunskog kapitala </w:t>
      </w:r>
      <w:r w:rsidRPr="000F0222">
        <w:rPr>
          <w:rFonts w:ascii="Times New Roman" w:eastAsia="Times New Roman" w:hAnsi="Times New Roman" w:cs="Times New Roman"/>
          <w:color w:val="231F20"/>
          <w:sz w:val="24"/>
          <w:szCs w:val="24"/>
          <w:lang w:eastAsia="hr-HR"/>
        </w:rPr>
        <w:t>su instrumenti kapitala ili podređeni krediti koji ispunjavaju uvjete utvrđene člankom 63. Uredbe (EU) br. 575/2013</w:t>
      </w:r>
    </w:p>
    <w:p w14:paraId="3152EAA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33. </w:t>
      </w:r>
      <w:r w:rsidRPr="000F0222">
        <w:rPr>
          <w:rFonts w:ascii="Times New Roman" w:eastAsia="Times New Roman" w:hAnsi="Times New Roman" w:cs="Times New Roman"/>
          <w:i/>
          <w:iCs/>
          <w:color w:val="231F20"/>
          <w:sz w:val="24"/>
          <w:szCs w:val="24"/>
          <w:bdr w:val="none" w:sz="0" w:space="0" w:color="auto" w:frame="1"/>
          <w:lang w:eastAsia="hr-HR"/>
        </w:rPr>
        <w:t>instrumenti redovnog osnovnog kapitala </w:t>
      </w:r>
      <w:r w:rsidRPr="000F0222">
        <w:rPr>
          <w:rFonts w:ascii="Times New Roman" w:eastAsia="Times New Roman" w:hAnsi="Times New Roman" w:cs="Times New Roman"/>
          <w:color w:val="231F20"/>
          <w:sz w:val="24"/>
          <w:szCs w:val="24"/>
          <w:lang w:eastAsia="hr-HR"/>
        </w:rPr>
        <w:t>su instrumenti kapitala koji ispunjavaju uvjete utvrđene u članku 28. stavcima 1. do 4., članku 29. stavcima 1. do 5. ili članku 31. stavku 1. Uredbe (EU) br. 575/2013</w:t>
      </w:r>
    </w:p>
    <w:p w14:paraId="550058A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bookmarkStart w:id="9" w:name="_Hlk129859633"/>
      <w:r w:rsidRPr="000F0222">
        <w:rPr>
          <w:rFonts w:ascii="Times New Roman" w:eastAsia="Times New Roman" w:hAnsi="Times New Roman" w:cs="Times New Roman"/>
          <w:color w:val="231F20"/>
          <w:sz w:val="24"/>
          <w:szCs w:val="24"/>
          <w:lang w:eastAsia="hr-HR"/>
        </w:rPr>
        <w:lastRenderedPageBreak/>
        <w:t>34. </w:t>
      </w:r>
      <w:r w:rsidRPr="000F0222">
        <w:rPr>
          <w:rFonts w:ascii="Times New Roman" w:eastAsia="Times New Roman" w:hAnsi="Times New Roman" w:cs="Times New Roman"/>
          <w:i/>
          <w:iCs/>
          <w:color w:val="231F20"/>
          <w:sz w:val="24"/>
          <w:szCs w:val="24"/>
          <w:bdr w:val="none" w:sz="0" w:space="0" w:color="auto" w:frame="1"/>
          <w:lang w:eastAsia="hr-HR"/>
        </w:rPr>
        <w:t>investicijsko društvo </w:t>
      </w:r>
      <w:r w:rsidRPr="000F0222">
        <w:rPr>
          <w:rFonts w:ascii="Times New Roman" w:eastAsia="Times New Roman" w:hAnsi="Times New Roman" w:cs="Times New Roman"/>
          <w:color w:val="231F20"/>
          <w:sz w:val="24"/>
          <w:szCs w:val="24"/>
          <w:lang w:eastAsia="hr-HR"/>
        </w:rPr>
        <w:t>je društvo kako je uređeno člankom 4. stavkom 1. točkom 2. Uredbe (EU) br. 575/2013, odnosno člankom 4. stavkom 1. točkom 22. Uredbe (EU) br. 2019/2033, a u Republici Hrvatskoj to je investicijsko društvo na koje se odnosi obveza minimalnog inicijalnog kapitala u iznosu od 750.000,00 eura kako je uređeno propisom kojim se uređuje tržište kapitala </w:t>
      </w:r>
    </w:p>
    <w:bookmarkEnd w:id="9"/>
    <w:p w14:paraId="095554D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35. </w:t>
      </w:r>
      <w:r w:rsidRPr="000F0222">
        <w:rPr>
          <w:rFonts w:ascii="Times New Roman" w:eastAsia="Times New Roman" w:hAnsi="Times New Roman" w:cs="Times New Roman"/>
          <w:i/>
          <w:iCs/>
          <w:color w:val="231F20"/>
          <w:sz w:val="24"/>
          <w:szCs w:val="24"/>
          <w:bdr w:val="none" w:sz="0" w:space="0" w:color="auto" w:frame="1"/>
          <w:lang w:eastAsia="hr-HR"/>
        </w:rPr>
        <w:t>izvanredna javna financijska potpora </w:t>
      </w:r>
      <w:r w:rsidRPr="000F0222">
        <w:rPr>
          <w:rFonts w:ascii="Times New Roman" w:eastAsia="Times New Roman" w:hAnsi="Times New Roman" w:cs="Times New Roman"/>
          <w:color w:val="231F20"/>
          <w:sz w:val="24"/>
          <w:szCs w:val="24"/>
          <w:lang w:eastAsia="hr-HR"/>
        </w:rPr>
        <w:t>je državna potpora u smislu članka 107. stavka 1. Ugovora o funkcioniranju Europske unije (u daljnjem tekstu: UFEU) ili bilo koja druga javna financijska potpora na nadnacionalnoj razini koja bi da se dodjeljuje na nacionalnoj razini činila državnu potporu, a koja se dodjeljuje s ciljem očuvanja ili obnavljanja održivosti, likvidnosti ili solventnosti institucije ili subjekta iz članka 3. točke 2., 3. ili 4. ovoga Zakona ili grupe u čijem su sastavu takva institucija ili subjekt</w:t>
      </w:r>
    </w:p>
    <w:p w14:paraId="29A5482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36. </w:t>
      </w:r>
      <w:r w:rsidRPr="000F0222">
        <w:rPr>
          <w:rFonts w:ascii="Times New Roman" w:eastAsia="Times New Roman" w:hAnsi="Times New Roman" w:cs="Times New Roman"/>
          <w:i/>
          <w:iCs/>
          <w:color w:val="231F20"/>
          <w:sz w:val="24"/>
          <w:szCs w:val="24"/>
          <w:bdr w:val="none" w:sz="0" w:space="0" w:color="auto" w:frame="1"/>
          <w:lang w:eastAsia="hr-HR"/>
        </w:rPr>
        <w:t>izvedenica </w:t>
      </w:r>
      <w:r w:rsidRPr="000F0222">
        <w:rPr>
          <w:rFonts w:ascii="Times New Roman" w:eastAsia="Times New Roman" w:hAnsi="Times New Roman" w:cs="Times New Roman"/>
          <w:color w:val="231F20"/>
          <w:sz w:val="24"/>
          <w:szCs w:val="24"/>
          <w:lang w:eastAsia="hr-HR"/>
        </w:rPr>
        <w:t>kako je uređeno člankom 2. točkom 5. Uredbe (EU) br. 648/2012</w:t>
      </w:r>
    </w:p>
    <w:p w14:paraId="44CCC30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37. </w:t>
      </w:r>
      <w:r w:rsidRPr="000F0222">
        <w:rPr>
          <w:rFonts w:ascii="Times New Roman" w:eastAsia="Times New Roman" w:hAnsi="Times New Roman" w:cs="Times New Roman"/>
          <w:i/>
          <w:iCs/>
          <w:color w:val="231F20"/>
          <w:sz w:val="24"/>
          <w:szCs w:val="24"/>
          <w:bdr w:val="none" w:sz="0" w:space="0" w:color="auto" w:frame="1"/>
          <w:lang w:eastAsia="hr-HR"/>
        </w:rPr>
        <w:t>jamstvo unutar grupe </w:t>
      </w:r>
      <w:r w:rsidRPr="000F0222">
        <w:rPr>
          <w:rFonts w:ascii="Times New Roman" w:eastAsia="Times New Roman" w:hAnsi="Times New Roman" w:cs="Times New Roman"/>
          <w:color w:val="231F20"/>
          <w:sz w:val="24"/>
          <w:szCs w:val="24"/>
          <w:lang w:eastAsia="hr-HR"/>
        </w:rPr>
        <w:t>je ugovor prema kojem jedna članica grupe jamči trećoj strani za obveze druge članice grupe</w:t>
      </w:r>
    </w:p>
    <w:p w14:paraId="7E6391E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38. </w:t>
      </w:r>
      <w:r w:rsidRPr="000F0222">
        <w:rPr>
          <w:rFonts w:ascii="Times New Roman" w:eastAsia="Times New Roman" w:hAnsi="Times New Roman" w:cs="Times New Roman"/>
          <w:i/>
          <w:iCs/>
          <w:color w:val="231F20"/>
          <w:sz w:val="24"/>
          <w:szCs w:val="24"/>
          <w:bdr w:val="none" w:sz="0" w:space="0" w:color="auto" w:frame="1"/>
          <w:lang w:eastAsia="hr-HR"/>
        </w:rPr>
        <w:t>Jedinstveni sanacijski fond </w:t>
      </w:r>
      <w:r w:rsidRPr="000F0222">
        <w:rPr>
          <w:rFonts w:ascii="Times New Roman" w:eastAsia="Times New Roman" w:hAnsi="Times New Roman" w:cs="Times New Roman"/>
          <w:color w:val="231F20"/>
          <w:sz w:val="24"/>
          <w:szCs w:val="24"/>
          <w:lang w:eastAsia="hr-HR"/>
        </w:rPr>
        <w:t>je fond uspostavljen u skladu s člankom 67. stavkom 1. Uredbe (EU) br. 806/2014</w:t>
      </w:r>
    </w:p>
    <w:p w14:paraId="4CE03B8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39. </w:t>
      </w:r>
      <w:r w:rsidRPr="000F0222">
        <w:rPr>
          <w:rFonts w:ascii="Times New Roman" w:eastAsia="Times New Roman" w:hAnsi="Times New Roman" w:cs="Times New Roman"/>
          <w:i/>
          <w:iCs/>
          <w:color w:val="231F20"/>
          <w:sz w:val="24"/>
          <w:szCs w:val="24"/>
          <w:bdr w:val="none" w:sz="0" w:space="0" w:color="auto" w:frame="1"/>
          <w:lang w:eastAsia="hr-HR"/>
        </w:rPr>
        <w:t>Jedinstveni sanacijski mehanizam </w:t>
      </w:r>
      <w:r w:rsidRPr="000F0222">
        <w:rPr>
          <w:rFonts w:ascii="Times New Roman" w:eastAsia="Times New Roman" w:hAnsi="Times New Roman" w:cs="Times New Roman"/>
          <w:color w:val="231F20"/>
          <w:sz w:val="24"/>
          <w:szCs w:val="24"/>
          <w:lang w:eastAsia="hr-HR"/>
        </w:rPr>
        <w:t>je mehanizam uspostavljen Uredbom (EU) br. 806/2014 s utvrđenim jedinstvenim pravilima i jedinstvenim postupkom za sanaciju subjekata iz članka 2. Uredbe (EU) 806/2014 i koji se podupire jedinstvenim sanacijskim fondom</w:t>
      </w:r>
    </w:p>
    <w:p w14:paraId="5157AAE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40. </w:t>
      </w:r>
      <w:r w:rsidRPr="000F0222">
        <w:rPr>
          <w:rFonts w:ascii="Times New Roman" w:eastAsia="Times New Roman" w:hAnsi="Times New Roman" w:cs="Times New Roman"/>
          <w:i/>
          <w:iCs/>
          <w:color w:val="231F20"/>
          <w:sz w:val="24"/>
          <w:szCs w:val="24"/>
          <w:bdr w:val="none" w:sz="0" w:space="0" w:color="auto" w:frame="1"/>
          <w:lang w:eastAsia="hr-HR"/>
        </w:rPr>
        <w:t>Jedinstveni sanacijski odbor </w:t>
      </w:r>
      <w:r w:rsidRPr="000F0222">
        <w:rPr>
          <w:rFonts w:ascii="Times New Roman" w:eastAsia="Times New Roman" w:hAnsi="Times New Roman" w:cs="Times New Roman"/>
          <w:color w:val="231F20"/>
          <w:sz w:val="24"/>
          <w:szCs w:val="24"/>
          <w:lang w:eastAsia="hr-HR"/>
        </w:rPr>
        <w:t>je odbor osnovan u skladu s člankom 42. Uredbe (EU) br. 806/2014</w:t>
      </w:r>
    </w:p>
    <w:p w14:paraId="2B43BD4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41. </w:t>
      </w:r>
      <w:r w:rsidRPr="000F0222">
        <w:rPr>
          <w:rFonts w:ascii="Times New Roman" w:eastAsia="Times New Roman" w:hAnsi="Times New Roman" w:cs="Times New Roman"/>
          <w:i/>
          <w:iCs/>
          <w:color w:val="231F20"/>
          <w:sz w:val="24"/>
          <w:szCs w:val="24"/>
          <w:bdr w:val="none" w:sz="0" w:space="0" w:color="auto" w:frame="1"/>
          <w:lang w:eastAsia="hr-HR"/>
        </w:rPr>
        <w:t>kapitalni zahtjevi </w:t>
      </w:r>
      <w:r w:rsidRPr="000F0222">
        <w:rPr>
          <w:rFonts w:ascii="Times New Roman" w:eastAsia="Times New Roman" w:hAnsi="Times New Roman" w:cs="Times New Roman"/>
          <w:color w:val="231F20"/>
          <w:sz w:val="24"/>
          <w:szCs w:val="24"/>
          <w:lang w:eastAsia="hr-HR"/>
        </w:rPr>
        <w:t>kako je uređeno člancima 92. do 98. Uredbe (EU) br. 575/2013</w:t>
      </w:r>
    </w:p>
    <w:p w14:paraId="60C20FF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42. </w:t>
      </w:r>
      <w:r w:rsidRPr="000F0222">
        <w:rPr>
          <w:rFonts w:ascii="Times New Roman" w:eastAsia="Times New Roman" w:hAnsi="Times New Roman" w:cs="Times New Roman"/>
          <w:i/>
          <w:iCs/>
          <w:color w:val="231F20"/>
          <w:sz w:val="24"/>
          <w:szCs w:val="24"/>
          <w:bdr w:val="none" w:sz="0" w:space="0" w:color="auto" w:frame="1"/>
          <w:lang w:eastAsia="hr-HR"/>
        </w:rPr>
        <w:t>ključne funkcije </w:t>
      </w:r>
      <w:r w:rsidRPr="000F0222">
        <w:rPr>
          <w:rFonts w:ascii="Times New Roman" w:eastAsia="Times New Roman" w:hAnsi="Times New Roman" w:cs="Times New Roman"/>
          <w:color w:val="231F20"/>
          <w:sz w:val="24"/>
          <w:szCs w:val="24"/>
          <w:lang w:eastAsia="hr-HR"/>
        </w:rPr>
        <w:t>jesu aktivnosti, usluge ili djelatnosti čiji bi prestanak pružanja u jednoj ili više država članica vjerojatno doveo do prekida usluga bitnih za realno gospodarstvo ili do poremećaja financijske stabilnosti zbog veličine, tržišnog udjela, vanjske i unutarnje međusobne povezanosti, složenosti ili prekograničnih aktivnosti institucije ili grupe, a osobito s obzirom na zamjenjivost tih aktivnosti, usluga ili djelatnosti</w:t>
      </w:r>
    </w:p>
    <w:p w14:paraId="0FEB13C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43. </w:t>
      </w:r>
      <w:r w:rsidRPr="000F0222">
        <w:rPr>
          <w:rFonts w:ascii="Times New Roman" w:eastAsia="Times New Roman" w:hAnsi="Times New Roman" w:cs="Times New Roman"/>
          <w:i/>
          <w:iCs/>
          <w:color w:val="231F20"/>
          <w:sz w:val="24"/>
          <w:szCs w:val="24"/>
          <w:bdr w:val="none" w:sz="0" w:space="0" w:color="auto" w:frame="1"/>
          <w:lang w:eastAsia="hr-HR"/>
        </w:rPr>
        <w:t>kolegij nadzornih tijela </w:t>
      </w:r>
      <w:r w:rsidRPr="000F0222">
        <w:rPr>
          <w:rFonts w:ascii="Times New Roman" w:eastAsia="Times New Roman" w:hAnsi="Times New Roman" w:cs="Times New Roman"/>
          <w:color w:val="231F20"/>
          <w:sz w:val="24"/>
          <w:szCs w:val="24"/>
          <w:lang w:eastAsia="hr-HR"/>
        </w:rPr>
        <w:t>je kolegij nadzornih tijela koji je osnovalo konsolidirajuće nadzorno tijelo, a u Republici Hrvatskoj je to kolegij supervizora kako je uređeno propisom kojim se uređuje poslovanje kreditnih institucija te kolegij nadzornih tijela kako je uređeno propisom kojim se uređuje tržište kapitala</w:t>
      </w:r>
    </w:p>
    <w:p w14:paraId="48638B9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44. </w:t>
      </w:r>
      <w:r w:rsidRPr="000F0222">
        <w:rPr>
          <w:rFonts w:ascii="Times New Roman" w:eastAsia="Times New Roman" w:hAnsi="Times New Roman" w:cs="Times New Roman"/>
          <w:i/>
          <w:iCs/>
          <w:color w:val="231F20"/>
          <w:sz w:val="24"/>
          <w:szCs w:val="24"/>
          <w:bdr w:val="none" w:sz="0" w:space="0" w:color="auto" w:frame="1"/>
          <w:lang w:eastAsia="hr-HR"/>
        </w:rPr>
        <w:t>konsolidirajuće nadzorno tijelo </w:t>
      </w:r>
      <w:r w:rsidRPr="000F0222">
        <w:rPr>
          <w:rFonts w:ascii="Times New Roman" w:eastAsia="Times New Roman" w:hAnsi="Times New Roman" w:cs="Times New Roman"/>
          <w:color w:val="231F20"/>
          <w:sz w:val="24"/>
          <w:szCs w:val="24"/>
          <w:lang w:eastAsia="hr-HR"/>
        </w:rPr>
        <w:t>kako je uređeno člankom 4. stavkom 1. točkom 41. Uredbe (EU) br. 575/2013</w:t>
      </w:r>
    </w:p>
    <w:p w14:paraId="2DEF242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45. </w:t>
      </w:r>
      <w:r w:rsidRPr="000F0222">
        <w:rPr>
          <w:rFonts w:ascii="Times New Roman" w:eastAsia="Times New Roman" w:hAnsi="Times New Roman" w:cs="Times New Roman"/>
          <w:i/>
          <w:iCs/>
          <w:color w:val="231F20"/>
          <w:sz w:val="24"/>
          <w:szCs w:val="24"/>
          <w:bdr w:val="none" w:sz="0" w:space="0" w:color="auto" w:frame="1"/>
          <w:lang w:eastAsia="hr-HR"/>
        </w:rPr>
        <w:t>konsolidirana osnova </w:t>
      </w:r>
      <w:r w:rsidRPr="000F0222">
        <w:rPr>
          <w:rFonts w:ascii="Times New Roman" w:eastAsia="Times New Roman" w:hAnsi="Times New Roman" w:cs="Times New Roman"/>
          <w:color w:val="231F20"/>
          <w:sz w:val="24"/>
          <w:szCs w:val="24"/>
          <w:lang w:eastAsia="hr-HR"/>
        </w:rPr>
        <w:t>kako je uređeno člankom 4. stavkom 1. točkom 47. Uredbe (EU) br. 575/2013</w:t>
      </w:r>
    </w:p>
    <w:p w14:paraId="4A4BCA0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46. </w:t>
      </w:r>
      <w:r w:rsidRPr="000F0222">
        <w:rPr>
          <w:rFonts w:ascii="Times New Roman" w:eastAsia="Times New Roman" w:hAnsi="Times New Roman" w:cs="Times New Roman"/>
          <w:i/>
          <w:iCs/>
          <w:color w:val="231F20"/>
          <w:sz w:val="24"/>
          <w:szCs w:val="24"/>
          <w:bdr w:val="none" w:sz="0" w:space="0" w:color="auto" w:frame="1"/>
          <w:lang w:eastAsia="hr-HR"/>
        </w:rPr>
        <w:t>kreditna institucija </w:t>
      </w:r>
      <w:r w:rsidRPr="000F0222">
        <w:rPr>
          <w:rFonts w:ascii="Times New Roman" w:eastAsia="Times New Roman" w:hAnsi="Times New Roman" w:cs="Times New Roman"/>
          <w:color w:val="231F20"/>
          <w:sz w:val="24"/>
          <w:szCs w:val="24"/>
          <w:lang w:eastAsia="hr-HR"/>
        </w:rPr>
        <w:t>kako je uređeno člankom 4. stavkom 1. točkom 1. Uredbe (EU) br. 575/2013, ne uključujući u Republici Hrvatskoj kreditne unije i Hrvatsku banku za obnovu i razvitak</w:t>
      </w:r>
    </w:p>
    <w:p w14:paraId="58918BA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47. </w:t>
      </w:r>
      <w:r w:rsidRPr="000F0222">
        <w:rPr>
          <w:rFonts w:ascii="Times New Roman" w:eastAsia="Times New Roman" w:hAnsi="Times New Roman" w:cs="Times New Roman"/>
          <w:i/>
          <w:iCs/>
          <w:color w:val="231F20"/>
          <w:sz w:val="24"/>
          <w:szCs w:val="24"/>
          <w:bdr w:val="none" w:sz="0" w:space="0" w:color="auto" w:frame="1"/>
          <w:lang w:eastAsia="hr-HR"/>
        </w:rPr>
        <w:t>mali ulagatelj </w:t>
      </w:r>
      <w:r w:rsidRPr="000F0222">
        <w:rPr>
          <w:rFonts w:ascii="Times New Roman" w:eastAsia="Times New Roman" w:hAnsi="Times New Roman" w:cs="Times New Roman"/>
          <w:color w:val="231F20"/>
          <w:sz w:val="24"/>
          <w:szCs w:val="24"/>
          <w:lang w:eastAsia="hr-HR"/>
        </w:rPr>
        <w:t xml:space="preserve">je klijent investicijskog društva ili kreditne institucije koja obavlja investicijske usluge i aktivnosti i koji ne ispunjava kriterije za profesionalnog </w:t>
      </w:r>
      <w:r w:rsidRPr="000F0222">
        <w:rPr>
          <w:rFonts w:ascii="Times New Roman" w:eastAsia="Times New Roman" w:hAnsi="Times New Roman" w:cs="Times New Roman"/>
          <w:color w:val="231F20"/>
          <w:sz w:val="24"/>
          <w:szCs w:val="24"/>
          <w:lang w:eastAsia="hr-HR"/>
        </w:rPr>
        <w:lastRenderedPageBreak/>
        <w:t>ulagatelja, a u Republici Hrvatskoj kako je uređeno propisom kojim se uređuje tržište kapitala</w:t>
      </w:r>
    </w:p>
    <w:p w14:paraId="62A6CF0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48. </w:t>
      </w:r>
      <w:r w:rsidRPr="000F0222">
        <w:rPr>
          <w:rFonts w:ascii="Times New Roman" w:eastAsia="Times New Roman" w:hAnsi="Times New Roman" w:cs="Times New Roman"/>
          <w:i/>
          <w:iCs/>
          <w:color w:val="231F20"/>
          <w:sz w:val="24"/>
          <w:szCs w:val="24"/>
          <w:bdr w:val="none" w:sz="0" w:space="0" w:color="auto" w:frame="1"/>
          <w:lang w:eastAsia="hr-HR"/>
        </w:rPr>
        <w:t>matična institucija u Europskoj uniji </w:t>
      </w:r>
      <w:r w:rsidRPr="000F0222">
        <w:rPr>
          <w:rFonts w:ascii="Times New Roman" w:eastAsia="Times New Roman" w:hAnsi="Times New Roman" w:cs="Times New Roman"/>
          <w:color w:val="231F20"/>
          <w:sz w:val="24"/>
          <w:szCs w:val="24"/>
          <w:lang w:eastAsia="hr-HR"/>
        </w:rPr>
        <w:t>kako je uređeno člankom 4. stavkom 1. točkom 29. Uredbe (EU) br. 575/2013</w:t>
      </w:r>
    </w:p>
    <w:p w14:paraId="3461C93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49. </w:t>
      </w:r>
      <w:r w:rsidRPr="000F0222">
        <w:rPr>
          <w:rFonts w:ascii="Times New Roman" w:eastAsia="Times New Roman" w:hAnsi="Times New Roman" w:cs="Times New Roman"/>
          <w:i/>
          <w:iCs/>
          <w:color w:val="231F20"/>
          <w:sz w:val="24"/>
          <w:szCs w:val="24"/>
          <w:bdr w:val="none" w:sz="0" w:space="0" w:color="auto" w:frame="1"/>
          <w:lang w:eastAsia="hr-HR"/>
        </w:rPr>
        <w:t>matična institucija u Republici Hrvatskoj </w:t>
      </w:r>
      <w:r w:rsidRPr="000F0222">
        <w:rPr>
          <w:rFonts w:ascii="Times New Roman" w:eastAsia="Times New Roman" w:hAnsi="Times New Roman" w:cs="Times New Roman"/>
          <w:color w:val="231F20"/>
          <w:sz w:val="24"/>
          <w:szCs w:val="24"/>
          <w:lang w:eastAsia="hr-HR"/>
        </w:rPr>
        <w:t>kako je uređeno člankom 4. stavkom 1. točkom 28. Uredbe (EU) br. 575/2013</w:t>
      </w:r>
    </w:p>
    <w:p w14:paraId="267206B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50. </w:t>
      </w:r>
      <w:r w:rsidRPr="000F0222">
        <w:rPr>
          <w:rFonts w:ascii="Times New Roman" w:eastAsia="Times New Roman" w:hAnsi="Times New Roman" w:cs="Times New Roman"/>
          <w:i/>
          <w:iCs/>
          <w:color w:val="231F20"/>
          <w:sz w:val="24"/>
          <w:szCs w:val="24"/>
          <w:bdr w:val="none" w:sz="0" w:space="0" w:color="auto" w:frame="1"/>
          <w:lang w:eastAsia="hr-HR"/>
        </w:rPr>
        <w:t>matični financijski holding u Europskoj uniji </w:t>
      </w:r>
      <w:r w:rsidRPr="000F0222">
        <w:rPr>
          <w:rFonts w:ascii="Times New Roman" w:eastAsia="Times New Roman" w:hAnsi="Times New Roman" w:cs="Times New Roman"/>
          <w:color w:val="231F20"/>
          <w:sz w:val="24"/>
          <w:szCs w:val="24"/>
          <w:lang w:eastAsia="hr-HR"/>
        </w:rPr>
        <w:t>kako je uređeno člankom 4. stavkom 1. točkom 31. Uredbe (EU) br. 575/2013</w:t>
      </w:r>
    </w:p>
    <w:p w14:paraId="7F79A23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51. </w:t>
      </w:r>
      <w:r w:rsidRPr="000F0222">
        <w:rPr>
          <w:rFonts w:ascii="Times New Roman" w:eastAsia="Times New Roman" w:hAnsi="Times New Roman" w:cs="Times New Roman"/>
          <w:i/>
          <w:iCs/>
          <w:color w:val="231F20"/>
          <w:sz w:val="24"/>
          <w:szCs w:val="24"/>
          <w:bdr w:val="none" w:sz="0" w:space="0" w:color="auto" w:frame="1"/>
          <w:lang w:eastAsia="hr-HR"/>
        </w:rPr>
        <w:t>matični financijski holding u Republici Hrvatskoj </w:t>
      </w:r>
      <w:r w:rsidRPr="000F0222">
        <w:rPr>
          <w:rFonts w:ascii="Times New Roman" w:eastAsia="Times New Roman" w:hAnsi="Times New Roman" w:cs="Times New Roman"/>
          <w:color w:val="231F20"/>
          <w:sz w:val="24"/>
          <w:szCs w:val="24"/>
          <w:lang w:eastAsia="hr-HR"/>
        </w:rPr>
        <w:t>kako je uređeno člankom 4. stavkom 1. točkom 30. Uredbe (EU) br. 575/2013</w:t>
      </w:r>
    </w:p>
    <w:p w14:paraId="7850966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52. </w:t>
      </w:r>
      <w:r w:rsidRPr="000F0222">
        <w:rPr>
          <w:rFonts w:ascii="Times New Roman" w:eastAsia="Times New Roman" w:hAnsi="Times New Roman" w:cs="Times New Roman"/>
          <w:i/>
          <w:iCs/>
          <w:color w:val="231F20"/>
          <w:sz w:val="24"/>
          <w:szCs w:val="24"/>
          <w:bdr w:val="none" w:sz="0" w:space="0" w:color="auto" w:frame="1"/>
          <w:lang w:eastAsia="hr-HR"/>
        </w:rPr>
        <w:t>matični mješoviti financijski holding u Europskoj uniji </w:t>
      </w:r>
      <w:r w:rsidRPr="000F0222">
        <w:rPr>
          <w:rFonts w:ascii="Times New Roman" w:eastAsia="Times New Roman" w:hAnsi="Times New Roman" w:cs="Times New Roman"/>
          <w:color w:val="231F20"/>
          <w:sz w:val="24"/>
          <w:szCs w:val="24"/>
          <w:lang w:eastAsia="hr-HR"/>
        </w:rPr>
        <w:t>kako je uređeno člankom 4. stavkom 1. točkom 33. Uredbe (EU) br. 575/2013</w:t>
      </w:r>
    </w:p>
    <w:p w14:paraId="46A6F4D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53. </w:t>
      </w:r>
      <w:r w:rsidRPr="000F0222">
        <w:rPr>
          <w:rFonts w:ascii="Times New Roman" w:eastAsia="Times New Roman" w:hAnsi="Times New Roman" w:cs="Times New Roman"/>
          <w:i/>
          <w:iCs/>
          <w:color w:val="231F20"/>
          <w:sz w:val="24"/>
          <w:szCs w:val="24"/>
          <w:bdr w:val="none" w:sz="0" w:space="0" w:color="auto" w:frame="1"/>
          <w:lang w:eastAsia="hr-HR"/>
        </w:rPr>
        <w:t>matični mješoviti financijski holding u Republici Hrvatskoj </w:t>
      </w:r>
      <w:r w:rsidRPr="000F0222">
        <w:rPr>
          <w:rFonts w:ascii="Times New Roman" w:eastAsia="Times New Roman" w:hAnsi="Times New Roman" w:cs="Times New Roman"/>
          <w:color w:val="231F20"/>
          <w:sz w:val="24"/>
          <w:szCs w:val="24"/>
          <w:lang w:eastAsia="hr-HR"/>
        </w:rPr>
        <w:t>kako je uređeno člankom 4. stavkom 1. točkom 32. Uredbe (EU) br. 575/2013</w:t>
      </w:r>
    </w:p>
    <w:p w14:paraId="0E0AB21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54. </w:t>
      </w:r>
      <w:r w:rsidRPr="000F0222">
        <w:rPr>
          <w:rFonts w:ascii="Times New Roman" w:eastAsia="Times New Roman" w:hAnsi="Times New Roman" w:cs="Times New Roman"/>
          <w:i/>
          <w:iCs/>
          <w:color w:val="231F20"/>
          <w:sz w:val="24"/>
          <w:szCs w:val="24"/>
          <w:bdr w:val="none" w:sz="0" w:space="0" w:color="auto" w:frame="1"/>
          <w:lang w:eastAsia="hr-HR"/>
        </w:rPr>
        <w:t>matično društvo </w:t>
      </w:r>
      <w:r w:rsidRPr="000F0222">
        <w:rPr>
          <w:rFonts w:ascii="Times New Roman" w:eastAsia="Times New Roman" w:hAnsi="Times New Roman" w:cs="Times New Roman"/>
          <w:color w:val="231F20"/>
          <w:sz w:val="24"/>
          <w:szCs w:val="24"/>
          <w:lang w:eastAsia="hr-HR"/>
        </w:rPr>
        <w:t>kako je uređeno člankom 4. stavkom 1. točkom 15. podtočkom (a) Uredbe (EU) br. 575/2013</w:t>
      </w:r>
    </w:p>
    <w:p w14:paraId="4B5F171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55. </w:t>
      </w:r>
      <w:r w:rsidRPr="000F0222">
        <w:rPr>
          <w:rFonts w:ascii="Times New Roman" w:eastAsia="Times New Roman" w:hAnsi="Times New Roman" w:cs="Times New Roman"/>
          <w:i/>
          <w:iCs/>
          <w:color w:val="231F20"/>
          <w:sz w:val="24"/>
          <w:szCs w:val="24"/>
          <w:bdr w:val="none" w:sz="0" w:space="0" w:color="auto" w:frame="1"/>
          <w:lang w:eastAsia="hr-HR"/>
        </w:rPr>
        <w:t>matično društvo treće zemlje </w:t>
      </w:r>
      <w:r w:rsidRPr="000F0222">
        <w:rPr>
          <w:rFonts w:ascii="Times New Roman" w:eastAsia="Times New Roman" w:hAnsi="Times New Roman" w:cs="Times New Roman"/>
          <w:color w:val="231F20"/>
          <w:sz w:val="24"/>
          <w:szCs w:val="24"/>
          <w:lang w:eastAsia="hr-HR"/>
        </w:rPr>
        <w:t>je matično društvo, matični financijski holding ili matični mješoviti financijski holding, koji ima sjedište u trećoj zemlji</w:t>
      </w:r>
    </w:p>
    <w:p w14:paraId="1A05951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56. </w:t>
      </w:r>
      <w:r w:rsidRPr="000F0222">
        <w:rPr>
          <w:rFonts w:ascii="Times New Roman" w:eastAsia="Times New Roman" w:hAnsi="Times New Roman" w:cs="Times New Roman"/>
          <w:i/>
          <w:iCs/>
          <w:color w:val="231F20"/>
          <w:sz w:val="24"/>
          <w:szCs w:val="24"/>
          <w:bdr w:val="none" w:sz="0" w:space="0" w:color="auto" w:frame="1"/>
          <w:lang w:eastAsia="hr-HR"/>
        </w:rPr>
        <w:t>matično društvo u Europskoj uniji </w:t>
      </w:r>
      <w:r w:rsidRPr="000F0222">
        <w:rPr>
          <w:rFonts w:ascii="Times New Roman" w:eastAsia="Times New Roman" w:hAnsi="Times New Roman" w:cs="Times New Roman"/>
          <w:color w:val="231F20"/>
          <w:sz w:val="24"/>
          <w:szCs w:val="24"/>
          <w:lang w:eastAsia="hr-HR"/>
        </w:rPr>
        <w:t>je matična institucija u Europskoj uniji, matični financijski holding u Europskoj uniji ili matični mješoviti financijski holding u Europskoj uniji</w:t>
      </w:r>
    </w:p>
    <w:p w14:paraId="63345A2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57. </w:t>
      </w:r>
      <w:r w:rsidRPr="000F0222">
        <w:rPr>
          <w:rFonts w:ascii="Times New Roman" w:eastAsia="Times New Roman" w:hAnsi="Times New Roman" w:cs="Times New Roman"/>
          <w:i/>
          <w:iCs/>
          <w:color w:val="231F20"/>
          <w:sz w:val="24"/>
          <w:szCs w:val="24"/>
          <w:bdr w:val="none" w:sz="0" w:space="0" w:color="auto" w:frame="1"/>
          <w:lang w:eastAsia="hr-HR"/>
        </w:rPr>
        <w:t>mikropoduzeća te mala i srednja poduzeća </w:t>
      </w:r>
      <w:r w:rsidRPr="000F0222">
        <w:rPr>
          <w:rFonts w:ascii="Times New Roman" w:eastAsia="Times New Roman" w:hAnsi="Times New Roman" w:cs="Times New Roman"/>
          <w:color w:val="231F20"/>
          <w:sz w:val="24"/>
          <w:szCs w:val="24"/>
          <w:lang w:eastAsia="hr-HR"/>
        </w:rPr>
        <w:t>jesu mikropoduzeća te mala i srednja poduzeća kako je uređeno s obzirom na kriterij godišnjeg prihoda iz članka 2. stavka 1. Priloga Preporuci Komisije 2003/361/EZ</w:t>
      </w:r>
    </w:p>
    <w:p w14:paraId="6A72A39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58. </w:t>
      </w:r>
      <w:r w:rsidRPr="000F0222">
        <w:rPr>
          <w:rFonts w:ascii="Times New Roman" w:eastAsia="Times New Roman" w:hAnsi="Times New Roman" w:cs="Times New Roman"/>
          <w:i/>
          <w:iCs/>
          <w:color w:val="231F20"/>
          <w:sz w:val="24"/>
          <w:szCs w:val="24"/>
          <w:bdr w:val="none" w:sz="0" w:space="0" w:color="auto" w:frame="1"/>
          <w:lang w:eastAsia="hr-HR"/>
        </w:rPr>
        <w:t>mjera za sprječavanje krize </w:t>
      </w:r>
      <w:r w:rsidRPr="000F0222">
        <w:rPr>
          <w:rFonts w:ascii="Times New Roman" w:eastAsia="Times New Roman" w:hAnsi="Times New Roman" w:cs="Times New Roman"/>
          <w:color w:val="231F20"/>
          <w:sz w:val="24"/>
          <w:szCs w:val="24"/>
          <w:lang w:eastAsia="hr-HR"/>
        </w:rPr>
        <w:t>je izvršenje ovlasti za izravno uklanjanje nedostataka ili prepreka oporavku kako je uređeno propisom kojim se uređuje poslovanje kreditnih institucija odnosno tržište kapitala, izvršenje ovlasti za rješavanje ili uklanjanje prepreka mogućnosti sanacije u skladu s člankom 22. ovoga Zakona, primjenu supervizorskih mjera u fazi rane intervencije u skladu s propisima kojima se uređuje poslovanje kreditnih institucija odnosno tržište kapitala ili izvršenje ovlasti smanjenja vrijednosti i pretvaranja u skladu s odredbama glave VII. ovoga Zakona</w:t>
      </w:r>
    </w:p>
    <w:p w14:paraId="4AFABE8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59. </w:t>
      </w:r>
      <w:r w:rsidRPr="000F0222">
        <w:rPr>
          <w:rFonts w:ascii="Times New Roman" w:eastAsia="Times New Roman" w:hAnsi="Times New Roman" w:cs="Times New Roman"/>
          <w:i/>
          <w:iCs/>
          <w:color w:val="231F20"/>
          <w:sz w:val="24"/>
          <w:szCs w:val="24"/>
          <w:bdr w:val="none" w:sz="0" w:space="0" w:color="auto" w:frame="1"/>
          <w:lang w:eastAsia="hr-HR"/>
        </w:rPr>
        <w:t>mjera za upravljanje krizom </w:t>
      </w:r>
      <w:r w:rsidRPr="000F0222">
        <w:rPr>
          <w:rFonts w:ascii="Times New Roman" w:eastAsia="Times New Roman" w:hAnsi="Times New Roman" w:cs="Times New Roman"/>
          <w:color w:val="231F20"/>
          <w:sz w:val="24"/>
          <w:szCs w:val="24"/>
          <w:lang w:eastAsia="hr-HR"/>
        </w:rPr>
        <w:t>je sanacijska mjera ili imenovanje sanacijske uprave u skladu s člancima 59. i 60. ovoga Zakona ili osoba zaduženih za izradu plana reorganizacije poslovanja u skladu s člankom 87. ovoga Zakona ili člankom 110. ovoga Zakona</w:t>
      </w:r>
    </w:p>
    <w:p w14:paraId="106B553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60. </w:t>
      </w:r>
      <w:r w:rsidRPr="000F0222">
        <w:rPr>
          <w:rFonts w:ascii="Times New Roman" w:eastAsia="Times New Roman" w:hAnsi="Times New Roman" w:cs="Times New Roman"/>
          <w:i/>
          <w:iCs/>
          <w:color w:val="231F20"/>
          <w:sz w:val="24"/>
          <w:szCs w:val="24"/>
          <w:bdr w:val="none" w:sz="0" w:space="0" w:color="auto" w:frame="1"/>
          <w:lang w:eastAsia="hr-HR"/>
        </w:rPr>
        <w:t>mjerodavno tijelo </w:t>
      </w:r>
      <w:r w:rsidRPr="000F0222">
        <w:rPr>
          <w:rFonts w:ascii="Times New Roman" w:eastAsia="Times New Roman" w:hAnsi="Times New Roman" w:cs="Times New Roman"/>
          <w:color w:val="231F20"/>
          <w:sz w:val="24"/>
          <w:szCs w:val="24"/>
          <w:lang w:eastAsia="hr-HR"/>
        </w:rPr>
        <w:t>je tijelo države članice koje je prema nacionalnom pravu te države odgovorno za utvrđivanje uvjeta za smanjenje vrijednosti ili pretvaranje relevantnih instrumenata kapitala i podložnih obveza, a u Republici Hrvatskoj je to nadležno tijelo</w:t>
      </w:r>
    </w:p>
    <w:p w14:paraId="00B136F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61. </w:t>
      </w:r>
      <w:r w:rsidRPr="000F0222">
        <w:rPr>
          <w:rFonts w:ascii="Times New Roman" w:eastAsia="Times New Roman" w:hAnsi="Times New Roman" w:cs="Times New Roman"/>
          <w:i/>
          <w:iCs/>
          <w:color w:val="231F20"/>
          <w:sz w:val="24"/>
          <w:szCs w:val="24"/>
          <w:bdr w:val="none" w:sz="0" w:space="0" w:color="auto" w:frame="1"/>
          <w:lang w:eastAsia="hr-HR"/>
        </w:rPr>
        <w:t>mješoviti financijski holding </w:t>
      </w:r>
      <w:r w:rsidRPr="000F0222">
        <w:rPr>
          <w:rFonts w:ascii="Times New Roman" w:eastAsia="Times New Roman" w:hAnsi="Times New Roman" w:cs="Times New Roman"/>
          <w:color w:val="231F20"/>
          <w:sz w:val="24"/>
          <w:szCs w:val="24"/>
          <w:lang w:eastAsia="hr-HR"/>
        </w:rPr>
        <w:t>kako je uređeno člankom 4. stavkom 1. točkom 21. Uredbe (EU) br. 575/2013</w:t>
      </w:r>
    </w:p>
    <w:p w14:paraId="299556C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62. </w:t>
      </w:r>
      <w:r w:rsidRPr="000F0222">
        <w:rPr>
          <w:rFonts w:ascii="Times New Roman" w:eastAsia="Times New Roman" w:hAnsi="Times New Roman" w:cs="Times New Roman"/>
          <w:i/>
          <w:iCs/>
          <w:color w:val="231F20"/>
          <w:sz w:val="24"/>
          <w:szCs w:val="24"/>
          <w:bdr w:val="none" w:sz="0" w:space="0" w:color="auto" w:frame="1"/>
          <w:lang w:eastAsia="hr-HR"/>
        </w:rPr>
        <w:t>mješoviti holding </w:t>
      </w:r>
      <w:r w:rsidRPr="000F0222">
        <w:rPr>
          <w:rFonts w:ascii="Times New Roman" w:eastAsia="Times New Roman" w:hAnsi="Times New Roman" w:cs="Times New Roman"/>
          <w:color w:val="231F20"/>
          <w:sz w:val="24"/>
          <w:szCs w:val="24"/>
          <w:lang w:eastAsia="hr-HR"/>
        </w:rPr>
        <w:t>kako je uređeno člankom 4. stavkom 1. točkom 22. Uredbe (EU) br. 575/2013</w:t>
      </w:r>
    </w:p>
    <w:p w14:paraId="612DDB1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63. </w:t>
      </w:r>
      <w:r w:rsidRPr="000F0222">
        <w:rPr>
          <w:rFonts w:ascii="Times New Roman" w:eastAsia="Times New Roman" w:hAnsi="Times New Roman" w:cs="Times New Roman"/>
          <w:i/>
          <w:iCs/>
          <w:color w:val="231F20"/>
          <w:sz w:val="24"/>
          <w:szCs w:val="24"/>
          <w:bdr w:val="none" w:sz="0" w:space="0" w:color="auto" w:frame="1"/>
          <w:lang w:eastAsia="hr-HR"/>
        </w:rPr>
        <w:t>mogućnost oporavka </w:t>
      </w:r>
      <w:r w:rsidRPr="000F0222">
        <w:rPr>
          <w:rFonts w:ascii="Times New Roman" w:eastAsia="Times New Roman" w:hAnsi="Times New Roman" w:cs="Times New Roman"/>
          <w:color w:val="231F20"/>
          <w:sz w:val="24"/>
          <w:szCs w:val="24"/>
          <w:lang w:eastAsia="hr-HR"/>
        </w:rPr>
        <w:t>je mogućnost institucije da obnovi svoj financijski položaj nakon njegova znatnog pogoršanja</w:t>
      </w:r>
    </w:p>
    <w:p w14:paraId="373BEB4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64. </w:t>
      </w:r>
      <w:r w:rsidRPr="000F0222">
        <w:rPr>
          <w:rFonts w:ascii="Times New Roman" w:eastAsia="Times New Roman" w:hAnsi="Times New Roman" w:cs="Times New Roman"/>
          <w:i/>
          <w:iCs/>
          <w:color w:val="231F20"/>
          <w:sz w:val="24"/>
          <w:szCs w:val="24"/>
          <w:bdr w:val="none" w:sz="0" w:space="0" w:color="auto" w:frame="1"/>
          <w:lang w:eastAsia="hr-HR"/>
        </w:rPr>
        <w:t>nadležno ministarstvo </w:t>
      </w:r>
      <w:r w:rsidRPr="000F0222">
        <w:rPr>
          <w:rFonts w:ascii="Times New Roman" w:eastAsia="Times New Roman" w:hAnsi="Times New Roman" w:cs="Times New Roman"/>
          <w:color w:val="231F20"/>
          <w:sz w:val="24"/>
          <w:szCs w:val="24"/>
          <w:lang w:eastAsia="hr-HR"/>
        </w:rPr>
        <w:t>je ministarstvo financija ili drugo ministarstvo države članice koje je odgovorno za ekonomske, financijske i proračunske odluke na nacionalnoj razini u skladu s nacionalnim nadležnostima i koje je država članica imenovala za izvršavanje funkcije nadležnog ministarstva, a u Republici Hrvatskoj je to Ministarstvo financija</w:t>
      </w:r>
    </w:p>
    <w:p w14:paraId="10BE993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65. </w:t>
      </w:r>
      <w:r w:rsidRPr="000F0222">
        <w:rPr>
          <w:rFonts w:ascii="Times New Roman" w:eastAsia="Times New Roman" w:hAnsi="Times New Roman" w:cs="Times New Roman"/>
          <w:i/>
          <w:iCs/>
          <w:color w:val="231F20"/>
          <w:sz w:val="24"/>
          <w:szCs w:val="24"/>
          <w:bdr w:val="none" w:sz="0" w:space="0" w:color="auto" w:frame="1"/>
          <w:lang w:eastAsia="hr-HR"/>
        </w:rPr>
        <w:t>nadležno tijelo </w:t>
      </w:r>
      <w:r w:rsidRPr="000F0222">
        <w:rPr>
          <w:rFonts w:ascii="Times New Roman" w:eastAsia="Times New Roman" w:hAnsi="Times New Roman" w:cs="Times New Roman"/>
          <w:color w:val="231F20"/>
          <w:sz w:val="24"/>
          <w:szCs w:val="24"/>
          <w:lang w:eastAsia="hr-HR"/>
        </w:rPr>
        <w:t>je nadležno tijelo države članice kako je uređeno člankom 4. stavkom 1. točkom 40. Uredbe (EU) br. 575/2013, uključujući Europsku središnju banku u vezi s posebnim zadaćama koje su joj dodijeljene Uredbom Vijeća (EU) br. 1024/2013, a u Republici Hrvatskoj nadležno tijelo za kreditnu instituciju je Hrvatska narodna banka, uključujući i Europsku središnju banku, u skladu s odredbama propisa kojim se uređuje poslovanje kreditnih institucija, za investicijsko društvo Hrvatska agencija za nadzor financijskih usluga u skladu s odredbama propisa kojim se uređuje tržište kapitala te Hrvatska narodna banka, uključujući i Europsku središnju banku ili Hrvatska agencija za nadzor financijskih usluga za financijske holdinge, mješovite financijske holdinge i mješovite holdinge te matične financijske holdinge i matične mješovite financijske holdinge za koje su nadležni prema propisima koji uređuju njihovo poslovanje</w:t>
      </w:r>
    </w:p>
    <w:p w14:paraId="7B091F0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66. </w:t>
      </w:r>
      <w:r w:rsidRPr="000F0222">
        <w:rPr>
          <w:rFonts w:ascii="Times New Roman" w:eastAsia="Times New Roman" w:hAnsi="Times New Roman" w:cs="Times New Roman"/>
          <w:i/>
          <w:iCs/>
          <w:color w:val="231F20"/>
          <w:sz w:val="24"/>
          <w:szCs w:val="24"/>
          <w:bdr w:val="none" w:sz="0" w:space="0" w:color="auto" w:frame="1"/>
          <w:lang w:eastAsia="hr-HR"/>
        </w:rPr>
        <w:t>naizmjenična transakcija </w:t>
      </w:r>
      <w:r w:rsidRPr="000F0222">
        <w:rPr>
          <w:rFonts w:ascii="Times New Roman" w:eastAsia="Times New Roman" w:hAnsi="Times New Roman" w:cs="Times New Roman"/>
          <w:color w:val="231F20"/>
          <w:sz w:val="24"/>
          <w:szCs w:val="24"/>
          <w:lang w:eastAsia="hr-HR"/>
        </w:rPr>
        <w:t>(engl. </w:t>
      </w:r>
      <w:r w:rsidRPr="000F0222">
        <w:rPr>
          <w:rFonts w:ascii="Times New Roman" w:eastAsia="Times New Roman" w:hAnsi="Times New Roman" w:cs="Times New Roman"/>
          <w:i/>
          <w:iCs/>
          <w:color w:val="231F20"/>
          <w:sz w:val="24"/>
          <w:szCs w:val="24"/>
          <w:bdr w:val="none" w:sz="0" w:space="0" w:color="auto" w:frame="1"/>
          <w:lang w:eastAsia="hr-HR"/>
        </w:rPr>
        <w:t>back-to-back) </w:t>
      </w:r>
      <w:r w:rsidRPr="000F0222">
        <w:rPr>
          <w:rFonts w:ascii="Times New Roman" w:eastAsia="Times New Roman" w:hAnsi="Times New Roman" w:cs="Times New Roman"/>
          <w:color w:val="231F20"/>
          <w:sz w:val="24"/>
          <w:szCs w:val="24"/>
          <w:lang w:eastAsia="hr-HR"/>
        </w:rPr>
        <w:t>je transakcija izvršena između dvije članice grupe za potrebe potpunog ili djelomičnog prijenosa rizika proizašlog iz druge transakcije između jedne od tih članica grupe i treće strane</w:t>
      </w:r>
    </w:p>
    <w:p w14:paraId="27F780D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67. </w:t>
      </w:r>
      <w:r w:rsidRPr="000F0222">
        <w:rPr>
          <w:rFonts w:ascii="Times New Roman" w:eastAsia="Times New Roman" w:hAnsi="Times New Roman" w:cs="Times New Roman"/>
          <w:i/>
          <w:iCs/>
          <w:color w:val="231F20"/>
          <w:sz w:val="24"/>
          <w:szCs w:val="24"/>
          <w:bdr w:val="none" w:sz="0" w:space="0" w:color="auto" w:frame="1"/>
          <w:lang w:eastAsia="hr-HR"/>
        </w:rPr>
        <w:t>neovisni procjenitelj </w:t>
      </w:r>
      <w:r w:rsidRPr="000F0222">
        <w:rPr>
          <w:rFonts w:ascii="Times New Roman" w:eastAsia="Times New Roman" w:hAnsi="Times New Roman" w:cs="Times New Roman"/>
          <w:color w:val="231F20"/>
          <w:sz w:val="24"/>
          <w:szCs w:val="24"/>
          <w:lang w:eastAsia="hr-HR"/>
        </w:rPr>
        <w:t>je fizička osoba koja obavlja samostalnu djelatnost ili pravna osoba, koju je angažiralo sanacijsko tijelo radi izrade neovisne procjene vrijednosti imovine i obveza institucije ili subjekta iz članka 3. točke 2., 3. ili 4. ovoga Zakona te koja je u skladu s odredbama Delegirane uredbe Komisije (EU) 2016/1075 neovisna i bez sukoba interesa u odnosu na naručitelja, druga sanacijska tijela, Ministarstvo financija i instituciju u sanaciji</w:t>
      </w:r>
    </w:p>
    <w:p w14:paraId="5D17A94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68. </w:t>
      </w:r>
      <w:r w:rsidRPr="000F0222">
        <w:rPr>
          <w:rFonts w:ascii="Times New Roman" w:eastAsia="Times New Roman" w:hAnsi="Times New Roman" w:cs="Times New Roman"/>
          <w:i/>
          <w:iCs/>
          <w:color w:val="231F20"/>
          <w:sz w:val="24"/>
          <w:szCs w:val="24"/>
          <w:bdr w:val="none" w:sz="0" w:space="0" w:color="auto" w:frame="1"/>
          <w:lang w:eastAsia="hr-HR"/>
        </w:rPr>
        <w:t>nepovlašteni neosigurani dužnički instrumenti </w:t>
      </w:r>
      <w:r w:rsidRPr="000F0222">
        <w:rPr>
          <w:rFonts w:ascii="Times New Roman" w:eastAsia="Times New Roman" w:hAnsi="Times New Roman" w:cs="Times New Roman"/>
          <w:color w:val="231F20"/>
          <w:sz w:val="24"/>
          <w:szCs w:val="24"/>
          <w:lang w:eastAsia="hr-HR"/>
        </w:rPr>
        <w:t>su obveznice i ostali oblici prenosivog duga te instrumenti koji stvaraju ili priznaju dug, koji dužnički instrumenti ispunjavaju uvjete iz članka 32. stavka 2. ovoga Zakona</w:t>
      </w:r>
    </w:p>
    <w:p w14:paraId="6FC5E07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69. </w:t>
      </w:r>
      <w:r w:rsidRPr="000F0222">
        <w:rPr>
          <w:rFonts w:ascii="Times New Roman" w:eastAsia="Times New Roman" w:hAnsi="Times New Roman" w:cs="Times New Roman"/>
          <w:i/>
          <w:iCs/>
          <w:color w:val="231F20"/>
          <w:sz w:val="24"/>
          <w:szCs w:val="24"/>
          <w:bdr w:val="none" w:sz="0" w:space="0" w:color="auto" w:frame="1"/>
          <w:lang w:eastAsia="hr-HR"/>
        </w:rPr>
        <w:t>nositelj upravljanja imovinom </w:t>
      </w:r>
      <w:r w:rsidRPr="000F0222">
        <w:rPr>
          <w:rFonts w:ascii="Times New Roman" w:eastAsia="Times New Roman" w:hAnsi="Times New Roman" w:cs="Times New Roman"/>
          <w:color w:val="231F20"/>
          <w:sz w:val="24"/>
          <w:szCs w:val="24"/>
          <w:lang w:eastAsia="hr-HR"/>
        </w:rPr>
        <w:t>je pravna osoba koja ispunjava zahtjeve iz članka 78. stavaka 3. i 4. ovoga Zakona</w:t>
      </w:r>
    </w:p>
    <w:p w14:paraId="1540D64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70. </w:t>
      </w:r>
      <w:r w:rsidRPr="000F0222">
        <w:rPr>
          <w:rFonts w:ascii="Times New Roman" w:eastAsia="Times New Roman" w:hAnsi="Times New Roman" w:cs="Times New Roman"/>
          <w:i/>
          <w:iCs/>
          <w:color w:val="231F20"/>
          <w:sz w:val="24"/>
          <w:szCs w:val="24"/>
          <w:bdr w:val="none" w:sz="0" w:space="0" w:color="auto" w:frame="1"/>
          <w:lang w:eastAsia="hr-HR"/>
        </w:rPr>
        <w:t>obveze podložne za unutarnju sanaciju </w:t>
      </w:r>
      <w:r w:rsidRPr="000F0222">
        <w:rPr>
          <w:rFonts w:ascii="Times New Roman" w:eastAsia="Times New Roman" w:hAnsi="Times New Roman" w:cs="Times New Roman"/>
          <w:color w:val="231F20"/>
          <w:sz w:val="24"/>
          <w:szCs w:val="24"/>
          <w:lang w:eastAsia="hr-HR"/>
        </w:rPr>
        <w:t>su obveze i instrumenti kapitala institucije ili subjekta iz članka 3. točke 2., 3. ili 4. ovoga Zakona koji nisu instrumenti redovnog osnovnog kapitala, dodatnog osnovnog kapitala ili dopunskog kapitala te koje obveze i instrumenti nisu isključeni iz područja primjene instrumenta unutarnje sanacije u skladu s člankom 80. stavkom 2. ovoga Zakona</w:t>
      </w:r>
    </w:p>
    <w:p w14:paraId="7369195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71. </w:t>
      </w:r>
      <w:r w:rsidRPr="000F0222">
        <w:rPr>
          <w:rFonts w:ascii="Times New Roman" w:eastAsia="Times New Roman" w:hAnsi="Times New Roman" w:cs="Times New Roman"/>
          <w:i/>
          <w:iCs/>
          <w:color w:val="231F20"/>
          <w:sz w:val="24"/>
          <w:szCs w:val="24"/>
          <w:bdr w:val="none" w:sz="0" w:space="0" w:color="auto" w:frame="1"/>
          <w:lang w:eastAsia="hr-HR"/>
        </w:rPr>
        <w:t>operater sustava </w:t>
      </w:r>
      <w:r w:rsidRPr="000F0222">
        <w:rPr>
          <w:rFonts w:ascii="Times New Roman" w:eastAsia="Times New Roman" w:hAnsi="Times New Roman" w:cs="Times New Roman"/>
          <w:color w:val="231F20"/>
          <w:sz w:val="24"/>
          <w:szCs w:val="24"/>
          <w:lang w:eastAsia="hr-HR"/>
        </w:rPr>
        <w:t>jest subjekt odgovoran za rad sustava koji može djelovati i kao agent za namiru, središnja druga ugovorna strana ili klirinška organizacija, a na način kako je uređeno zakonom koji uređuje konačnost namire u platnim sustavima i sustavima za namiru financijskih instrumenata</w:t>
      </w:r>
    </w:p>
    <w:p w14:paraId="21FD02C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72. </w:t>
      </w:r>
      <w:r w:rsidRPr="000F0222">
        <w:rPr>
          <w:rFonts w:ascii="Times New Roman" w:eastAsia="Times New Roman" w:hAnsi="Times New Roman" w:cs="Times New Roman"/>
          <w:i/>
          <w:iCs/>
          <w:color w:val="231F20"/>
          <w:sz w:val="24"/>
          <w:szCs w:val="24"/>
          <w:bdr w:val="none" w:sz="0" w:space="0" w:color="auto" w:frame="1"/>
          <w:lang w:eastAsia="hr-HR"/>
        </w:rPr>
        <w:t>osigurana obveza </w:t>
      </w:r>
      <w:r w:rsidRPr="000F0222">
        <w:rPr>
          <w:rFonts w:ascii="Times New Roman" w:eastAsia="Times New Roman" w:hAnsi="Times New Roman" w:cs="Times New Roman"/>
          <w:color w:val="231F20"/>
          <w:sz w:val="24"/>
          <w:szCs w:val="24"/>
          <w:lang w:eastAsia="hr-HR"/>
        </w:rPr>
        <w:t>je obveza kod koje je pravo vjerovnika na naplatu ili drugi oblik ispunjenja osigurano teretom, zalogom, založnim pravom ili ugovorom o financijskom osiguranju, uključujući prava koja proizlaze iz repo transakcija i drugih ugovora o financijskom osiguranju s pravom prijenosa vlasništva</w:t>
      </w:r>
    </w:p>
    <w:p w14:paraId="025F872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73. </w:t>
      </w:r>
      <w:r w:rsidRPr="000F0222">
        <w:rPr>
          <w:rFonts w:ascii="Times New Roman" w:eastAsia="Times New Roman" w:hAnsi="Times New Roman" w:cs="Times New Roman"/>
          <w:i/>
          <w:iCs/>
          <w:color w:val="231F20"/>
          <w:sz w:val="24"/>
          <w:szCs w:val="24"/>
          <w:bdr w:val="none" w:sz="0" w:space="0" w:color="auto" w:frame="1"/>
          <w:lang w:eastAsia="hr-HR"/>
        </w:rPr>
        <w:t>osigurani depozit </w:t>
      </w:r>
      <w:r w:rsidRPr="000F0222">
        <w:rPr>
          <w:rFonts w:ascii="Times New Roman" w:eastAsia="Times New Roman" w:hAnsi="Times New Roman" w:cs="Times New Roman"/>
          <w:color w:val="231F20"/>
          <w:sz w:val="24"/>
          <w:szCs w:val="24"/>
          <w:lang w:eastAsia="hr-HR"/>
        </w:rPr>
        <w:t>je dio podložnog depozita koji ne prelazi razinu pokrića, a u Republici Hrvatskoj kako je uređeno propisom kojim se uređuje osiguranje depozita</w:t>
      </w:r>
    </w:p>
    <w:p w14:paraId="25D078E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74. </w:t>
      </w:r>
      <w:r w:rsidRPr="000F0222">
        <w:rPr>
          <w:rFonts w:ascii="Times New Roman" w:eastAsia="Times New Roman" w:hAnsi="Times New Roman" w:cs="Times New Roman"/>
          <w:i/>
          <w:iCs/>
          <w:color w:val="231F20"/>
          <w:sz w:val="24"/>
          <w:szCs w:val="24"/>
          <w:bdr w:val="none" w:sz="0" w:space="0" w:color="auto" w:frame="1"/>
          <w:lang w:eastAsia="hr-HR"/>
        </w:rPr>
        <w:t>ovlast za sanaciju </w:t>
      </w:r>
      <w:r w:rsidRPr="000F0222">
        <w:rPr>
          <w:rFonts w:ascii="Times New Roman" w:eastAsia="Times New Roman" w:hAnsi="Times New Roman" w:cs="Times New Roman"/>
          <w:color w:val="231F20"/>
          <w:sz w:val="24"/>
          <w:szCs w:val="24"/>
          <w:lang w:eastAsia="hr-HR"/>
        </w:rPr>
        <w:t>kako je uređeno glavom X. ovoga Zakona</w:t>
      </w:r>
    </w:p>
    <w:p w14:paraId="49BADCF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75. </w:t>
      </w:r>
      <w:r w:rsidRPr="000F0222">
        <w:rPr>
          <w:rFonts w:ascii="Times New Roman" w:eastAsia="Times New Roman" w:hAnsi="Times New Roman" w:cs="Times New Roman"/>
          <w:i/>
          <w:iCs/>
          <w:color w:val="231F20"/>
          <w:sz w:val="24"/>
          <w:szCs w:val="24"/>
          <w:bdr w:val="none" w:sz="0" w:space="0" w:color="auto" w:frame="1"/>
          <w:lang w:eastAsia="hr-HR"/>
        </w:rPr>
        <w:t>ovlast za smanjenje vrijednosti i pretvaranje </w:t>
      </w:r>
      <w:r w:rsidRPr="000F0222">
        <w:rPr>
          <w:rFonts w:ascii="Times New Roman" w:eastAsia="Times New Roman" w:hAnsi="Times New Roman" w:cs="Times New Roman"/>
          <w:color w:val="231F20"/>
          <w:sz w:val="24"/>
          <w:szCs w:val="24"/>
          <w:lang w:eastAsia="hr-HR"/>
        </w:rPr>
        <w:t>kako je uređeno glavom VII. ovoga Zakona i člankom 97. stavkom 1. točkama 5. do 9. ovoga Zakona</w:t>
      </w:r>
    </w:p>
    <w:p w14:paraId="20BB85D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76. </w:t>
      </w:r>
      <w:r w:rsidRPr="000F0222">
        <w:rPr>
          <w:rFonts w:ascii="Times New Roman" w:eastAsia="Times New Roman" w:hAnsi="Times New Roman" w:cs="Times New Roman"/>
          <w:i/>
          <w:iCs/>
          <w:color w:val="231F20"/>
          <w:sz w:val="24"/>
          <w:szCs w:val="24"/>
          <w:bdr w:val="none" w:sz="0" w:space="0" w:color="auto" w:frame="1"/>
          <w:lang w:eastAsia="hr-HR"/>
        </w:rPr>
        <w:t>ovlasti za prijenos </w:t>
      </w:r>
      <w:r w:rsidRPr="000F0222">
        <w:rPr>
          <w:rFonts w:ascii="Times New Roman" w:eastAsia="Times New Roman" w:hAnsi="Times New Roman" w:cs="Times New Roman"/>
          <w:color w:val="231F20"/>
          <w:sz w:val="24"/>
          <w:szCs w:val="24"/>
          <w:lang w:eastAsia="hr-HR"/>
        </w:rPr>
        <w:t>su ovlasti definirane člankom 97. stavkom 1. točkom 3. ili 4. ovoga Zakona za prijenos dionica ili drugih vlasničkih instrumenata, dužničkih instrumenata, imovine, prava ili obveza ili bilo koje kombinacije ovih stavki s institucije u sanaciji na primatelja</w:t>
      </w:r>
    </w:p>
    <w:p w14:paraId="550A2C9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77. </w:t>
      </w:r>
      <w:r w:rsidRPr="000F0222">
        <w:rPr>
          <w:rFonts w:ascii="Times New Roman" w:eastAsia="Times New Roman" w:hAnsi="Times New Roman" w:cs="Times New Roman"/>
          <w:i/>
          <w:iCs/>
          <w:color w:val="231F20"/>
          <w:sz w:val="24"/>
          <w:szCs w:val="24"/>
          <w:bdr w:val="none" w:sz="0" w:space="0" w:color="auto" w:frame="1"/>
          <w:lang w:eastAsia="hr-HR"/>
        </w:rPr>
        <w:t>podložne obveze </w:t>
      </w:r>
      <w:r w:rsidRPr="000F0222">
        <w:rPr>
          <w:rFonts w:ascii="Times New Roman" w:eastAsia="Times New Roman" w:hAnsi="Times New Roman" w:cs="Times New Roman"/>
          <w:color w:val="231F20"/>
          <w:sz w:val="24"/>
          <w:szCs w:val="24"/>
          <w:lang w:eastAsia="hr-HR"/>
        </w:rPr>
        <w:t>su obveze podložne za unutarnju sanaciju koje ispunjavaju, ovisno o tome što je primjenjivo, uvjete iz članka 30. ili članka 31. stavka 2. ovoga Zakona te instrumenti dopunskog kapitala koji ispunjavaju uvjete iz članka 72.a stavka 1. točke b) Uredbe (EU) br. 575/2013</w:t>
      </w:r>
    </w:p>
    <w:p w14:paraId="025EAD5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78. </w:t>
      </w:r>
      <w:r w:rsidRPr="000F0222">
        <w:rPr>
          <w:rFonts w:ascii="Times New Roman" w:eastAsia="Times New Roman" w:hAnsi="Times New Roman" w:cs="Times New Roman"/>
          <w:i/>
          <w:iCs/>
          <w:color w:val="231F20"/>
          <w:sz w:val="24"/>
          <w:szCs w:val="24"/>
          <w:bdr w:val="none" w:sz="0" w:space="0" w:color="auto" w:frame="1"/>
          <w:lang w:eastAsia="hr-HR"/>
        </w:rPr>
        <w:t>podložni depoziti </w:t>
      </w:r>
      <w:r w:rsidRPr="000F0222">
        <w:rPr>
          <w:rFonts w:ascii="Times New Roman" w:eastAsia="Times New Roman" w:hAnsi="Times New Roman" w:cs="Times New Roman"/>
          <w:color w:val="231F20"/>
          <w:sz w:val="24"/>
          <w:szCs w:val="24"/>
          <w:lang w:eastAsia="hr-HR"/>
        </w:rPr>
        <w:t>su depoziti koji podliježu osiguranju odnosno koji nisu isključeni od bilo kakve isplate od strane sustava osiguranja depozita, a u Republici Hrvatskoj kako je uređeno propisom kojim se uređuje osiguranje depozita</w:t>
      </w:r>
    </w:p>
    <w:p w14:paraId="052D042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79. </w:t>
      </w:r>
      <w:r w:rsidRPr="000F0222">
        <w:rPr>
          <w:rFonts w:ascii="Times New Roman" w:eastAsia="Times New Roman" w:hAnsi="Times New Roman" w:cs="Times New Roman"/>
          <w:i/>
          <w:iCs/>
          <w:color w:val="231F20"/>
          <w:sz w:val="24"/>
          <w:szCs w:val="24"/>
          <w:bdr w:val="none" w:sz="0" w:space="0" w:color="auto" w:frame="1"/>
          <w:lang w:eastAsia="hr-HR"/>
        </w:rPr>
        <w:t>podređeni podložni instrumenti </w:t>
      </w:r>
      <w:r w:rsidRPr="000F0222">
        <w:rPr>
          <w:rFonts w:ascii="Times New Roman" w:eastAsia="Times New Roman" w:hAnsi="Times New Roman" w:cs="Times New Roman"/>
          <w:color w:val="231F20"/>
          <w:sz w:val="24"/>
          <w:szCs w:val="24"/>
          <w:lang w:eastAsia="hr-HR"/>
        </w:rPr>
        <w:t>su instrumenti koji ispunjavaju uvjete utvrđene člankom 72.a Uredbe (EU) br. 575/2013, osim članka 72.b stavaka 3. do 5. Uredbe (EU) br. 575/2013</w:t>
      </w:r>
    </w:p>
    <w:p w14:paraId="2B05175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80. </w:t>
      </w:r>
      <w:r w:rsidRPr="000F0222">
        <w:rPr>
          <w:rFonts w:ascii="Times New Roman" w:eastAsia="Times New Roman" w:hAnsi="Times New Roman" w:cs="Times New Roman"/>
          <w:i/>
          <w:iCs/>
          <w:color w:val="231F20"/>
          <w:sz w:val="24"/>
          <w:szCs w:val="24"/>
          <w:bdr w:val="none" w:sz="0" w:space="0" w:color="auto" w:frame="1"/>
          <w:lang w:eastAsia="hr-HR"/>
        </w:rPr>
        <w:t>podružnica </w:t>
      </w:r>
      <w:r w:rsidRPr="000F0222">
        <w:rPr>
          <w:rFonts w:ascii="Times New Roman" w:eastAsia="Times New Roman" w:hAnsi="Times New Roman" w:cs="Times New Roman"/>
          <w:color w:val="231F20"/>
          <w:sz w:val="24"/>
          <w:szCs w:val="24"/>
          <w:lang w:eastAsia="hr-HR"/>
        </w:rPr>
        <w:t>kako je uređeno člankom 4. stavkom 1. točkom 17. Uredbe (EU) br. 575/2013</w:t>
      </w:r>
    </w:p>
    <w:p w14:paraId="7D5C9CB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81. </w:t>
      </w:r>
      <w:r w:rsidRPr="000F0222">
        <w:rPr>
          <w:rFonts w:ascii="Times New Roman" w:eastAsia="Times New Roman" w:hAnsi="Times New Roman" w:cs="Times New Roman"/>
          <w:i/>
          <w:iCs/>
          <w:color w:val="231F20"/>
          <w:sz w:val="24"/>
          <w:szCs w:val="24"/>
          <w:bdr w:val="none" w:sz="0" w:space="0" w:color="auto" w:frame="1"/>
          <w:lang w:eastAsia="hr-HR"/>
        </w:rPr>
        <w:t>pogođeni imatelj </w:t>
      </w:r>
      <w:r w:rsidRPr="000F0222">
        <w:rPr>
          <w:rFonts w:ascii="Times New Roman" w:eastAsia="Times New Roman" w:hAnsi="Times New Roman" w:cs="Times New Roman"/>
          <w:color w:val="231F20"/>
          <w:sz w:val="24"/>
          <w:szCs w:val="24"/>
          <w:lang w:eastAsia="hr-HR"/>
        </w:rPr>
        <w:t>je imatelj dionica ili drugog vlasničkog instrumenta čiji se vlasnički instrument povlači u skladu s ovlasti iz članka 97. stavka 1. točke 8. ovoga Zakona</w:t>
      </w:r>
    </w:p>
    <w:p w14:paraId="64F5E83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82. </w:t>
      </w:r>
      <w:r w:rsidRPr="000F0222">
        <w:rPr>
          <w:rFonts w:ascii="Times New Roman" w:eastAsia="Times New Roman" w:hAnsi="Times New Roman" w:cs="Times New Roman"/>
          <w:i/>
          <w:iCs/>
          <w:color w:val="231F20"/>
          <w:sz w:val="24"/>
          <w:szCs w:val="24"/>
          <w:bdr w:val="none" w:sz="0" w:space="0" w:color="auto" w:frame="1"/>
          <w:lang w:eastAsia="hr-HR"/>
        </w:rPr>
        <w:t>pogođeni vjerovnik </w:t>
      </w:r>
      <w:r w:rsidRPr="000F0222">
        <w:rPr>
          <w:rFonts w:ascii="Times New Roman" w:eastAsia="Times New Roman" w:hAnsi="Times New Roman" w:cs="Times New Roman"/>
          <w:color w:val="231F20"/>
          <w:sz w:val="24"/>
          <w:szCs w:val="24"/>
          <w:lang w:eastAsia="hr-HR"/>
        </w:rPr>
        <w:t>je vjerovnik čija je tražbina povezana s obvezom koja je smanjena ili pretvorena u dionicu ili drugi vlasnički instrument provedbom ovlasti za smanjenje vrijednosti ili pretvaranje kao samostalnom mjerom ili kroz primjenu instrumenta unutarnje sanacije</w:t>
      </w:r>
    </w:p>
    <w:p w14:paraId="48D9AD3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83. </w:t>
      </w:r>
      <w:r w:rsidRPr="000F0222">
        <w:rPr>
          <w:rFonts w:ascii="Times New Roman" w:eastAsia="Times New Roman" w:hAnsi="Times New Roman" w:cs="Times New Roman"/>
          <w:i/>
          <w:iCs/>
          <w:color w:val="231F20"/>
          <w:sz w:val="24"/>
          <w:szCs w:val="24"/>
          <w:bdr w:val="none" w:sz="0" w:space="0" w:color="auto" w:frame="1"/>
          <w:lang w:eastAsia="hr-HR"/>
        </w:rPr>
        <w:t>pokrivene obveznice </w:t>
      </w:r>
      <w:r w:rsidRPr="000F0222">
        <w:rPr>
          <w:rFonts w:ascii="Times New Roman" w:eastAsia="Times New Roman" w:hAnsi="Times New Roman" w:cs="Times New Roman"/>
          <w:color w:val="231F20"/>
          <w:sz w:val="24"/>
          <w:szCs w:val="24"/>
          <w:lang w:eastAsia="hr-HR"/>
        </w:rPr>
        <w:t>su obveznice koje zadovoljavaju propisane uvjete za pokrivene obveznice, a koje izdaje kreditna institucija koja ima registrirano sjedište u državi članici i koja je, prema zakonu, predmet posebnog javnog nadzora kojemu je svrha zaštita imatelja obveznica, a u Republici Hrvatskoj kako je uređeno propisom kojim se uređuje izdavanje i nadzor pokrivenih obveznica</w:t>
      </w:r>
    </w:p>
    <w:p w14:paraId="61D6014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84. </w:t>
      </w:r>
      <w:r w:rsidRPr="000F0222">
        <w:rPr>
          <w:rFonts w:ascii="Times New Roman" w:eastAsia="Times New Roman" w:hAnsi="Times New Roman" w:cs="Times New Roman"/>
          <w:i/>
          <w:iCs/>
          <w:color w:val="231F20"/>
          <w:sz w:val="24"/>
          <w:szCs w:val="24"/>
          <w:bdr w:val="none" w:sz="0" w:space="0" w:color="auto" w:frame="1"/>
          <w:lang w:eastAsia="hr-HR"/>
        </w:rPr>
        <w:t>potkonsolidirana osnova </w:t>
      </w:r>
      <w:r w:rsidRPr="000F0222">
        <w:rPr>
          <w:rFonts w:ascii="Times New Roman" w:eastAsia="Times New Roman" w:hAnsi="Times New Roman" w:cs="Times New Roman"/>
          <w:color w:val="231F20"/>
          <w:sz w:val="24"/>
          <w:szCs w:val="24"/>
          <w:lang w:eastAsia="hr-HR"/>
        </w:rPr>
        <w:t>kako je uređeno člankom 4. stavkom 1. točkom 49. Uredbe (EU) br. 575/2013</w:t>
      </w:r>
    </w:p>
    <w:p w14:paraId="69FBB76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84.a </w:t>
      </w:r>
      <w:r w:rsidRPr="000F0222">
        <w:rPr>
          <w:rFonts w:ascii="Times New Roman" w:eastAsia="Times New Roman" w:hAnsi="Times New Roman" w:cs="Times New Roman"/>
          <w:i/>
          <w:iCs/>
          <w:color w:val="231F20"/>
          <w:sz w:val="24"/>
          <w:szCs w:val="24"/>
          <w:lang w:eastAsia="hr-HR"/>
        </w:rPr>
        <w:t>potrošač</w:t>
      </w:r>
      <w:r w:rsidRPr="000F0222">
        <w:rPr>
          <w:rFonts w:ascii="Times New Roman" w:eastAsia="Times New Roman" w:hAnsi="Times New Roman" w:cs="Times New Roman"/>
          <w:color w:val="231F20"/>
          <w:sz w:val="24"/>
          <w:szCs w:val="24"/>
          <w:lang w:eastAsia="hr-HR"/>
        </w:rPr>
        <w:t xml:space="preserve"> je svaka fizička osoba koja sklapa pravni posao ili djeluje na tržištu izvan svoje trgovačke, poslovne, obrtničke ili profesionalne djelatnosti</w:t>
      </w:r>
    </w:p>
    <w:p w14:paraId="78B8474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85. </w:t>
      </w:r>
      <w:r w:rsidRPr="000F0222">
        <w:rPr>
          <w:rFonts w:ascii="Times New Roman" w:eastAsia="Times New Roman" w:hAnsi="Times New Roman" w:cs="Times New Roman"/>
          <w:i/>
          <w:iCs/>
          <w:color w:val="231F20"/>
          <w:sz w:val="24"/>
          <w:szCs w:val="24"/>
          <w:bdr w:val="none" w:sz="0" w:space="0" w:color="auto" w:frame="1"/>
          <w:lang w:eastAsia="hr-HR"/>
        </w:rPr>
        <w:t>pravni akti Jedinstvenog sanacijskog odbora </w:t>
      </w:r>
      <w:r w:rsidRPr="000F0222">
        <w:rPr>
          <w:rFonts w:ascii="Times New Roman" w:eastAsia="Times New Roman" w:hAnsi="Times New Roman" w:cs="Times New Roman"/>
          <w:color w:val="231F20"/>
          <w:sz w:val="24"/>
          <w:szCs w:val="24"/>
          <w:lang w:eastAsia="hr-HR"/>
        </w:rPr>
        <w:t>su odluke, upute, smjernice, preporuke i upozorenja koje Jedinstveni sanacijski odbor donosi temeljem ovlasti iz Uredbe (EU) br. 806/2014</w:t>
      </w:r>
    </w:p>
    <w:p w14:paraId="5094677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86. </w:t>
      </w:r>
      <w:r w:rsidRPr="000F0222">
        <w:rPr>
          <w:rFonts w:ascii="Times New Roman" w:eastAsia="Times New Roman" w:hAnsi="Times New Roman" w:cs="Times New Roman"/>
          <w:i/>
          <w:iCs/>
          <w:color w:val="231F20"/>
          <w:sz w:val="24"/>
          <w:szCs w:val="24"/>
          <w:bdr w:val="none" w:sz="0" w:space="0" w:color="auto" w:frame="1"/>
          <w:lang w:eastAsia="hr-HR"/>
        </w:rPr>
        <w:t>pravni okvir Unije za državne potpore </w:t>
      </w:r>
      <w:r w:rsidRPr="000F0222">
        <w:rPr>
          <w:rFonts w:ascii="Times New Roman" w:eastAsia="Times New Roman" w:hAnsi="Times New Roman" w:cs="Times New Roman"/>
          <w:color w:val="231F20"/>
          <w:sz w:val="24"/>
          <w:szCs w:val="24"/>
          <w:lang w:eastAsia="hr-HR"/>
        </w:rPr>
        <w:t>kako je uređeno člancima 107., 108. i 109. UFEU-a te uredbama i svim aktima Europske unije, uključujući komunikacije i obavijesti sastavljene ili donesene u skladu s člankom 108. stavkom 4. ili člankom 109. UFEU-a</w:t>
      </w:r>
    </w:p>
    <w:p w14:paraId="6851D18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87. </w:t>
      </w:r>
      <w:r w:rsidRPr="000F0222">
        <w:rPr>
          <w:rFonts w:ascii="Times New Roman" w:eastAsia="Times New Roman" w:hAnsi="Times New Roman" w:cs="Times New Roman"/>
          <w:i/>
          <w:iCs/>
          <w:color w:val="231F20"/>
          <w:sz w:val="24"/>
          <w:szCs w:val="24"/>
          <w:bdr w:val="none" w:sz="0" w:space="0" w:color="auto" w:frame="1"/>
          <w:lang w:eastAsia="hr-HR"/>
        </w:rPr>
        <w:t>pravo otkaza </w:t>
      </w:r>
      <w:r w:rsidRPr="000F0222">
        <w:rPr>
          <w:rFonts w:ascii="Times New Roman" w:eastAsia="Times New Roman" w:hAnsi="Times New Roman" w:cs="Times New Roman"/>
          <w:color w:val="231F20"/>
          <w:sz w:val="24"/>
          <w:szCs w:val="24"/>
          <w:lang w:eastAsia="hr-HR"/>
        </w:rPr>
        <w:t>je pravo na otkaz ili raskid ugovora, pravo na prijevremeno ispunjenje,  prijeboj ili netiranje obveze ili bilo koja slična odredba kojom se suspendira, mijenja ili gasi neka obveza ugovorne strane ili odredba kojom se sprječava nastanak neke obveze iz ugovora koja bi inače nastala</w:t>
      </w:r>
    </w:p>
    <w:p w14:paraId="25E0736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88. </w:t>
      </w:r>
      <w:r w:rsidRPr="000F0222">
        <w:rPr>
          <w:rFonts w:ascii="Times New Roman" w:eastAsia="Times New Roman" w:hAnsi="Times New Roman" w:cs="Times New Roman"/>
          <w:i/>
          <w:iCs/>
          <w:color w:val="231F20"/>
          <w:sz w:val="24"/>
          <w:szCs w:val="24"/>
          <w:bdr w:val="none" w:sz="0" w:space="0" w:color="auto" w:frame="1"/>
          <w:lang w:eastAsia="hr-HR"/>
        </w:rPr>
        <w:t>prekogranična grupa </w:t>
      </w:r>
      <w:r w:rsidRPr="000F0222">
        <w:rPr>
          <w:rFonts w:ascii="Times New Roman" w:eastAsia="Times New Roman" w:hAnsi="Times New Roman" w:cs="Times New Roman"/>
          <w:color w:val="231F20"/>
          <w:sz w:val="24"/>
          <w:szCs w:val="24"/>
          <w:lang w:eastAsia="hr-HR"/>
        </w:rPr>
        <w:t>je grupa koja ima članice grupe s poslovnim nastanom u više od jedne države članice</w:t>
      </w:r>
    </w:p>
    <w:p w14:paraId="2EB7E8D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89. </w:t>
      </w:r>
      <w:r w:rsidRPr="000F0222">
        <w:rPr>
          <w:rFonts w:ascii="Times New Roman" w:eastAsia="Times New Roman" w:hAnsi="Times New Roman" w:cs="Times New Roman"/>
          <w:i/>
          <w:iCs/>
          <w:color w:val="231F20"/>
          <w:sz w:val="24"/>
          <w:szCs w:val="24"/>
          <w:bdr w:val="none" w:sz="0" w:space="0" w:color="auto" w:frame="1"/>
          <w:lang w:eastAsia="hr-HR"/>
        </w:rPr>
        <w:t>prestanak poslovanja </w:t>
      </w:r>
      <w:r w:rsidRPr="000F0222">
        <w:rPr>
          <w:rFonts w:ascii="Times New Roman" w:eastAsia="Times New Roman" w:hAnsi="Times New Roman" w:cs="Times New Roman"/>
          <w:color w:val="231F20"/>
          <w:sz w:val="24"/>
          <w:szCs w:val="24"/>
          <w:lang w:eastAsia="hr-HR"/>
        </w:rPr>
        <w:t>je unovčenje i podjela imovine institucije ili subjekta iz članka 3. točke 2., 3. ili 4. ovoga Zakona</w:t>
      </w:r>
    </w:p>
    <w:p w14:paraId="606C89A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90. </w:t>
      </w:r>
      <w:r w:rsidRPr="000F0222">
        <w:rPr>
          <w:rFonts w:ascii="Times New Roman" w:eastAsia="Times New Roman" w:hAnsi="Times New Roman" w:cs="Times New Roman"/>
          <w:i/>
          <w:iCs/>
          <w:color w:val="231F20"/>
          <w:sz w:val="24"/>
          <w:szCs w:val="24"/>
          <w:bdr w:val="none" w:sz="0" w:space="0" w:color="auto" w:frame="1"/>
          <w:lang w:eastAsia="hr-HR"/>
        </w:rPr>
        <w:t>prijelazna institucija </w:t>
      </w:r>
      <w:r w:rsidRPr="000F0222">
        <w:rPr>
          <w:rFonts w:ascii="Times New Roman" w:eastAsia="Times New Roman" w:hAnsi="Times New Roman" w:cs="Times New Roman"/>
          <w:color w:val="231F20"/>
          <w:sz w:val="24"/>
          <w:szCs w:val="24"/>
          <w:lang w:eastAsia="hr-HR"/>
        </w:rPr>
        <w:t>je pravna osoba koja ispunjava zahtjeve utvrđene u članku 73. ovoga Zakona</w:t>
      </w:r>
    </w:p>
    <w:p w14:paraId="3EEA783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91. </w:t>
      </w:r>
      <w:r w:rsidRPr="000F0222">
        <w:rPr>
          <w:rFonts w:ascii="Times New Roman" w:eastAsia="Times New Roman" w:hAnsi="Times New Roman" w:cs="Times New Roman"/>
          <w:i/>
          <w:iCs/>
          <w:color w:val="231F20"/>
          <w:sz w:val="24"/>
          <w:szCs w:val="24"/>
          <w:bdr w:val="none" w:sz="0" w:space="0" w:color="auto" w:frame="1"/>
          <w:lang w:eastAsia="hr-HR"/>
        </w:rPr>
        <w:t>primatelj </w:t>
      </w:r>
      <w:r w:rsidRPr="000F0222">
        <w:rPr>
          <w:rFonts w:ascii="Times New Roman" w:eastAsia="Times New Roman" w:hAnsi="Times New Roman" w:cs="Times New Roman"/>
          <w:color w:val="231F20"/>
          <w:sz w:val="24"/>
          <w:szCs w:val="24"/>
          <w:lang w:eastAsia="hr-HR"/>
        </w:rPr>
        <w:t>je subjekt na kojeg se prenosi dionica ili drugi vlasnički instrument, dužnički instrument, imovina, prava, obveze ili bilo koja kombinacija tih stavki s institucije u sanaciji</w:t>
      </w:r>
    </w:p>
    <w:p w14:paraId="4412523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92. </w:t>
      </w:r>
      <w:r w:rsidRPr="000F0222">
        <w:rPr>
          <w:rFonts w:ascii="Times New Roman" w:eastAsia="Times New Roman" w:hAnsi="Times New Roman" w:cs="Times New Roman"/>
          <w:i/>
          <w:iCs/>
          <w:color w:val="231F20"/>
          <w:sz w:val="24"/>
          <w:szCs w:val="24"/>
          <w:bdr w:val="none" w:sz="0" w:space="0" w:color="auto" w:frame="1"/>
          <w:lang w:eastAsia="hr-HR"/>
        </w:rPr>
        <w:t>radni dan </w:t>
      </w:r>
      <w:r w:rsidRPr="000F0222">
        <w:rPr>
          <w:rFonts w:ascii="Times New Roman" w:eastAsia="Times New Roman" w:hAnsi="Times New Roman" w:cs="Times New Roman"/>
          <w:color w:val="231F20"/>
          <w:sz w:val="24"/>
          <w:szCs w:val="24"/>
          <w:lang w:eastAsia="hr-HR"/>
        </w:rPr>
        <w:t>je bilo koji dan osim subote, nedjelje ili blagdana u Republici Hrvatskoj</w:t>
      </w:r>
    </w:p>
    <w:p w14:paraId="0DE99E7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93. </w:t>
      </w:r>
      <w:r w:rsidRPr="000F0222">
        <w:rPr>
          <w:rFonts w:ascii="Times New Roman" w:eastAsia="Times New Roman" w:hAnsi="Times New Roman" w:cs="Times New Roman"/>
          <w:i/>
          <w:iCs/>
          <w:color w:val="231F20"/>
          <w:sz w:val="24"/>
          <w:szCs w:val="24"/>
          <w:bdr w:val="none" w:sz="0" w:space="0" w:color="auto" w:frame="1"/>
          <w:lang w:eastAsia="hr-HR"/>
        </w:rPr>
        <w:t>redovni osnovni kapital </w:t>
      </w:r>
      <w:r w:rsidRPr="000F0222">
        <w:rPr>
          <w:rFonts w:ascii="Times New Roman" w:eastAsia="Times New Roman" w:hAnsi="Times New Roman" w:cs="Times New Roman"/>
          <w:color w:val="231F20"/>
          <w:sz w:val="24"/>
          <w:szCs w:val="24"/>
          <w:lang w:eastAsia="hr-HR"/>
        </w:rPr>
        <w:t>kako je uređeno člankom 50. Uredbe (EU) br. 575/2013</w:t>
      </w:r>
    </w:p>
    <w:p w14:paraId="5672015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94. </w:t>
      </w:r>
      <w:r w:rsidRPr="000F0222">
        <w:rPr>
          <w:rFonts w:ascii="Times New Roman" w:eastAsia="Times New Roman" w:hAnsi="Times New Roman" w:cs="Times New Roman"/>
          <w:i/>
          <w:iCs/>
          <w:color w:val="231F20"/>
          <w:sz w:val="24"/>
          <w:szCs w:val="24"/>
          <w:bdr w:val="none" w:sz="0" w:space="0" w:color="auto" w:frame="1"/>
          <w:lang w:eastAsia="hr-HR"/>
        </w:rPr>
        <w:t>redovni postupak zbog insolventnosti </w:t>
      </w:r>
      <w:r w:rsidRPr="000F0222">
        <w:rPr>
          <w:rFonts w:ascii="Times New Roman" w:eastAsia="Times New Roman" w:hAnsi="Times New Roman" w:cs="Times New Roman"/>
          <w:color w:val="231F20"/>
          <w:sz w:val="24"/>
          <w:szCs w:val="24"/>
          <w:lang w:eastAsia="hr-HR"/>
        </w:rPr>
        <w:t>je postupak zbog insolventnosti koji dovodi do djelomične ili potpune prodaje imovine dužnika i imenovanja likvidatora ili stečajnog upravitelja, koji se uobičajeno primjenjuje na institucije prema nacionalnom pravu te se ili zasebno primjenjuju na te institucije ili se općenito primjenjuje za svaku fizičku ili pravnu osobu, a u Republici Hrvatskoj je to stečajni postupak odnosno postupak prisilne likvidacije</w:t>
      </w:r>
    </w:p>
    <w:p w14:paraId="6EA96D7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95. </w:t>
      </w:r>
      <w:r w:rsidRPr="000F0222">
        <w:rPr>
          <w:rFonts w:ascii="Times New Roman" w:eastAsia="Times New Roman" w:hAnsi="Times New Roman" w:cs="Times New Roman"/>
          <w:i/>
          <w:iCs/>
          <w:color w:val="231F20"/>
          <w:sz w:val="24"/>
          <w:szCs w:val="24"/>
          <w:bdr w:val="none" w:sz="0" w:space="0" w:color="auto" w:frame="1"/>
          <w:lang w:eastAsia="hr-HR"/>
        </w:rPr>
        <w:t>regulatorni kapital </w:t>
      </w:r>
      <w:r w:rsidRPr="000F0222">
        <w:rPr>
          <w:rFonts w:ascii="Times New Roman" w:eastAsia="Times New Roman" w:hAnsi="Times New Roman" w:cs="Times New Roman"/>
          <w:color w:val="231F20"/>
          <w:sz w:val="24"/>
          <w:szCs w:val="24"/>
          <w:lang w:eastAsia="hr-HR"/>
        </w:rPr>
        <w:t>kako je uređeno člankom 4. stavkom 1. točkom 118. Uredbe (EU) br. 575/2013</w:t>
      </w:r>
    </w:p>
    <w:p w14:paraId="74D8934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96. </w:t>
      </w:r>
      <w:r w:rsidRPr="000F0222">
        <w:rPr>
          <w:rFonts w:ascii="Times New Roman" w:eastAsia="Times New Roman" w:hAnsi="Times New Roman" w:cs="Times New Roman"/>
          <w:i/>
          <w:iCs/>
          <w:color w:val="231F20"/>
          <w:sz w:val="24"/>
          <w:szCs w:val="24"/>
          <w:bdr w:val="none" w:sz="0" w:space="0" w:color="auto" w:frame="1"/>
          <w:lang w:eastAsia="hr-HR"/>
        </w:rPr>
        <w:t>relevantna matična institucija </w:t>
      </w:r>
      <w:r w:rsidRPr="000F0222">
        <w:rPr>
          <w:rFonts w:ascii="Times New Roman" w:eastAsia="Times New Roman" w:hAnsi="Times New Roman" w:cs="Times New Roman"/>
          <w:color w:val="231F20"/>
          <w:sz w:val="24"/>
          <w:szCs w:val="24"/>
          <w:lang w:eastAsia="hr-HR"/>
        </w:rPr>
        <w:t>je matična institucija u Republici Hrvatskoj, matična institucija u Europskoj uniji, financijski holding, mješoviti financijski holding, mješoviti holding, matični financijski holding u Republici Hrvatskoj, matični financijski holding u Europskoj uniji, mješoviti matični holding u Republici Hrvatskoj ili mješoviti matični holding u Europskoj uniji, u vezi s kojima se primjenjuje instrument unutarnje sanacije</w:t>
      </w:r>
    </w:p>
    <w:p w14:paraId="3396846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97. </w:t>
      </w:r>
      <w:r w:rsidRPr="000F0222">
        <w:rPr>
          <w:rFonts w:ascii="Times New Roman" w:eastAsia="Times New Roman" w:hAnsi="Times New Roman" w:cs="Times New Roman"/>
          <w:i/>
          <w:iCs/>
          <w:color w:val="231F20"/>
          <w:sz w:val="24"/>
          <w:szCs w:val="24"/>
          <w:bdr w:val="none" w:sz="0" w:space="0" w:color="auto" w:frame="1"/>
          <w:lang w:eastAsia="hr-HR"/>
        </w:rPr>
        <w:t>relevantni instrumenti kapitala </w:t>
      </w:r>
      <w:r w:rsidRPr="000F0222">
        <w:rPr>
          <w:rFonts w:ascii="Times New Roman" w:eastAsia="Times New Roman" w:hAnsi="Times New Roman" w:cs="Times New Roman"/>
          <w:color w:val="231F20"/>
          <w:sz w:val="24"/>
          <w:szCs w:val="24"/>
          <w:lang w:eastAsia="hr-HR"/>
        </w:rPr>
        <w:t>u smislu odredbi glave IX.5 ovoga Zakona su instrumenti dodatnog osnovnog kapitala i instrumenti dopunskog kapitala</w:t>
      </w:r>
    </w:p>
    <w:p w14:paraId="306312A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98. </w:t>
      </w:r>
      <w:r w:rsidRPr="000F0222">
        <w:rPr>
          <w:rFonts w:ascii="Times New Roman" w:eastAsia="Times New Roman" w:hAnsi="Times New Roman" w:cs="Times New Roman"/>
          <w:i/>
          <w:iCs/>
          <w:color w:val="231F20"/>
          <w:sz w:val="24"/>
          <w:szCs w:val="24"/>
          <w:bdr w:val="none" w:sz="0" w:space="0" w:color="auto" w:frame="1"/>
          <w:lang w:eastAsia="hr-HR"/>
        </w:rPr>
        <w:t>relevantno tijelo treće zemlje </w:t>
      </w:r>
      <w:r w:rsidRPr="000F0222">
        <w:rPr>
          <w:rFonts w:ascii="Times New Roman" w:eastAsia="Times New Roman" w:hAnsi="Times New Roman" w:cs="Times New Roman"/>
          <w:color w:val="231F20"/>
          <w:sz w:val="24"/>
          <w:szCs w:val="24"/>
          <w:lang w:eastAsia="hr-HR"/>
        </w:rPr>
        <w:t>je tijelo treće zemlje odgovorno za provođenje ovlasti usporedivih s ovlastima sanacijskih ili nadležnih tijela u skladu s ovim Zakonom te s ovlastima nadležnih tijela u skladu s propisom kojim se uređuje poslovanje kreditnih institucija odnosno propisom kojim se uređuje tržište kapitala u dijelu izdavanja odobrenja za sklapanje sporazuma o financijskoj potpori grupe i davanje financijske potpore te mjera za sprječavanje krize</w:t>
      </w:r>
    </w:p>
    <w:p w14:paraId="63CF6E5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99. </w:t>
      </w:r>
      <w:r w:rsidRPr="000F0222">
        <w:rPr>
          <w:rFonts w:ascii="Times New Roman" w:eastAsia="Times New Roman" w:hAnsi="Times New Roman" w:cs="Times New Roman"/>
          <w:i/>
          <w:iCs/>
          <w:color w:val="231F20"/>
          <w:sz w:val="24"/>
          <w:szCs w:val="24"/>
          <w:bdr w:val="none" w:sz="0" w:space="0" w:color="auto" w:frame="1"/>
          <w:lang w:eastAsia="hr-HR"/>
        </w:rPr>
        <w:t>sanacija </w:t>
      </w:r>
      <w:r w:rsidRPr="000F0222">
        <w:rPr>
          <w:rFonts w:ascii="Times New Roman" w:eastAsia="Times New Roman" w:hAnsi="Times New Roman" w:cs="Times New Roman"/>
          <w:color w:val="231F20"/>
          <w:sz w:val="24"/>
          <w:szCs w:val="24"/>
          <w:lang w:eastAsia="hr-HR"/>
        </w:rPr>
        <w:t>je primjena instrumenta sanacije kako bi se postigao najmanje jedan od ciljeva sanacije iz članka 6. ovoga Zakona</w:t>
      </w:r>
    </w:p>
    <w:p w14:paraId="27C8684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100. </w:t>
      </w:r>
      <w:r w:rsidRPr="000F0222">
        <w:rPr>
          <w:rFonts w:ascii="Times New Roman" w:eastAsia="Times New Roman" w:hAnsi="Times New Roman" w:cs="Times New Roman"/>
          <w:i/>
          <w:iCs/>
          <w:color w:val="231F20"/>
          <w:sz w:val="24"/>
          <w:szCs w:val="24"/>
          <w:bdr w:val="none" w:sz="0" w:space="0" w:color="auto" w:frame="1"/>
          <w:lang w:eastAsia="hr-HR"/>
        </w:rPr>
        <w:t>sanacija grupe </w:t>
      </w:r>
      <w:r w:rsidRPr="000F0222">
        <w:rPr>
          <w:rFonts w:ascii="Times New Roman" w:eastAsia="Times New Roman" w:hAnsi="Times New Roman" w:cs="Times New Roman"/>
          <w:color w:val="231F20"/>
          <w:sz w:val="24"/>
          <w:szCs w:val="24"/>
          <w:lang w:eastAsia="hr-HR"/>
        </w:rPr>
        <w:t>je:</w:t>
      </w:r>
    </w:p>
    <w:p w14:paraId="4E563F5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poduzimanje sanacijskih mjera na razini matičnog društva ili institucije koja podliježe superviziji odnosno nadzoru na konsolidiranoj osnovi ili</w:t>
      </w:r>
    </w:p>
    <w:p w14:paraId="5DC9DA7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b) koordinacija primjene sanacijskih instrumenata i provedba sanacijskih ovlasti sanacijskih tijela u odnosu na članice grupe koji ispunjavaju uvjete za sanaciju</w:t>
      </w:r>
    </w:p>
    <w:p w14:paraId="23CF78A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101. </w:t>
      </w:r>
      <w:r w:rsidRPr="000F0222">
        <w:rPr>
          <w:rFonts w:ascii="Times New Roman" w:eastAsia="Times New Roman" w:hAnsi="Times New Roman" w:cs="Times New Roman"/>
          <w:i/>
          <w:iCs/>
          <w:color w:val="231F20"/>
          <w:sz w:val="24"/>
          <w:szCs w:val="24"/>
          <w:bdr w:val="none" w:sz="0" w:space="0" w:color="auto" w:frame="1"/>
          <w:lang w:eastAsia="hr-HR"/>
        </w:rPr>
        <w:t>sanacijska grupa </w:t>
      </w:r>
      <w:r w:rsidRPr="000F0222">
        <w:rPr>
          <w:rFonts w:ascii="Times New Roman" w:eastAsia="Times New Roman" w:hAnsi="Times New Roman" w:cs="Times New Roman"/>
          <w:color w:val="231F20"/>
          <w:sz w:val="24"/>
          <w:szCs w:val="24"/>
          <w:lang w:eastAsia="hr-HR"/>
        </w:rPr>
        <w:t>je grupa koju čine sanacijski subjekt i njegova društva kćeri koja nisu:</w:t>
      </w:r>
    </w:p>
    <w:p w14:paraId="69545B95"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sama po sebi sanacijski subjekti</w:t>
      </w:r>
    </w:p>
    <w:p w14:paraId="644A56D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društva kćeri drugih sanacijskih subjekata ili</w:t>
      </w:r>
    </w:p>
    <w:p w14:paraId="12F17B27"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c) subjekti koji imaju sjedište u trećoj zemlji te nisu uključeni u sanacijsku grupu u skladu sa sanacijskim planom i njihova društva kćeri</w:t>
      </w:r>
    </w:p>
    <w:p w14:paraId="550E37D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102. </w:t>
      </w:r>
      <w:r w:rsidRPr="000F0222">
        <w:rPr>
          <w:rFonts w:ascii="Times New Roman" w:eastAsia="Times New Roman" w:hAnsi="Times New Roman" w:cs="Times New Roman"/>
          <w:i/>
          <w:iCs/>
          <w:color w:val="231F20"/>
          <w:sz w:val="24"/>
          <w:szCs w:val="24"/>
          <w:bdr w:val="none" w:sz="0" w:space="0" w:color="auto" w:frame="1"/>
          <w:lang w:eastAsia="hr-HR"/>
        </w:rPr>
        <w:t>sanacijska mjera </w:t>
      </w:r>
      <w:r w:rsidRPr="000F0222">
        <w:rPr>
          <w:rFonts w:ascii="Times New Roman" w:eastAsia="Times New Roman" w:hAnsi="Times New Roman" w:cs="Times New Roman"/>
          <w:color w:val="231F20"/>
          <w:sz w:val="24"/>
          <w:szCs w:val="24"/>
          <w:lang w:eastAsia="hr-HR"/>
        </w:rPr>
        <w:t>je odluka o otvaranju postupka sanacije institucije ili subjekta iz članka 3. točaka 2., 3. i 4. ovoga Zakona u skladu s odredbama glave V. ovoga Zakona, primjena sanacijskih instrumenata u skladu s odredbama glave IX. ovoga Zakona ili izvršavanje jedne ili više sanacijskih ovlasti iz glave X. ovoga Zakona</w:t>
      </w:r>
    </w:p>
    <w:p w14:paraId="1D82426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103. </w:t>
      </w:r>
      <w:r w:rsidRPr="000F0222">
        <w:rPr>
          <w:rFonts w:ascii="Times New Roman" w:eastAsia="Times New Roman" w:hAnsi="Times New Roman" w:cs="Times New Roman"/>
          <w:i/>
          <w:iCs/>
          <w:color w:val="231F20"/>
          <w:sz w:val="24"/>
          <w:szCs w:val="24"/>
          <w:bdr w:val="none" w:sz="0" w:space="0" w:color="auto" w:frame="1"/>
          <w:lang w:eastAsia="hr-HR"/>
        </w:rPr>
        <w:t>sanacijski fond </w:t>
      </w:r>
      <w:r w:rsidRPr="000F0222">
        <w:rPr>
          <w:rFonts w:ascii="Times New Roman" w:eastAsia="Times New Roman" w:hAnsi="Times New Roman" w:cs="Times New Roman"/>
          <w:color w:val="231F20"/>
          <w:sz w:val="24"/>
          <w:szCs w:val="24"/>
          <w:lang w:eastAsia="hr-HR"/>
        </w:rPr>
        <w:t>je fond uspostavljen Zakonom o sanaciji kreditnih institucija i investicijskih društava (»Narodne novine«, br. 19/15., 16/19. i 47/20.)</w:t>
      </w:r>
    </w:p>
    <w:p w14:paraId="293A1B7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104. </w:t>
      </w:r>
      <w:r w:rsidRPr="000F0222">
        <w:rPr>
          <w:rFonts w:ascii="Times New Roman" w:eastAsia="Times New Roman" w:hAnsi="Times New Roman" w:cs="Times New Roman"/>
          <w:i/>
          <w:iCs/>
          <w:color w:val="231F20"/>
          <w:sz w:val="24"/>
          <w:szCs w:val="24"/>
          <w:bdr w:val="none" w:sz="0" w:space="0" w:color="auto" w:frame="1"/>
          <w:lang w:eastAsia="hr-HR"/>
        </w:rPr>
        <w:t>sanacijski instrument </w:t>
      </w:r>
      <w:r w:rsidRPr="000F0222">
        <w:rPr>
          <w:rFonts w:ascii="Times New Roman" w:eastAsia="Times New Roman" w:hAnsi="Times New Roman" w:cs="Times New Roman"/>
          <w:color w:val="231F20"/>
          <w:sz w:val="24"/>
          <w:szCs w:val="24"/>
          <w:lang w:eastAsia="hr-HR"/>
        </w:rPr>
        <w:t>kako je uređeno člankom 71. stavkom 1. ovoga Zakona</w:t>
      </w:r>
    </w:p>
    <w:p w14:paraId="353CB15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105. </w:t>
      </w:r>
      <w:r w:rsidRPr="000F0222">
        <w:rPr>
          <w:rFonts w:ascii="Times New Roman" w:eastAsia="Times New Roman" w:hAnsi="Times New Roman" w:cs="Times New Roman"/>
          <w:i/>
          <w:iCs/>
          <w:color w:val="231F20"/>
          <w:sz w:val="24"/>
          <w:szCs w:val="24"/>
          <w:bdr w:val="none" w:sz="0" w:space="0" w:color="auto" w:frame="1"/>
          <w:lang w:eastAsia="hr-HR"/>
        </w:rPr>
        <w:t>sanacijski kolegij </w:t>
      </w:r>
      <w:r w:rsidRPr="000F0222">
        <w:rPr>
          <w:rFonts w:ascii="Times New Roman" w:eastAsia="Times New Roman" w:hAnsi="Times New Roman" w:cs="Times New Roman"/>
          <w:color w:val="231F20"/>
          <w:sz w:val="24"/>
          <w:szCs w:val="24"/>
          <w:lang w:eastAsia="hr-HR"/>
        </w:rPr>
        <w:t>je kolegij uspostavljen u skladu s odredbama glave XI. ovoga Zakona, a za izvršavanje zadataka iz članka 112. stavka 3. ovoga Zakona</w:t>
      </w:r>
    </w:p>
    <w:p w14:paraId="746B71C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106. </w:t>
      </w:r>
      <w:r w:rsidRPr="000F0222">
        <w:rPr>
          <w:rFonts w:ascii="Times New Roman" w:eastAsia="Times New Roman" w:hAnsi="Times New Roman" w:cs="Times New Roman"/>
          <w:i/>
          <w:iCs/>
          <w:color w:val="231F20"/>
          <w:sz w:val="24"/>
          <w:szCs w:val="24"/>
          <w:bdr w:val="none" w:sz="0" w:space="0" w:color="auto" w:frame="1"/>
          <w:lang w:eastAsia="hr-HR"/>
        </w:rPr>
        <w:t>sanacijski postupak u trećoj zemlji </w:t>
      </w:r>
      <w:r w:rsidRPr="000F0222">
        <w:rPr>
          <w:rFonts w:ascii="Times New Roman" w:eastAsia="Times New Roman" w:hAnsi="Times New Roman" w:cs="Times New Roman"/>
          <w:color w:val="231F20"/>
          <w:sz w:val="24"/>
          <w:szCs w:val="24"/>
          <w:lang w:eastAsia="hr-HR"/>
        </w:rPr>
        <w:t>je postupanje u skladu s pravom treće zemlje radi rješavanja propasti institucije treće zemlje ili matičnog društva treće zemlje koja je, u smislu ciljeva i predviđenih rezultata, usporediva sa sanacijskim mjerama u okviru ovoga Zakona</w:t>
      </w:r>
    </w:p>
    <w:p w14:paraId="58F7C03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107. </w:t>
      </w:r>
      <w:r w:rsidRPr="000F0222">
        <w:rPr>
          <w:rFonts w:ascii="Times New Roman" w:eastAsia="Times New Roman" w:hAnsi="Times New Roman" w:cs="Times New Roman"/>
          <w:i/>
          <w:iCs/>
          <w:color w:val="231F20"/>
          <w:sz w:val="24"/>
          <w:szCs w:val="24"/>
          <w:bdr w:val="none" w:sz="0" w:space="0" w:color="auto" w:frame="1"/>
          <w:lang w:eastAsia="hr-HR"/>
        </w:rPr>
        <w:t>sanacijski program za grupu </w:t>
      </w:r>
      <w:r w:rsidRPr="000F0222">
        <w:rPr>
          <w:rFonts w:ascii="Times New Roman" w:eastAsia="Times New Roman" w:hAnsi="Times New Roman" w:cs="Times New Roman"/>
          <w:color w:val="231F20"/>
          <w:sz w:val="24"/>
          <w:szCs w:val="24"/>
          <w:lang w:eastAsia="hr-HR"/>
        </w:rPr>
        <w:t>je plan koji je sastavljen u svrhu sanacije grupe u skladu s člankom 47. ovoga Zakona</w:t>
      </w:r>
    </w:p>
    <w:p w14:paraId="33960CB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108. </w:t>
      </w:r>
      <w:r w:rsidRPr="000F0222">
        <w:rPr>
          <w:rFonts w:ascii="Times New Roman" w:eastAsia="Times New Roman" w:hAnsi="Times New Roman" w:cs="Times New Roman"/>
          <w:i/>
          <w:iCs/>
          <w:color w:val="231F20"/>
          <w:sz w:val="24"/>
          <w:szCs w:val="24"/>
          <w:bdr w:val="none" w:sz="0" w:space="0" w:color="auto" w:frame="1"/>
          <w:lang w:eastAsia="hr-HR"/>
        </w:rPr>
        <w:t>sanacijski subjekt </w:t>
      </w:r>
      <w:r w:rsidRPr="000F0222">
        <w:rPr>
          <w:rFonts w:ascii="Times New Roman" w:eastAsia="Times New Roman" w:hAnsi="Times New Roman" w:cs="Times New Roman"/>
          <w:color w:val="231F20"/>
          <w:sz w:val="24"/>
          <w:szCs w:val="24"/>
          <w:lang w:eastAsia="hr-HR"/>
        </w:rPr>
        <w:t>je:</w:t>
      </w:r>
    </w:p>
    <w:p w14:paraId="1E72C9A9"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pravna osoba sa sjedištem u Europskoj uniji za koju grupni sanacijski plan iz članka 18. ovoga Zakona predviđa sanacijsku mjeru ili</w:t>
      </w:r>
    </w:p>
    <w:p w14:paraId="34AF119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institucija sa sjedištem u Republici Hrvatskoj koja nije dio grupe za koju individualni sanacijski plan iz članka 17. ovoga Zakona predviđa sanacijsku mjeru</w:t>
      </w:r>
    </w:p>
    <w:p w14:paraId="3B41B1D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109. </w:t>
      </w:r>
      <w:r w:rsidRPr="000F0222">
        <w:rPr>
          <w:rFonts w:ascii="Times New Roman" w:eastAsia="Times New Roman" w:hAnsi="Times New Roman" w:cs="Times New Roman"/>
          <w:i/>
          <w:iCs/>
          <w:color w:val="231F20"/>
          <w:sz w:val="24"/>
          <w:szCs w:val="24"/>
          <w:bdr w:val="none" w:sz="0" w:space="0" w:color="auto" w:frame="1"/>
          <w:lang w:eastAsia="hr-HR"/>
        </w:rPr>
        <w:t>sanacijsko tijelo </w:t>
      </w:r>
      <w:r w:rsidRPr="000F0222">
        <w:rPr>
          <w:rFonts w:ascii="Times New Roman" w:eastAsia="Times New Roman" w:hAnsi="Times New Roman" w:cs="Times New Roman"/>
          <w:color w:val="231F20"/>
          <w:sz w:val="24"/>
          <w:szCs w:val="24"/>
          <w:lang w:eastAsia="hr-HR"/>
        </w:rPr>
        <w:t>je tijelo koje je u državi članici ovlašteno primjenjivati instrumente sanacije i izvršavati sanacijske ovlasti, a u Republici Hrvatskoj kako je definirano člankom 8. ovoga Zakona</w:t>
      </w:r>
    </w:p>
    <w:p w14:paraId="6250F1A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110. </w:t>
      </w:r>
      <w:r w:rsidRPr="000F0222">
        <w:rPr>
          <w:rFonts w:ascii="Times New Roman" w:eastAsia="Times New Roman" w:hAnsi="Times New Roman" w:cs="Times New Roman"/>
          <w:i/>
          <w:iCs/>
          <w:color w:val="231F20"/>
          <w:sz w:val="24"/>
          <w:szCs w:val="24"/>
          <w:bdr w:val="none" w:sz="0" w:space="0" w:color="auto" w:frame="1"/>
          <w:lang w:eastAsia="hr-HR"/>
        </w:rPr>
        <w:t>sistemska kriza </w:t>
      </w:r>
      <w:r w:rsidRPr="000F0222">
        <w:rPr>
          <w:rFonts w:ascii="Times New Roman" w:eastAsia="Times New Roman" w:hAnsi="Times New Roman" w:cs="Times New Roman"/>
          <w:color w:val="231F20"/>
          <w:sz w:val="24"/>
          <w:szCs w:val="24"/>
          <w:lang w:eastAsia="hr-HR"/>
        </w:rPr>
        <w:t>je poremećaj u financijskom sustavu koji potencijalno može imati ozbiljne negativne posljedice za unutarnje tržište i realno gospodarstvo, a sve vrste financijskih posrednika, tržišta i infrastrukture mogu potencijalno biti sistemski važni do određene mjere</w:t>
      </w:r>
    </w:p>
    <w:p w14:paraId="56537E5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111. </w:t>
      </w:r>
      <w:r w:rsidRPr="000F0222">
        <w:rPr>
          <w:rFonts w:ascii="Times New Roman" w:eastAsia="Times New Roman" w:hAnsi="Times New Roman" w:cs="Times New Roman"/>
          <w:i/>
          <w:iCs/>
          <w:color w:val="231F20"/>
          <w:sz w:val="24"/>
          <w:szCs w:val="24"/>
          <w:bdr w:val="none" w:sz="0" w:space="0" w:color="auto" w:frame="1"/>
          <w:lang w:eastAsia="hr-HR"/>
        </w:rPr>
        <w:t>sporazum o netiranju </w:t>
      </w:r>
      <w:r w:rsidRPr="000F0222">
        <w:rPr>
          <w:rFonts w:ascii="Times New Roman" w:eastAsia="Times New Roman" w:hAnsi="Times New Roman" w:cs="Times New Roman"/>
          <w:color w:val="231F20"/>
          <w:sz w:val="24"/>
          <w:szCs w:val="24"/>
          <w:lang w:eastAsia="hr-HR"/>
        </w:rPr>
        <w:t>je sporazum u okviru kojeg se niz tražbina ili obveza može preoblikovati u jedan neto zahtjev, uključujući sporazume o netiranju putem zatvaranja transakcije prema kojima se prilikom nastanka događaja izvršenja (bez obzira kako i kojim propisom je taj događaj definiran) obveze stranaka ubrzavaju tako da odmah postaju dospjele ili prestaju te su u svakom slučaju pretvorene u jedan neto zahtjev ili su njime zamijenjene, uključujući:</w:t>
      </w:r>
    </w:p>
    <w:p w14:paraId="5C23A8CC"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a) odredbe o konačnom netiranju koje predstavljaju odredbe ugovora o financijskom osiguranju ili ugovora koji uključuje instrument financijskog osiguranja, ili, u </w:t>
      </w:r>
      <w:r w:rsidRPr="000F0222">
        <w:rPr>
          <w:rFonts w:ascii="Times New Roman" w:eastAsia="Times New Roman" w:hAnsi="Times New Roman" w:cs="Times New Roman"/>
          <w:color w:val="231F20"/>
          <w:sz w:val="24"/>
          <w:szCs w:val="24"/>
          <w:lang w:eastAsia="hr-HR"/>
        </w:rPr>
        <w:lastRenderedPageBreak/>
        <w:t>nedostatku takve odredbe, svaka zakonska odredba kojom se, u slučaju nekog događaja izvršenja, izazvanog operacijom netiranja, usklađivanja ili na neki drugi način,</w:t>
      </w:r>
    </w:p>
    <w:p w14:paraId="5F0F9357"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 obveze stranaka ubrzavaju kako bi odmah dospjele i kako bi se izrazile kao obveza plaćanja iznosa koji predstavlja njihovu procijenjenu trenutnu vrijednost ili se ukidaju i zamjenjuju obvezom plaćanja tog iznosa i</w:t>
      </w:r>
    </w:p>
    <w:p w14:paraId="73946CC2"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netiranje koje predstavlja pretvaranje u jedno neto potraživanje ili jednu neto obvezu potraživanja i dugovanja koja proizlaze iz naloga za prijenos koje sudionik ili sudionici izdaju na ili primaju od jednog ili više drugih sudionika što dovodi do toga da se može imati samo neto potraživanje ili imati samo neto dugovanje,</w:t>
      </w:r>
    </w:p>
    <w:p w14:paraId="201D4DD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u Republici Hrvatskoj uključujući »obračunavanje (netiranje)« kako je uređeno propisom kojim se uređuje financijsko osiguranje i »obračunavanje« kako je uređeno propisom kojim se uređuje konačnost namire u platnim sustavima i sustavima za namiru financijskih instrumenata</w:t>
      </w:r>
    </w:p>
    <w:p w14:paraId="1F409C4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112. </w:t>
      </w:r>
      <w:r w:rsidRPr="000F0222">
        <w:rPr>
          <w:rFonts w:ascii="Times New Roman" w:eastAsia="Times New Roman" w:hAnsi="Times New Roman" w:cs="Times New Roman"/>
          <w:i/>
          <w:iCs/>
          <w:color w:val="231F20"/>
          <w:sz w:val="24"/>
          <w:szCs w:val="24"/>
          <w:bdr w:val="none" w:sz="0" w:space="0" w:color="auto" w:frame="1"/>
          <w:lang w:eastAsia="hr-HR"/>
        </w:rPr>
        <w:t>sporazum o prijeboju </w:t>
      </w:r>
      <w:r w:rsidRPr="000F0222">
        <w:rPr>
          <w:rFonts w:ascii="Times New Roman" w:eastAsia="Times New Roman" w:hAnsi="Times New Roman" w:cs="Times New Roman"/>
          <w:color w:val="231F20"/>
          <w:sz w:val="24"/>
          <w:szCs w:val="24"/>
          <w:lang w:eastAsia="hr-HR"/>
        </w:rPr>
        <w:t>je sporazum prema kojem se za dvije tražbine ili više njih ili dvije obveze ili više njih koje međusobno duguju institucija u sanaciji i druga ugovorna strana može međusobno izvršiti prijeboj</w:t>
      </w:r>
    </w:p>
    <w:p w14:paraId="0CB93CB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113. </w:t>
      </w:r>
      <w:r w:rsidRPr="000F0222">
        <w:rPr>
          <w:rFonts w:ascii="Times New Roman" w:eastAsia="Times New Roman" w:hAnsi="Times New Roman" w:cs="Times New Roman"/>
          <w:i/>
          <w:iCs/>
          <w:color w:val="231F20"/>
          <w:sz w:val="24"/>
          <w:szCs w:val="24"/>
          <w:bdr w:val="none" w:sz="0" w:space="0" w:color="auto" w:frame="1"/>
          <w:lang w:eastAsia="hr-HR"/>
        </w:rPr>
        <w:t>Sporazum o prijenosu i objedinjavanju doprinosa u Jedinstveni sanacijski fond </w:t>
      </w:r>
      <w:r w:rsidRPr="000F0222">
        <w:rPr>
          <w:rFonts w:ascii="Times New Roman" w:eastAsia="Times New Roman" w:hAnsi="Times New Roman" w:cs="Times New Roman"/>
          <w:color w:val="231F20"/>
          <w:sz w:val="24"/>
          <w:szCs w:val="24"/>
          <w:lang w:eastAsia="hr-HR"/>
        </w:rPr>
        <w:t>kako je uređeno člankom 3. stavkom 1. točkom 36. Uredbe (EU) br. 806/2014</w:t>
      </w:r>
    </w:p>
    <w:p w14:paraId="395A42C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114. </w:t>
      </w:r>
      <w:r w:rsidRPr="000F0222">
        <w:rPr>
          <w:rFonts w:ascii="Times New Roman" w:eastAsia="Times New Roman" w:hAnsi="Times New Roman" w:cs="Times New Roman"/>
          <w:i/>
          <w:iCs/>
          <w:color w:val="231F20"/>
          <w:sz w:val="24"/>
          <w:szCs w:val="24"/>
          <w:bdr w:val="none" w:sz="0" w:space="0" w:color="auto" w:frame="1"/>
          <w:lang w:eastAsia="hr-HR"/>
        </w:rPr>
        <w:t>središnja druga ugovorna strana </w:t>
      </w:r>
      <w:r w:rsidRPr="000F0222">
        <w:rPr>
          <w:rFonts w:ascii="Times New Roman" w:eastAsia="Times New Roman" w:hAnsi="Times New Roman" w:cs="Times New Roman"/>
          <w:color w:val="231F20"/>
          <w:sz w:val="24"/>
          <w:szCs w:val="24"/>
          <w:lang w:eastAsia="hr-HR"/>
        </w:rPr>
        <w:t>kako je uređeno člankom 2. točkom 1. Uredbe (EU) br. 648/2012</w:t>
      </w:r>
    </w:p>
    <w:p w14:paraId="56C04BB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115. </w:t>
      </w:r>
      <w:r w:rsidRPr="000F0222">
        <w:rPr>
          <w:rFonts w:ascii="Times New Roman" w:eastAsia="Times New Roman" w:hAnsi="Times New Roman" w:cs="Times New Roman"/>
          <w:i/>
          <w:iCs/>
          <w:color w:val="231F20"/>
          <w:sz w:val="24"/>
          <w:szCs w:val="24"/>
          <w:bdr w:val="none" w:sz="0" w:space="0" w:color="auto" w:frame="1"/>
          <w:lang w:eastAsia="hr-HR"/>
        </w:rPr>
        <w:t>sredstva i imovina klijenta </w:t>
      </w:r>
      <w:r w:rsidRPr="000F0222">
        <w:rPr>
          <w:rFonts w:ascii="Times New Roman" w:eastAsia="Times New Roman" w:hAnsi="Times New Roman" w:cs="Times New Roman"/>
          <w:color w:val="231F20"/>
          <w:sz w:val="24"/>
          <w:szCs w:val="24"/>
          <w:lang w:eastAsia="hr-HR"/>
        </w:rPr>
        <w:t>su sredstva i imovina klijenta koje institucija drži, administrira ili kojima upravlja u ime i za račun klijenta</w:t>
      </w:r>
    </w:p>
    <w:p w14:paraId="2A24B41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116. </w:t>
      </w:r>
      <w:r w:rsidRPr="000F0222">
        <w:rPr>
          <w:rFonts w:ascii="Times New Roman" w:eastAsia="Times New Roman" w:hAnsi="Times New Roman" w:cs="Times New Roman"/>
          <w:i/>
          <w:iCs/>
          <w:color w:val="231F20"/>
          <w:sz w:val="24"/>
          <w:szCs w:val="24"/>
          <w:bdr w:val="none" w:sz="0" w:space="0" w:color="auto" w:frame="1"/>
          <w:lang w:eastAsia="hr-HR"/>
        </w:rPr>
        <w:t>stopa pretvaranja </w:t>
      </w:r>
      <w:r w:rsidRPr="000F0222">
        <w:rPr>
          <w:rFonts w:ascii="Times New Roman" w:eastAsia="Times New Roman" w:hAnsi="Times New Roman" w:cs="Times New Roman"/>
          <w:color w:val="231F20"/>
          <w:sz w:val="24"/>
          <w:szCs w:val="24"/>
          <w:lang w:eastAsia="hr-HR"/>
        </w:rPr>
        <w:t>znači stopu po kojoj se jedan instrument određene kategorije ili određena jedinica obveze pretvara u određenu nominalnu vrijednost dionica ili drugih vlasničkih instrumenata</w:t>
      </w:r>
    </w:p>
    <w:p w14:paraId="5D1ED58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117. </w:t>
      </w:r>
      <w:r w:rsidRPr="000F0222">
        <w:rPr>
          <w:rFonts w:ascii="Times New Roman" w:eastAsia="Times New Roman" w:hAnsi="Times New Roman" w:cs="Times New Roman"/>
          <w:i/>
          <w:iCs/>
          <w:color w:val="231F20"/>
          <w:sz w:val="24"/>
          <w:szCs w:val="24"/>
          <w:bdr w:val="none" w:sz="0" w:space="0" w:color="auto" w:frame="1"/>
          <w:lang w:eastAsia="hr-HR"/>
        </w:rPr>
        <w:t>subjekt na koji se primjenjuje Uredba (EU) br. 806/2014 </w:t>
      </w:r>
      <w:r w:rsidRPr="000F0222">
        <w:rPr>
          <w:rFonts w:ascii="Times New Roman" w:eastAsia="Times New Roman" w:hAnsi="Times New Roman" w:cs="Times New Roman"/>
          <w:color w:val="231F20"/>
          <w:sz w:val="24"/>
          <w:szCs w:val="24"/>
          <w:lang w:eastAsia="hr-HR"/>
        </w:rPr>
        <w:t>je subjekt iz članka 3. ovoga Zakona na koji se primjenjuje Uredba (EU) br. 806/2014 u skladu s člankom 2. Uredbe (EU) br. 806/2014</w:t>
      </w:r>
    </w:p>
    <w:p w14:paraId="02F2E58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118. </w:t>
      </w:r>
      <w:r w:rsidRPr="000F0222">
        <w:rPr>
          <w:rFonts w:ascii="Times New Roman" w:eastAsia="Times New Roman" w:hAnsi="Times New Roman" w:cs="Times New Roman"/>
          <w:i/>
          <w:iCs/>
          <w:color w:val="231F20"/>
          <w:sz w:val="24"/>
          <w:szCs w:val="24"/>
          <w:bdr w:val="none" w:sz="0" w:space="0" w:color="auto" w:frame="1"/>
          <w:lang w:eastAsia="hr-HR"/>
        </w:rPr>
        <w:t>subjekt za koji je izravno odgovoran Jedinstveni sanacijski odbor </w:t>
      </w:r>
      <w:r w:rsidRPr="000F0222">
        <w:rPr>
          <w:rFonts w:ascii="Times New Roman" w:eastAsia="Times New Roman" w:hAnsi="Times New Roman" w:cs="Times New Roman"/>
          <w:color w:val="231F20"/>
          <w:sz w:val="24"/>
          <w:szCs w:val="24"/>
          <w:lang w:eastAsia="hr-HR"/>
        </w:rPr>
        <w:t>je subjekt iz članka 3. ovoga Zakona za koji je izravno odgovoran Jedinstveni sanacijski odbor u skladu s člankom 7. stavkom 2. Uredbe (EU) br. 806/2014 te, kada su ispunjeni uvjeti za njihovu primjenu, člankom 7. stavkom 4. točkom b) i stavkom 5. Uredbe (EU) br. 806/2014</w:t>
      </w:r>
    </w:p>
    <w:p w14:paraId="3B5C301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119. </w:t>
      </w:r>
      <w:r w:rsidRPr="000F0222">
        <w:rPr>
          <w:rFonts w:ascii="Times New Roman" w:eastAsia="Times New Roman" w:hAnsi="Times New Roman" w:cs="Times New Roman"/>
          <w:i/>
          <w:iCs/>
          <w:color w:val="231F20"/>
          <w:sz w:val="24"/>
          <w:szCs w:val="24"/>
          <w:bdr w:val="none" w:sz="0" w:space="0" w:color="auto" w:frame="1"/>
          <w:lang w:eastAsia="hr-HR"/>
        </w:rPr>
        <w:t>sustav osiguranja depozita </w:t>
      </w:r>
      <w:r w:rsidRPr="000F0222">
        <w:rPr>
          <w:rFonts w:ascii="Times New Roman" w:eastAsia="Times New Roman" w:hAnsi="Times New Roman" w:cs="Times New Roman"/>
          <w:color w:val="231F20"/>
          <w:sz w:val="24"/>
          <w:szCs w:val="24"/>
          <w:lang w:eastAsia="hr-HR"/>
        </w:rPr>
        <w:t>je sustav osiguranja depozita koji na svom državnom području primjenjuje i priznaje država članica, a u Republici Hrvatskoj kako je uređeno propisom kojim se uređuje osiguranje depozita</w:t>
      </w:r>
    </w:p>
    <w:p w14:paraId="5AAD466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120. </w:t>
      </w:r>
      <w:r w:rsidRPr="000F0222">
        <w:rPr>
          <w:rFonts w:ascii="Times New Roman" w:eastAsia="Times New Roman" w:hAnsi="Times New Roman" w:cs="Times New Roman"/>
          <w:i/>
          <w:iCs/>
          <w:color w:val="231F20"/>
          <w:sz w:val="24"/>
          <w:szCs w:val="24"/>
          <w:bdr w:val="none" w:sz="0" w:space="0" w:color="auto" w:frame="1"/>
          <w:lang w:eastAsia="hr-HR"/>
        </w:rPr>
        <w:t>temeljne poslovne linije </w:t>
      </w:r>
      <w:r w:rsidRPr="000F0222">
        <w:rPr>
          <w:rFonts w:ascii="Times New Roman" w:eastAsia="Times New Roman" w:hAnsi="Times New Roman" w:cs="Times New Roman"/>
          <w:color w:val="231F20"/>
          <w:sz w:val="24"/>
          <w:szCs w:val="24"/>
          <w:lang w:eastAsia="hr-HR"/>
        </w:rPr>
        <w:t>jesu poslovne linije i pripadajuće usluge koje čine bitne izvore prihoda, dobiti ili vrijednost franšize za instituciju ili grupu kojoj institucija pripada</w:t>
      </w:r>
    </w:p>
    <w:p w14:paraId="4472FE2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121. </w:t>
      </w:r>
      <w:r w:rsidRPr="000F0222">
        <w:rPr>
          <w:rFonts w:ascii="Times New Roman" w:eastAsia="Times New Roman" w:hAnsi="Times New Roman" w:cs="Times New Roman"/>
          <w:i/>
          <w:iCs/>
          <w:color w:val="231F20"/>
          <w:sz w:val="24"/>
          <w:szCs w:val="24"/>
          <w:bdr w:val="none" w:sz="0" w:space="0" w:color="auto" w:frame="1"/>
          <w:lang w:eastAsia="hr-HR"/>
        </w:rPr>
        <w:t>ugovor o financijskom osiguranju s pravom prijenosa vlasništva </w:t>
      </w:r>
      <w:r w:rsidRPr="000F0222">
        <w:rPr>
          <w:rFonts w:ascii="Times New Roman" w:eastAsia="Times New Roman" w:hAnsi="Times New Roman" w:cs="Times New Roman"/>
          <w:color w:val="231F20"/>
          <w:sz w:val="24"/>
          <w:szCs w:val="24"/>
          <w:lang w:eastAsia="hr-HR"/>
        </w:rPr>
        <w:t>je ugovor, uključujući i ugovor o povratnoj kupnji, sukladno kojem davatelj instrumenta financijskog osiguranja prenosi puno pravo vlasništva nad instrumentom financijskog osiguranja primatelju u svrhu osiguranja ili nekog drugog načina namirivanja relevantnih financijskih obveza, a u Republici Hrvatskoj kako je uređeno propisom kojim se uređuje financijsko osiguranje</w:t>
      </w:r>
    </w:p>
    <w:p w14:paraId="0A8C764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122. </w:t>
      </w:r>
      <w:r w:rsidRPr="000F0222">
        <w:rPr>
          <w:rFonts w:ascii="Times New Roman" w:eastAsia="Times New Roman" w:hAnsi="Times New Roman" w:cs="Times New Roman"/>
          <w:i/>
          <w:iCs/>
          <w:color w:val="231F20"/>
          <w:sz w:val="24"/>
          <w:szCs w:val="24"/>
          <w:bdr w:val="none" w:sz="0" w:space="0" w:color="auto" w:frame="1"/>
          <w:lang w:eastAsia="hr-HR"/>
        </w:rPr>
        <w:t>ukupni iznos </w:t>
      </w:r>
      <w:r w:rsidRPr="000F0222">
        <w:rPr>
          <w:rFonts w:ascii="Times New Roman" w:eastAsia="Times New Roman" w:hAnsi="Times New Roman" w:cs="Times New Roman"/>
          <w:color w:val="231F20"/>
          <w:sz w:val="24"/>
          <w:szCs w:val="24"/>
          <w:lang w:eastAsia="hr-HR"/>
        </w:rPr>
        <w:t>znači ukupni iznos obveza podložnih za unutarnju sanaciju u skladu s procjenom sanacijskog tijela iz članka 83. stavka 1. ovoga Zakona</w:t>
      </w:r>
    </w:p>
    <w:p w14:paraId="49A3764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123. </w:t>
      </w:r>
      <w:r w:rsidRPr="000F0222">
        <w:rPr>
          <w:rFonts w:ascii="Times New Roman" w:eastAsia="Times New Roman" w:hAnsi="Times New Roman" w:cs="Times New Roman"/>
          <w:i/>
          <w:iCs/>
          <w:color w:val="231F20"/>
          <w:sz w:val="24"/>
          <w:szCs w:val="24"/>
          <w:bdr w:val="none" w:sz="0" w:space="0" w:color="auto" w:frame="1"/>
          <w:lang w:eastAsia="hr-HR"/>
        </w:rPr>
        <w:t>ukupni prihod </w:t>
      </w:r>
      <w:r w:rsidRPr="000F0222">
        <w:rPr>
          <w:rFonts w:ascii="Times New Roman" w:eastAsia="Times New Roman" w:hAnsi="Times New Roman" w:cs="Times New Roman"/>
          <w:color w:val="231F20"/>
          <w:sz w:val="24"/>
          <w:szCs w:val="24"/>
          <w:lang w:eastAsia="hr-HR"/>
        </w:rPr>
        <w:t>je ukupni godišnji neto prihod društva u prethodnoj poslovnoj godini, uključujući bruto prihod koji se sastoji od kamatnih i srodnih prihoda, prihoda od dionica i ostalih vrijednosnih papira s varijabilnim i fiksnim prihodom i prihoda od naknada i provizija u skladu s člankom 316. Uredbe (EU) br. 575/2013, a iznimno, za društvo koje je društvo kći matičnog društva, relevantni neto prihod po kamatama i naknadama utvrđuje se iz godišnjeg konsolidiranog financijskog izvještaja krajnjeg matičnog društva</w:t>
      </w:r>
    </w:p>
    <w:p w14:paraId="1EFCBFB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124. </w:t>
      </w:r>
      <w:r w:rsidRPr="000F0222">
        <w:rPr>
          <w:rFonts w:ascii="Times New Roman" w:eastAsia="Times New Roman" w:hAnsi="Times New Roman" w:cs="Times New Roman"/>
          <w:i/>
          <w:iCs/>
          <w:color w:val="231F20"/>
          <w:sz w:val="24"/>
          <w:szCs w:val="24"/>
          <w:bdr w:val="none" w:sz="0" w:space="0" w:color="auto" w:frame="1"/>
          <w:lang w:eastAsia="hr-HR"/>
        </w:rPr>
        <w:t>ulagatelj </w:t>
      </w:r>
      <w:r w:rsidRPr="000F0222">
        <w:rPr>
          <w:rFonts w:ascii="Times New Roman" w:eastAsia="Times New Roman" w:hAnsi="Times New Roman" w:cs="Times New Roman"/>
          <w:color w:val="231F20"/>
          <w:sz w:val="24"/>
          <w:szCs w:val="24"/>
          <w:lang w:eastAsia="hr-HR"/>
        </w:rPr>
        <w:t>je svaka osoba koja je povjerila novac ili instrumente investicijskom društvu u vezi s investicijskim poslom, a u Republici Hrvatskoj kako je uređeno propisom kojim se uređuje tržište kapitala</w:t>
      </w:r>
    </w:p>
    <w:p w14:paraId="615354A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125. </w:t>
      </w:r>
      <w:r w:rsidRPr="000F0222">
        <w:rPr>
          <w:rFonts w:ascii="Times New Roman" w:eastAsia="Times New Roman" w:hAnsi="Times New Roman" w:cs="Times New Roman"/>
          <w:i/>
          <w:iCs/>
          <w:color w:val="231F20"/>
          <w:sz w:val="24"/>
          <w:szCs w:val="24"/>
          <w:bdr w:val="none" w:sz="0" w:space="0" w:color="auto" w:frame="1"/>
          <w:lang w:eastAsia="hr-HR"/>
        </w:rPr>
        <w:t>upravljački informacijski sustav </w:t>
      </w:r>
      <w:r w:rsidRPr="000F0222">
        <w:rPr>
          <w:rFonts w:ascii="Times New Roman" w:eastAsia="Times New Roman" w:hAnsi="Times New Roman" w:cs="Times New Roman"/>
          <w:color w:val="231F20"/>
          <w:sz w:val="24"/>
          <w:szCs w:val="24"/>
          <w:lang w:eastAsia="hr-HR"/>
        </w:rPr>
        <w:t>je sveobuhvatnost tehnološke infrastrukture, organizacije, ljudi i postupaka za prikupljanje, obradu, generiranje, pohranu, prijenos, prikaz te distribuciju informacija, kao i raspolaganje njima; informacijski sustav moguće je definirati i kao međudjelovanje informacijske tehnologije, podataka i postupaka za procesiranje podataka te ljudi koji prikupljaju navedene podatke i njima se koriste</w:t>
      </w:r>
    </w:p>
    <w:p w14:paraId="54E3529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126. </w:t>
      </w:r>
      <w:r w:rsidRPr="000F0222">
        <w:rPr>
          <w:rFonts w:ascii="Times New Roman" w:eastAsia="Times New Roman" w:hAnsi="Times New Roman" w:cs="Times New Roman"/>
          <w:i/>
          <w:iCs/>
          <w:color w:val="231F20"/>
          <w:sz w:val="24"/>
          <w:szCs w:val="24"/>
          <w:bdr w:val="none" w:sz="0" w:space="0" w:color="auto" w:frame="1"/>
          <w:lang w:eastAsia="hr-HR"/>
        </w:rPr>
        <w:t>upravljačko tijelo </w:t>
      </w:r>
      <w:r w:rsidRPr="000F0222">
        <w:rPr>
          <w:rFonts w:ascii="Times New Roman" w:eastAsia="Times New Roman" w:hAnsi="Times New Roman" w:cs="Times New Roman"/>
          <w:color w:val="231F20"/>
          <w:sz w:val="24"/>
          <w:szCs w:val="24"/>
          <w:lang w:eastAsia="hr-HR"/>
        </w:rPr>
        <w:t>je tijelo odnosno tijela institucije, imenovano u skladu s nacionalnim pravom, koje je ovlašteno odrediti strategiju, ciljeve i opće usmjerenje institucije, a koje nadzire i prati odlučivanje u vezi s upravljanjem te uključuje osobe koje stvarno upravljaju poslovanjem institucije, a u Republici Hrvatskoj uključuje upravu, nadzorni odbor ili upravni odbor institucije</w:t>
      </w:r>
    </w:p>
    <w:p w14:paraId="2FE49FC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127. </w:t>
      </w:r>
      <w:r w:rsidRPr="000F0222">
        <w:rPr>
          <w:rFonts w:ascii="Times New Roman" w:eastAsia="Times New Roman" w:hAnsi="Times New Roman" w:cs="Times New Roman"/>
          <w:i/>
          <w:iCs/>
          <w:color w:val="231F20"/>
          <w:sz w:val="24"/>
          <w:szCs w:val="24"/>
          <w:bdr w:val="none" w:sz="0" w:space="0" w:color="auto" w:frame="1"/>
          <w:lang w:eastAsia="hr-HR"/>
        </w:rPr>
        <w:t>uređeno tržište </w:t>
      </w:r>
      <w:r w:rsidRPr="000F0222">
        <w:rPr>
          <w:rFonts w:ascii="Times New Roman" w:eastAsia="Times New Roman" w:hAnsi="Times New Roman" w:cs="Times New Roman"/>
          <w:color w:val="231F20"/>
          <w:sz w:val="24"/>
          <w:szCs w:val="24"/>
          <w:lang w:eastAsia="hr-HR"/>
        </w:rPr>
        <w:t>je uređeno tržište kako je definirano propisom kojim se uređuje tržište kapitala</w:t>
      </w:r>
    </w:p>
    <w:p w14:paraId="70D3951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128. </w:t>
      </w:r>
      <w:r w:rsidRPr="000F0222">
        <w:rPr>
          <w:rFonts w:ascii="Times New Roman" w:eastAsia="Times New Roman" w:hAnsi="Times New Roman" w:cs="Times New Roman"/>
          <w:i/>
          <w:iCs/>
          <w:color w:val="231F20"/>
          <w:sz w:val="24"/>
          <w:szCs w:val="24"/>
          <w:bdr w:val="none" w:sz="0" w:space="0" w:color="auto" w:frame="1"/>
          <w:lang w:eastAsia="hr-HR"/>
        </w:rPr>
        <w:t>uvjeti za sanaciju </w:t>
      </w:r>
      <w:r w:rsidRPr="000F0222">
        <w:rPr>
          <w:rFonts w:ascii="Times New Roman" w:eastAsia="Times New Roman" w:hAnsi="Times New Roman" w:cs="Times New Roman"/>
          <w:color w:val="231F20"/>
          <w:sz w:val="24"/>
          <w:szCs w:val="24"/>
          <w:lang w:eastAsia="hr-HR"/>
        </w:rPr>
        <w:t>kako je uređeno člankom 43. stavkom 4. ovoga Zakona</w:t>
      </w:r>
    </w:p>
    <w:p w14:paraId="000AE1A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129. </w:t>
      </w:r>
      <w:r w:rsidRPr="000F0222">
        <w:rPr>
          <w:rFonts w:ascii="Times New Roman" w:eastAsia="Times New Roman" w:hAnsi="Times New Roman" w:cs="Times New Roman"/>
          <w:i/>
          <w:iCs/>
          <w:color w:val="231F20"/>
          <w:sz w:val="24"/>
          <w:szCs w:val="24"/>
          <w:bdr w:val="none" w:sz="0" w:space="0" w:color="auto" w:frame="1"/>
          <w:lang w:eastAsia="hr-HR"/>
        </w:rPr>
        <w:t>više rukovodstvo </w:t>
      </w:r>
      <w:r w:rsidRPr="000F0222">
        <w:rPr>
          <w:rFonts w:ascii="Times New Roman" w:eastAsia="Times New Roman" w:hAnsi="Times New Roman" w:cs="Times New Roman"/>
          <w:color w:val="231F20"/>
          <w:sz w:val="24"/>
          <w:szCs w:val="24"/>
          <w:lang w:eastAsia="hr-HR"/>
        </w:rPr>
        <w:t>su fizičke osobe koje obavljaju izvršne funkcije unutar institucije, a koje su odgovorne i odgovaraju upravljačkom tijelu za svakodnevno upravljanje institucijom, a u Republici Hrvatskoj kako je uređeno propisom kojim se uređuje poslovanje kreditnih institucija odnosno propisom kojim se uređuje tržište kapitala</w:t>
      </w:r>
    </w:p>
    <w:p w14:paraId="3C8099B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130. </w:t>
      </w:r>
      <w:r w:rsidRPr="000F0222">
        <w:rPr>
          <w:rFonts w:ascii="Times New Roman" w:eastAsia="Times New Roman" w:hAnsi="Times New Roman" w:cs="Times New Roman"/>
          <w:i/>
          <w:iCs/>
          <w:color w:val="231F20"/>
          <w:sz w:val="24"/>
          <w:szCs w:val="24"/>
          <w:bdr w:val="none" w:sz="0" w:space="0" w:color="auto" w:frame="1"/>
          <w:lang w:eastAsia="hr-HR"/>
        </w:rPr>
        <w:t>vlasnički instrument </w:t>
      </w:r>
      <w:r w:rsidRPr="000F0222">
        <w:rPr>
          <w:rFonts w:ascii="Times New Roman" w:eastAsia="Times New Roman" w:hAnsi="Times New Roman" w:cs="Times New Roman"/>
          <w:color w:val="231F20"/>
          <w:sz w:val="24"/>
          <w:szCs w:val="24"/>
          <w:lang w:eastAsia="hr-HR"/>
        </w:rPr>
        <w:t>je dionica, drugi instrument koji daje pravo na vlasništvo, instrument koji se može pretvoriti u dionicu ili koji daje pravo stjecanja dionice ili drugog vlasničkog instrumenta, te instrument koji predstavlja vlasništvo dionice ili drugog vlasničkog instrumenta</w:t>
      </w:r>
    </w:p>
    <w:p w14:paraId="2C95E29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131. </w:t>
      </w:r>
      <w:r w:rsidRPr="000F0222">
        <w:rPr>
          <w:rFonts w:ascii="Times New Roman" w:eastAsia="Times New Roman" w:hAnsi="Times New Roman" w:cs="Times New Roman"/>
          <w:i/>
          <w:iCs/>
          <w:color w:val="231F20"/>
          <w:sz w:val="24"/>
          <w:szCs w:val="24"/>
          <w:bdr w:val="none" w:sz="0" w:space="0" w:color="auto" w:frame="1"/>
          <w:lang w:eastAsia="hr-HR"/>
        </w:rPr>
        <w:t>zahtjev za kombinirani zaštitni sloj </w:t>
      </w:r>
      <w:r w:rsidRPr="000F0222">
        <w:rPr>
          <w:rFonts w:ascii="Times New Roman" w:eastAsia="Times New Roman" w:hAnsi="Times New Roman" w:cs="Times New Roman"/>
          <w:color w:val="231F20"/>
          <w:sz w:val="24"/>
          <w:szCs w:val="24"/>
          <w:lang w:eastAsia="hr-HR"/>
        </w:rPr>
        <w:t>je redovni osnovni kapital koji je potreban za ispunjavanje zahtjeva za zaštitni sloj za očuvanje kapitala, uvećan za sljedeće zaštitne slojeve, ovisno o tome što je primjenjivo:</w:t>
      </w:r>
    </w:p>
    <w:p w14:paraId="0D228B8F"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protuciklički zaštitni sloj kapitala</w:t>
      </w:r>
    </w:p>
    <w:p w14:paraId="0150921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zaštitni sloj za GSV instituciju</w:t>
      </w:r>
    </w:p>
    <w:p w14:paraId="0B023FF9"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c) zaštitni sloj za OSV instituciju</w:t>
      </w:r>
    </w:p>
    <w:p w14:paraId="705CFA56"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d) zaštitni sloj za strukturni sistemski rizik,</w:t>
      </w:r>
    </w:p>
    <w:p w14:paraId="39FCBA8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u Republici Hrvatskoj kako je uređeno propisom kojim se uređuje poslovanje kreditnih institucija odnosno propisom kojim se uređuje tržište kapitala</w:t>
      </w:r>
    </w:p>
    <w:p w14:paraId="2F8BAF7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132. </w:t>
      </w:r>
      <w:r w:rsidRPr="000F0222">
        <w:rPr>
          <w:rFonts w:ascii="Times New Roman" w:eastAsia="Times New Roman" w:hAnsi="Times New Roman" w:cs="Times New Roman"/>
          <w:i/>
          <w:iCs/>
          <w:color w:val="231F20"/>
          <w:sz w:val="24"/>
          <w:szCs w:val="24"/>
          <w:bdr w:val="none" w:sz="0" w:space="0" w:color="auto" w:frame="1"/>
          <w:lang w:eastAsia="hr-HR"/>
        </w:rPr>
        <w:t>značajna podružnica </w:t>
      </w:r>
      <w:r w:rsidRPr="000F0222">
        <w:rPr>
          <w:rFonts w:ascii="Times New Roman" w:eastAsia="Times New Roman" w:hAnsi="Times New Roman" w:cs="Times New Roman"/>
          <w:color w:val="231F20"/>
          <w:sz w:val="24"/>
          <w:szCs w:val="24"/>
          <w:lang w:eastAsia="hr-HR"/>
        </w:rPr>
        <w:t>je podružnica koja je posebnim postupkom utvrđena kao značajna, a u Republici Hrvatskoj podružnica utvrđena postupkom uređenim propisom kojim se uređuje poslovanje kreditnih institucija odnosno propisom kojim se uređuje tržište kapitala</w:t>
      </w:r>
    </w:p>
    <w:p w14:paraId="1CD768C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133. </w:t>
      </w:r>
      <w:r w:rsidRPr="000F0222">
        <w:rPr>
          <w:rFonts w:ascii="Times New Roman" w:eastAsia="Times New Roman" w:hAnsi="Times New Roman" w:cs="Times New Roman"/>
          <w:i/>
          <w:iCs/>
          <w:color w:val="231F20"/>
          <w:sz w:val="24"/>
          <w:szCs w:val="24"/>
          <w:bdr w:val="none" w:sz="0" w:space="0" w:color="auto" w:frame="1"/>
          <w:lang w:eastAsia="hr-HR"/>
        </w:rPr>
        <w:t>značajni nadzirani subjekt </w:t>
      </w:r>
      <w:r w:rsidRPr="000F0222">
        <w:rPr>
          <w:rFonts w:ascii="Times New Roman" w:eastAsia="Times New Roman" w:hAnsi="Times New Roman" w:cs="Times New Roman"/>
          <w:color w:val="231F20"/>
          <w:sz w:val="24"/>
          <w:szCs w:val="24"/>
          <w:lang w:eastAsia="hr-HR"/>
        </w:rPr>
        <w:t>kako je uređeno člankom 2. točkom 16. Uredbe (EU) br. 468/2014 i</w:t>
      </w:r>
    </w:p>
    <w:p w14:paraId="0EDC9B5A" w14:textId="49A6ECE2" w:rsid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134. </w:t>
      </w:r>
      <w:r w:rsidRPr="000F0222">
        <w:rPr>
          <w:rFonts w:ascii="Times New Roman" w:eastAsia="Times New Roman" w:hAnsi="Times New Roman" w:cs="Times New Roman"/>
          <w:i/>
          <w:iCs/>
          <w:color w:val="231F20"/>
          <w:sz w:val="24"/>
          <w:szCs w:val="24"/>
          <w:bdr w:val="none" w:sz="0" w:space="0" w:color="auto" w:frame="1"/>
          <w:lang w:eastAsia="hr-HR"/>
        </w:rPr>
        <w:t>značajno društvo kći </w:t>
      </w:r>
      <w:r w:rsidRPr="000F0222">
        <w:rPr>
          <w:rFonts w:ascii="Times New Roman" w:eastAsia="Times New Roman" w:hAnsi="Times New Roman" w:cs="Times New Roman"/>
          <w:color w:val="231F20"/>
          <w:sz w:val="24"/>
          <w:szCs w:val="24"/>
          <w:lang w:eastAsia="hr-HR"/>
        </w:rPr>
        <w:t>kako je uređeno člankom 4. stavkom 1. točkom 135. Uredbe (EU) br. 575/2013.</w:t>
      </w:r>
    </w:p>
    <w:p w14:paraId="23DA7A76" w14:textId="5C77AD7C" w:rsidR="00420B40" w:rsidRDefault="00420B40"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49E657A3" w14:textId="77777777" w:rsidR="00F80BC8" w:rsidRPr="00F80BC8" w:rsidRDefault="00F80BC8" w:rsidP="00F80BC8">
      <w:pPr>
        <w:shd w:val="clear" w:color="auto" w:fill="FFFFFF"/>
        <w:spacing w:after="0" w:line="240" w:lineRule="auto"/>
        <w:ind w:firstLine="408"/>
        <w:jc w:val="center"/>
        <w:textAlignment w:val="baseline"/>
        <w:rPr>
          <w:rFonts w:ascii="Times New Roman" w:eastAsia="Times New Roman" w:hAnsi="Times New Roman" w:cs="Times New Roman"/>
          <w:i/>
          <w:iCs/>
          <w:color w:val="231F20"/>
          <w:sz w:val="24"/>
          <w:szCs w:val="24"/>
          <w:lang w:eastAsia="hr-HR"/>
        </w:rPr>
      </w:pPr>
      <w:r w:rsidRPr="00F80BC8">
        <w:rPr>
          <w:rFonts w:ascii="Times New Roman" w:eastAsia="Times New Roman" w:hAnsi="Times New Roman" w:cs="Times New Roman"/>
          <w:i/>
          <w:iCs/>
          <w:color w:val="231F20"/>
          <w:sz w:val="24"/>
          <w:szCs w:val="24"/>
          <w:lang w:eastAsia="hr-HR"/>
        </w:rPr>
        <w:t>Razmjena informacija</w:t>
      </w:r>
    </w:p>
    <w:p w14:paraId="24BCDCE3" w14:textId="77777777" w:rsidR="00F80BC8" w:rsidRPr="00F80BC8" w:rsidRDefault="00F80BC8" w:rsidP="00F80BC8">
      <w:pPr>
        <w:shd w:val="clear" w:color="auto" w:fill="FFFFFF"/>
        <w:spacing w:after="0" w:line="240" w:lineRule="auto"/>
        <w:ind w:firstLine="408"/>
        <w:jc w:val="center"/>
        <w:textAlignment w:val="baseline"/>
        <w:rPr>
          <w:rFonts w:ascii="Times New Roman" w:eastAsia="Times New Roman" w:hAnsi="Times New Roman" w:cs="Times New Roman"/>
          <w:color w:val="231F20"/>
          <w:sz w:val="24"/>
          <w:szCs w:val="24"/>
          <w:lang w:eastAsia="hr-HR"/>
        </w:rPr>
      </w:pPr>
      <w:r w:rsidRPr="00F80BC8">
        <w:rPr>
          <w:rFonts w:ascii="Times New Roman" w:eastAsia="Times New Roman" w:hAnsi="Times New Roman" w:cs="Times New Roman"/>
          <w:color w:val="231F20"/>
          <w:sz w:val="24"/>
          <w:szCs w:val="24"/>
          <w:lang w:eastAsia="hr-HR"/>
        </w:rPr>
        <w:t>Članak 9.</w:t>
      </w:r>
    </w:p>
    <w:p w14:paraId="7C72ADAE" w14:textId="77777777" w:rsidR="00F80BC8" w:rsidRPr="00F80BC8" w:rsidRDefault="00F80BC8" w:rsidP="00F80BC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80BC8">
        <w:rPr>
          <w:rFonts w:ascii="Times New Roman" w:eastAsia="Times New Roman" w:hAnsi="Times New Roman" w:cs="Times New Roman"/>
          <w:color w:val="231F20"/>
          <w:sz w:val="24"/>
          <w:szCs w:val="24"/>
          <w:lang w:eastAsia="hr-HR"/>
        </w:rPr>
        <w:t>(1) Sanacijska tijela i nadležna tijela jedna drugima na zahtjev pružaju sve informacije relevantne za izvršavanje zadaća drugog tijela u skladu s ovim Zakonom pridržavajući se odredbi o čuvanju povjerljivih informacija iz članka 115. ovoga Zakona.</w:t>
      </w:r>
    </w:p>
    <w:p w14:paraId="567DD569" w14:textId="77777777" w:rsidR="00F80BC8" w:rsidRPr="00F80BC8" w:rsidRDefault="00F80BC8" w:rsidP="00F80BC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80BC8">
        <w:rPr>
          <w:rFonts w:ascii="Times New Roman" w:eastAsia="Times New Roman" w:hAnsi="Times New Roman" w:cs="Times New Roman"/>
          <w:color w:val="231F20"/>
          <w:sz w:val="24"/>
          <w:szCs w:val="24"/>
          <w:lang w:eastAsia="hr-HR"/>
        </w:rPr>
        <w:t>(2) Hrvatska narodna banka odnosno Hrvatska agencija za nadzor financijskih usluga s Ministarstvom financija međusobno razmjenjuje najmanje informacije o odlukama i radnjama koje mogu imati utjecaj na javna sredstva ili sistemske implikacije i s njime se savjetuje te ishodi odobrenje prije provedbe takve odluke ili radnje.</w:t>
      </w:r>
    </w:p>
    <w:p w14:paraId="3470F7E2" w14:textId="77777777" w:rsidR="00F80BC8" w:rsidRPr="00F80BC8" w:rsidRDefault="00F80BC8" w:rsidP="00F80BC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80BC8">
        <w:rPr>
          <w:rFonts w:ascii="Times New Roman" w:eastAsia="Times New Roman" w:hAnsi="Times New Roman" w:cs="Times New Roman"/>
          <w:color w:val="231F20"/>
          <w:sz w:val="24"/>
          <w:szCs w:val="24"/>
          <w:lang w:eastAsia="hr-HR"/>
        </w:rPr>
        <w:t>(3) Hrvatska narodna banka odnosno Hrvatska agencija za nadzor financijskih usluga obavještava Ministarstvo financija i Hrvatsku agenciju za osiguranje depozita o svojim odlukama donesenim u skladu s ovim Zakonom.</w:t>
      </w:r>
    </w:p>
    <w:p w14:paraId="6CE271AA" w14:textId="77777777" w:rsidR="00F80BC8" w:rsidRPr="00F80BC8" w:rsidRDefault="00F80BC8" w:rsidP="00F80BC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80BC8">
        <w:rPr>
          <w:rFonts w:ascii="Times New Roman" w:eastAsia="Times New Roman" w:hAnsi="Times New Roman" w:cs="Times New Roman"/>
          <w:color w:val="231F20"/>
          <w:sz w:val="24"/>
          <w:szCs w:val="24"/>
          <w:lang w:eastAsia="hr-HR"/>
        </w:rPr>
        <w:t>(4) Hrvatska narodna banka obavještava Ministarstvo financija i Hrvatsku agenciju za osiguranje depozita o odlukama Jedinstvenog sanacijskog odbora u odnosu na subjekte za koje je izravno odgovoran Jedinstveni sanacijski odbor te o načinu primjene članka 25. ovoga Zakona.</w:t>
      </w:r>
    </w:p>
    <w:p w14:paraId="462F7B6C" w14:textId="77777777" w:rsidR="00F80BC8" w:rsidRPr="00F80BC8" w:rsidRDefault="00F80BC8" w:rsidP="00F80BC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80BC8">
        <w:rPr>
          <w:rFonts w:ascii="Times New Roman" w:eastAsia="Times New Roman" w:hAnsi="Times New Roman" w:cs="Times New Roman"/>
          <w:color w:val="231F20"/>
          <w:sz w:val="24"/>
          <w:szCs w:val="24"/>
          <w:lang w:eastAsia="hr-HR"/>
        </w:rPr>
        <w:t>(5) Ako zaprimi zahtjev za dostavu informacija koje je primila od relevantnog tijela treće zemlje, Hrvatska narodna banka odnosno Hrvatska agencija za nadzor financijskih usluga prije prosljeđivanja tih informacija traži pristanak tog tijela, osim ako se relevantno tijelo treće zemlje prethodno već usuglasilo prosljeđivanjem takvih informacija.</w:t>
      </w:r>
    </w:p>
    <w:p w14:paraId="269EB108" w14:textId="77777777" w:rsidR="00F80BC8" w:rsidRPr="00F80BC8" w:rsidRDefault="00F80BC8" w:rsidP="00F80BC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80BC8">
        <w:rPr>
          <w:rFonts w:ascii="Times New Roman" w:eastAsia="Times New Roman" w:hAnsi="Times New Roman" w:cs="Times New Roman"/>
          <w:color w:val="231F20"/>
          <w:sz w:val="24"/>
          <w:szCs w:val="24"/>
          <w:lang w:eastAsia="hr-HR"/>
        </w:rPr>
        <w:t>(6) Hrvatska narodna banka odnosno Hrvatska agencija za nadzor financijskih usluga nije dužna proslijediti informacije koje je primila od relevantnog tijela treće zemlje ako to tijelo nije dalo pristanak na prosljeđivanje tih informacija.</w:t>
      </w:r>
    </w:p>
    <w:p w14:paraId="30FA4EBB" w14:textId="77777777" w:rsidR="00F80BC8" w:rsidRPr="00F80BC8" w:rsidRDefault="00F80BC8" w:rsidP="00F80BC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80BC8">
        <w:rPr>
          <w:rFonts w:ascii="Times New Roman" w:eastAsia="Times New Roman" w:hAnsi="Times New Roman" w:cs="Times New Roman"/>
          <w:color w:val="231F20"/>
          <w:sz w:val="24"/>
          <w:szCs w:val="24"/>
          <w:lang w:eastAsia="hr-HR"/>
        </w:rPr>
        <w:t>(7) Hrvatska narodna banka odnosno Hrvatska agencija za nadzor financijskih usluga može radi omogućavanja provedbe ovoga Zakona sklopiti pisane sporazume s Jedinstvenim sanacijskim odborom, sanacijskim i nadležnim tijelima iz drugih država članica i relevantnim tijelima trećih zemalja kojima će detaljnije urediti međusobnu suradnju i razmjenu informacija.</w:t>
      </w:r>
    </w:p>
    <w:p w14:paraId="5955C871" w14:textId="77777777" w:rsidR="00F80BC8" w:rsidRDefault="00F80BC8"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5B3B8B43" w14:textId="77777777" w:rsidR="00C73342" w:rsidRPr="00C73342" w:rsidRDefault="00C73342" w:rsidP="00C73342">
      <w:pPr>
        <w:shd w:val="clear" w:color="auto" w:fill="FFFFFF"/>
        <w:spacing w:before="34" w:after="48" w:line="240" w:lineRule="auto"/>
        <w:jc w:val="center"/>
        <w:textAlignment w:val="baseline"/>
        <w:rPr>
          <w:rFonts w:ascii="Times New Roman" w:eastAsia="Times New Roman" w:hAnsi="Times New Roman" w:cs="Times New Roman"/>
          <w:i/>
          <w:iCs/>
          <w:color w:val="231F20"/>
          <w:sz w:val="24"/>
          <w:szCs w:val="24"/>
          <w:lang w:eastAsia="hr-HR"/>
        </w:rPr>
      </w:pPr>
      <w:r w:rsidRPr="00C73342">
        <w:rPr>
          <w:rFonts w:ascii="Times New Roman" w:eastAsia="Times New Roman" w:hAnsi="Times New Roman" w:cs="Times New Roman"/>
          <w:i/>
          <w:iCs/>
          <w:color w:val="231F20"/>
          <w:sz w:val="24"/>
          <w:szCs w:val="24"/>
          <w:lang w:eastAsia="hr-HR"/>
        </w:rPr>
        <w:t>Nepovlašteni neosigurani dužnički instrumenti</w:t>
      </w:r>
    </w:p>
    <w:p w14:paraId="53A68447" w14:textId="2BC3A264" w:rsidR="00C73342" w:rsidRPr="000F0222" w:rsidRDefault="00C73342" w:rsidP="00C73342">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Članak </w:t>
      </w:r>
      <w:r>
        <w:rPr>
          <w:rFonts w:ascii="Times New Roman" w:eastAsia="Times New Roman" w:hAnsi="Times New Roman" w:cs="Times New Roman"/>
          <w:color w:val="231F20"/>
          <w:sz w:val="24"/>
          <w:szCs w:val="24"/>
          <w:lang w:eastAsia="hr-HR"/>
        </w:rPr>
        <w:t>32</w:t>
      </w:r>
      <w:r w:rsidRPr="000F0222">
        <w:rPr>
          <w:rFonts w:ascii="Times New Roman" w:eastAsia="Times New Roman" w:hAnsi="Times New Roman" w:cs="Times New Roman"/>
          <w:color w:val="231F20"/>
          <w:sz w:val="24"/>
          <w:szCs w:val="24"/>
          <w:lang w:eastAsia="hr-HR"/>
        </w:rPr>
        <w:t>.</w:t>
      </w:r>
    </w:p>
    <w:p w14:paraId="2569E4AF" w14:textId="77777777" w:rsidR="00C73342" w:rsidRPr="00C73342" w:rsidRDefault="00C73342" w:rsidP="00C7334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73342">
        <w:rPr>
          <w:rFonts w:ascii="Times New Roman" w:eastAsia="Times New Roman" w:hAnsi="Times New Roman" w:cs="Times New Roman"/>
          <w:color w:val="231F20"/>
          <w:sz w:val="24"/>
          <w:szCs w:val="24"/>
          <w:lang w:eastAsia="hr-HR"/>
        </w:rPr>
        <w:t>(1) Nepovlašteni neosigurani dužnički instrumenti koje institucija izdaje radi ispunjavanja minimalnog zahtjeva moraju ispunjavati uvjete iz ovoga članka te članka 30. ili 31. ovoga Zakona, ovisno što je primjenjivo.</w:t>
      </w:r>
    </w:p>
    <w:p w14:paraId="6A76E40A" w14:textId="77777777" w:rsidR="00C73342" w:rsidRPr="00C73342" w:rsidRDefault="00C73342" w:rsidP="00C7334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73342">
        <w:rPr>
          <w:rFonts w:ascii="Times New Roman" w:eastAsia="Times New Roman" w:hAnsi="Times New Roman" w:cs="Times New Roman"/>
          <w:color w:val="231F20"/>
          <w:sz w:val="24"/>
          <w:szCs w:val="24"/>
          <w:lang w:eastAsia="hr-HR"/>
        </w:rPr>
        <w:lastRenderedPageBreak/>
        <w:t>(2) Nepovlašteni neosigurani dužnički instrumenti su dužnički instrumenti koji ispunjavaju sve sljedeće uvjete:</w:t>
      </w:r>
    </w:p>
    <w:p w14:paraId="6E1744FF" w14:textId="77777777" w:rsidR="00C73342" w:rsidRPr="00C73342" w:rsidRDefault="00C73342" w:rsidP="00C7334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73342">
        <w:rPr>
          <w:rFonts w:ascii="Times New Roman" w:eastAsia="Times New Roman" w:hAnsi="Times New Roman" w:cs="Times New Roman"/>
          <w:color w:val="231F20"/>
          <w:sz w:val="24"/>
          <w:szCs w:val="24"/>
          <w:lang w:eastAsia="hr-HR"/>
        </w:rPr>
        <w:t>1. izvorni rok dospijeća dužničkog instrumenta je najmanje godinu dana</w:t>
      </w:r>
    </w:p>
    <w:p w14:paraId="0DBEE406" w14:textId="77777777" w:rsidR="00C73342" w:rsidRPr="00C73342" w:rsidRDefault="00C73342" w:rsidP="00C7334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73342">
        <w:rPr>
          <w:rFonts w:ascii="Times New Roman" w:eastAsia="Times New Roman" w:hAnsi="Times New Roman" w:cs="Times New Roman"/>
          <w:color w:val="231F20"/>
          <w:sz w:val="24"/>
          <w:szCs w:val="24"/>
          <w:lang w:eastAsia="hr-HR"/>
        </w:rPr>
        <w:t>2. dužnički instrument ne sadržava ugrađenu izvedenicu te nije izvedenica i</w:t>
      </w:r>
    </w:p>
    <w:p w14:paraId="6F3E778B" w14:textId="77777777" w:rsidR="00C73342" w:rsidRPr="00C73342" w:rsidRDefault="00C73342" w:rsidP="00C7334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73342">
        <w:rPr>
          <w:rFonts w:ascii="Times New Roman" w:eastAsia="Times New Roman" w:hAnsi="Times New Roman" w:cs="Times New Roman"/>
          <w:color w:val="231F20"/>
          <w:sz w:val="24"/>
          <w:szCs w:val="24"/>
          <w:lang w:eastAsia="hr-HR"/>
        </w:rPr>
        <w:t>3. u skladu s ugovorom ili prospektom, tražbina imatelja dužničkog instrumenta smatra se tražbinom kod koje je između vjerovnika i institucije ugovoreno da će se vjerovnik u redovnom postupku zbog insolventnosti namirivati prije imatelja instrumenata redovnog osnovnog, dodatnog osnovnog i dopunskog kapitala, a nakon svih drugih vjerovnika viših i nižih isplatnih redova.</w:t>
      </w:r>
    </w:p>
    <w:p w14:paraId="4A7D06A2" w14:textId="77777777" w:rsidR="00C73342" w:rsidRPr="00C73342" w:rsidRDefault="00C73342" w:rsidP="00C7334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C73342">
        <w:rPr>
          <w:rFonts w:ascii="Times New Roman" w:eastAsia="Times New Roman" w:hAnsi="Times New Roman" w:cs="Times New Roman"/>
          <w:color w:val="231F20"/>
          <w:sz w:val="24"/>
          <w:szCs w:val="24"/>
          <w:lang w:eastAsia="hr-HR"/>
        </w:rPr>
        <w:t>(3) U smislu stavka 2. točke 2. ovoga članka dužnički instrument s promjenjivom kamatnom stopom koja se temelji na široko korištenoj referentnoj stopi i dužnički instrument koji nije iskazan u domaćoj valuti izdavatelja, pod uvjetom da su glavnica, otplata i kamate iskazani u istoj valuti, ne smatraju se dužničkim instrumentom s ugrađenom izvedenicom samo zbog tih svojstava.</w:t>
      </w:r>
    </w:p>
    <w:p w14:paraId="73AF7E95" w14:textId="77777777" w:rsidR="00420B40" w:rsidRDefault="00420B40"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p>
    <w:sectPr w:rsidR="00420B40" w:rsidSect="00370608">
      <w:footerReference w:type="first" r:id="rId14"/>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8F775" w16cex:dateUtc="2026-01-19T17:33:00Z"/>
  <w16cex:commentExtensible w16cex:durableId="2D14E091" w16cex:dateUtc="2026-01-16T15:06:00Z"/>
  <w16cex:commentExtensible w16cex:durableId="2D18EB79" w16cex:dateUtc="2026-01-19T16:42:00Z"/>
  <w16cex:commentExtensible w16cex:durableId="2D14F89F" w16cex:dateUtc="2026-01-16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78ABE9" w16cid:durableId="2D14D4E6"/>
  <w16cid:commentId w16cid:paraId="1D15C6A2" w16cid:durableId="2D18F775"/>
  <w16cid:commentId w16cid:paraId="2BDC9045" w16cid:durableId="2D14E091"/>
  <w16cid:commentId w16cid:paraId="6187FE70" w16cid:durableId="2D14D4E7"/>
  <w16cid:commentId w16cid:paraId="7621F43C" w16cid:durableId="2D18EB79"/>
  <w16cid:commentId w16cid:paraId="6D5C61C0" w16cid:durableId="2D14D4E8"/>
  <w16cid:commentId w16cid:paraId="2CF904A2" w16cid:durableId="2D14D4E9"/>
  <w16cid:commentId w16cid:paraId="158701AD" w16cid:durableId="2D14F89F"/>
  <w16cid:commentId w16cid:paraId="46E42ADA" w16cid:durableId="2D14D4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D5811" w14:textId="77777777" w:rsidR="001701A9" w:rsidRDefault="001701A9" w:rsidP="0094171F">
      <w:pPr>
        <w:spacing w:after="0" w:line="240" w:lineRule="auto"/>
      </w:pPr>
      <w:r>
        <w:separator/>
      </w:r>
    </w:p>
  </w:endnote>
  <w:endnote w:type="continuationSeparator" w:id="0">
    <w:p w14:paraId="7F9A580C" w14:textId="77777777" w:rsidR="001701A9" w:rsidRDefault="001701A9" w:rsidP="0094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286134"/>
      <w:docPartObj>
        <w:docPartGallery w:val="Page Numbers (Bottom of Page)"/>
        <w:docPartUnique/>
      </w:docPartObj>
    </w:sdtPr>
    <w:sdtEndPr/>
    <w:sdtContent>
      <w:p w14:paraId="7B2975BF" w14:textId="58A8933B" w:rsidR="00C95B0A" w:rsidRDefault="00C95B0A">
        <w:pPr>
          <w:pStyle w:val="Footer"/>
          <w:jc w:val="right"/>
        </w:pPr>
        <w:r>
          <w:fldChar w:fldCharType="begin"/>
        </w:r>
        <w:r>
          <w:instrText>PAGE   \* MERGEFORMAT</w:instrText>
        </w:r>
        <w:r>
          <w:fldChar w:fldCharType="separate"/>
        </w:r>
        <w:r w:rsidR="002F1727">
          <w:rPr>
            <w:noProof/>
          </w:rPr>
          <w:t>2</w:t>
        </w:r>
        <w:r>
          <w:fldChar w:fldCharType="end"/>
        </w:r>
      </w:p>
    </w:sdtContent>
  </w:sdt>
  <w:p w14:paraId="038DAADF" w14:textId="77777777" w:rsidR="00C95B0A" w:rsidRDefault="00C95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073303"/>
      <w:docPartObj>
        <w:docPartGallery w:val="Page Numbers (Bottom of Page)"/>
        <w:docPartUnique/>
      </w:docPartObj>
    </w:sdtPr>
    <w:sdtEndPr/>
    <w:sdtContent>
      <w:p w14:paraId="12CE1058" w14:textId="7BA06725" w:rsidR="00C95B0A" w:rsidRDefault="00C95B0A">
        <w:pPr>
          <w:pStyle w:val="Footer"/>
          <w:jc w:val="right"/>
        </w:pPr>
        <w:r>
          <w:fldChar w:fldCharType="begin"/>
        </w:r>
        <w:r>
          <w:instrText>PAGE   \* MERGEFORMAT</w:instrText>
        </w:r>
        <w:r>
          <w:fldChar w:fldCharType="separate"/>
        </w:r>
        <w:r w:rsidR="002F1727">
          <w:rPr>
            <w:noProof/>
          </w:rPr>
          <w:t>3</w:t>
        </w:r>
        <w:r>
          <w:fldChar w:fldCharType="end"/>
        </w:r>
      </w:p>
    </w:sdtContent>
  </w:sdt>
  <w:p w14:paraId="41AF96D4" w14:textId="77777777" w:rsidR="00C95B0A" w:rsidRDefault="00C95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99711" w14:textId="77777777" w:rsidR="001701A9" w:rsidRDefault="001701A9" w:rsidP="0094171F">
      <w:pPr>
        <w:spacing w:after="0" w:line="240" w:lineRule="auto"/>
      </w:pPr>
      <w:r>
        <w:separator/>
      </w:r>
    </w:p>
  </w:footnote>
  <w:footnote w:type="continuationSeparator" w:id="0">
    <w:p w14:paraId="6CC8A6DC" w14:textId="77777777" w:rsidR="001701A9" w:rsidRDefault="001701A9" w:rsidP="00941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2044B"/>
    <w:multiLevelType w:val="hybridMultilevel"/>
    <w:tmpl w:val="654A2C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49"/>
    <w:rsid w:val="00001BC8"/>
    <w:rsid w:val="000055ED"/>
    <w:rsid w:val="00007B0B"/>
    <w:rsid w:val="00010EBE"/>
    <w:rsid w:val="00013A7B"/>
    <w:rsid w:val="00014749"/>
    <w:rsid w:val="0001685F"/>
    <w:rsid w:val="00016EB6"/>
    <w:rsid w:val="00017DB1"/>
    <w:rsid w:val="00020FD3"/>
    <w:rsid w:val="000251C8"/>
    <w:rsid w:val="00030AC5"/>
    <w:rsid w:val="00032727"/>
    <w:rsid w:val="000346D3"/>
    <w:rsid w:val="00035DA2"/>
    <w:rsid w:val="00036395"/>
    <w:rsid w:val="00045DCC"/>
    <w:rsid w:val="00046A20"/>
    <w:rsid w:val="000479E2"/>
    <w:rsid w:val="00052476"/>
    <w:rsid w:val="00053075"/>
    <w:rsid w:val="00055945"/>
    <w:rsid w:val="0005782B"/>
    <w:rsid w:val="00062FD5"/>
    <w:rsid w:val="000673BF"/>
    <w:rsid w:val="00073E95"/>
    <w:rsid w:val="000749AA"/>
    <w:rsid w:val="00074C4D"/>
    <w:rsid w:val="00077F56"/>
    <w:rsid w:val="0008154D"/>
    <w:rsid w:val="00083879"/>
    <w:rsid w:val="000840C7"/>
    <w:rsid w:val="00085AAA"/>
    <w:rsid w:val="00086407"/>
    <w:rsid w:val="000875AA"/>
    <w:rsid w:val="000A0DC1"/>
    <w:rsid w:val="000A4346"/>
    <w:rsid w:val="000A599C"/>
    <w:rsid w:val="000A7ABA"/>
    <w:rsid w:val="000B2E28"/>
    <w:rsid w:val="000B3E45"/>
    <w:rsid w:val="000B4051"/>
    <w:rsid w:val="000B4E1E"/>
    <w:rsid w:val="000C2674"/>
    <w:rsid w:val="000C6AD0"/>
    <w:rsid w:val="000C7220"/>
    <w:rsid w:val="000C78D6"/>
    <w:rsid w:val="000D23C9"/>
    <w:rsid w:val="000D2DE7"/>
    <w:rsid w:val="000D639D"/>
    <w:rsid w:val="000D6BD7"/>
    <w:rsid w:val="000E14E2"/>
    <w:rsid w:val="000E2E39"/>
    <w:rsid w:val="000F0222"/>
    <w:rsid w:val="000F396B"/>
    <w:rsid w:val="00100D30"/>
    <w:rsid w:val="001032D6"/>
    <w:rsid w:val="001106A4"/>
    <w:rsid w:val="001107C9"/>
    <w:rsid w:val="00113994"/>
    <w:rsid w:val="00116C60"/>
    <w:rsid w:val="001202B9"/>
    <w:rsid w:val="00122D0E"/>
    <w:rsid w:val="00132075"/>
    <w:rsid w:val="00133BA5"/>
    <w:rsid w:val="00137E7D"/>
    <w:rsid w:val="001422E9"/>
    <w:rsid w:val="00146D3C"/>
    <w:rsid w:val="00160827"/>
    <w:rsid w:val="00164C93"/>
    <w:rsid w:val="001701A9"/>
    <w:rsid w:val="001751FB"/>
    <w:rsid w:val="00175566"/>
    <w:rsid w:val="00177691"/>
    <w:rsid w:val="00181C77"/>
    <w:rsid w:val="00184D6E"/>
    <w:rsid w:val="00185F02"/>
    <w:rsid w:val="0019151D"/>
    <w:rsid w:val="0019350C"/>
    <w:rsid w:val="00193511"/>
    <w:rsid w:val="00194F03"/>
    <w:rsid w:val="00196076"/>
    <w:rsid w:val="00196A93"/>
    <w:rsid w:val="001A0A38"/>
    <w:rsid w:val="001A22AF"/>
    <w:rsid w:val="001A74D9"/>
    <w:rsid w:val="001B2529"/>
    <w:rsid w:val="001B4BD5"/>
    <w:rsid w:val="001B58AA"/>
    <w:rsid w:val="001B7EEC"/>
    <w:rsid w:val="001C1BC4"/>
    <w:rsid w:val="001C2D84"/>
    <w:rsid w:val="001C4A87"/>
    <w:rsid w:val="001C50CA"/>
    <w:rsid w:val="001D225E"/>
    <w:rsid w:val="001E11D8"/>
    <w:rsid w:val="001E3AF6"/>
    <w:rsid w:val="001E5E25"/>
    <w:rsid w:val="001E6863"/>
    <w:rsid w:val="001E7CAB"/>
    <w:rsid w:val="001F0EFB"/>
    <w:rsid w:val="001F6413"/>
    <w:rsid w:val="001F7469"/>
    <w:rsid w:val="001F7E4E"/>
    <w:rsid w:val="00200FFC"/>
    <w:rsid w:val="00202A03"/>
    <w:rsid w:val="00206C3F"/>
    <w:rsid w:val="00207DE9"/>
    <w:rsid w:val="00211ABB"/>
    <w:rsid w:val="0021201C"/>
    <w:rsid w:val="002123CB"/>
    <w:rsid w:val="00212F97"/>
    <w:rsid w:val="00212FF0"/>
    <w:rsid w:val="00215634"/>
    <w:rsid w:val="002156A2"/>
    <w:rsid w:val="00221902"/>
    <w:rsid w:val="0022197C"/>
    <w:rsid w:val="00224CF2"/>
    <w:rsid w:val="00226D57"/>
    <w:rsid w:val="00227126"/>
    <w:rsid w:val="00232BEC"/>
    <w:rsid w:val="002333AF"/>
    <w:rsid w:val="0024545A"/>
    <w:rsid w:val="00245A12"/>
    <w:rsid w:val="0024639C"/>
    <w:rsid w:val="002513A9"/>
    <w:rsid w:val="00252681"/>
    <w:rsid w:val="002553D1"/>
    <w:rsid w:val="00256B9E"/>
    <w:rsid w:val="0026048B"/>
    <w:rsid w:val="00261261"/>
    <w:rsid w:val="00262BC7"/>
    <w:rsid w:val="00265734"/>
    <w:rsid w:val="00266256"/>
    <w:rsid w:val="00267DC3"/>
    <w:rsid w:val="00276852"/>
    <w:rsid w:val="00280076"/>
    <w:rsid w:val="00283692"/>
    <w:rsid w:val="00287C57"/>
    <w:rsid w:val="00291F14"/>
    <w:rsid w:val="00292684"/>
    <w:rsid w:val="00293F3A"/>
    <w:rsid w:val="00294CAC"/>
    <w:rsid w:val="002950FA"/>
    <w:rsid w:val="002951C3"/>
    <w:rsid w:val="002960B3"/>
    <w:rsid w:val="002A1DB9"/>
    <w:rsid w:val="002A2D85"/>
    <w:rsid w:val="002A3CF5"/>
    <w:rsid w:val="002A4E4F"/>
    <w:rsid w:val="002A7B9E"/>
    <w:rsid w:val="002B122C"/>
    <w:rsid w:val="002B6583"/>
    <w:rsid w:val="002B7193"/>
    <w:rsid w:val="002C33FB"/>
    <w:rsid w:val="002C421D"/>
    <w:rsid w:val="002C4284"/>
    <w:rsid w:val="002C6E39"/>
    <w:rsid w:val="002C740A"/>
    <w:rsid w:val="002D067F"/>
    <w:rsid w:val="002D0981"/>
    <w:rsid w:val="002D2CD1"/>
    <w:rsid w:val="002D31FF"/>
    <w:rsid w:val="002D7095"/>
    <w:rsid w:val="002E0989"/>
    <w:rsid w:val="002E12A1"/>
    <w:rsid w:val="002E363E"/>
    <w:rsid w:val="002E5232"/>
    <w:rsid w:val="002F1139"/>
    <w:rsid w:val="002F1727"/>
    <w:rsid w:val="002F2827"/>
    <w:rsid w:val="002F2A60"/>
    <w:rsid w:val="002F7D00"/>
    <w:rsid w:val="002F7EBA"/>
    <w:rsid w:val="00300071"/>
    <w:rsid w:val="003007C6"/>
    <w:rsid w:val="0030134D"/>
    <w:rsid w:val="003030F8"/>
    <w:rsid w:val="0030416D"/>
    <w:rsid w:val="00310FA4"/>
    <w:rsid w:val="00315758"/>
    <w:rsid w:val="00317631"/>
    <w:rsid w:val="003212F6"/>
    <w:rsid w:val="00326218"/>
    <w:rsid w:val="00335F28"/>
    <w:rsid w:val="00343960"/>
    <w:rsid w:val="00343EB1"/>
    <w:rsid w:val="003466A3"/>
    <w:rsid w:val="00346C1A"/>
    <w:rsid w:val="00347716"/>
    <w:rsid w:val="00357464"/>
    <w:rsid w:val="00370608"/>
    <w:rsid w:val="003717C5"/>
    <w:rsid w:val="00373091"/>
    <w:rsid w:val="0037363F"/>
    <w:rsid w:val="00375185"/>
    <w:rsid w:val="0037645E"/>
    <w:rsid w:val="00391B96"/>
    <w:rsid w:val="00391C26"/>
    <w:rsid w:val="0039413C"/>
    <w:rsid w:val="00395433"/>
    <w:rsid w:val="003A5AF2"/>
    <w:rsid w:val="003A69EC"/>
    <w:rsid w:val="003B11FB"/>
    <w:rsid w:val="003B4B9F"/>
    <w:rsid w:val="003B5FC5"/>
    <w:rsid w:val="003C322D"/>
    <w:rsid w:val="003C4316"/>
    <w:rsid w:val="003C6664"/>
    <w:rsid w:val="003D0E23"/>
    <w:rsid w:val="003D33BB"/>
    <w:rsid w:val="003D6305"/>
    <w:rsid w:val="003E0D1C"/>
    <w:rsid w:val="003E109A"/>
    <w:rsid w:val="003E16A1"/>
    <w:rsid w:val="003E59BA"/>
    <w:rsid w:val="003E76CA"/>
    <w:rsid w:val="003F03FD"/>
    <w:rsid w:val="003F4BB2"/>
    <w:rsid w:val="00402047"/>
    <w:rsid w:val="00405B02"/>
    <w:rsid w:val="00411237"/>
    <w:rsid w:val="00414880"/>
    <w:rsid w:val="00414C58"/>
    <w:rsid w:val="004208E3"/>
    <w:rsid w:val="00420AF8"/>
    <w:rsid w:val="00420B40"/>
    <w:rsid w:val="00423CC0"/>
    <w:rsid w:val="0042711C"/>
    <w:rsid w:val="00435796"/>
    <w:rsid w:val="00444359"/>
    <w:rsid w:val="004444AD"/>
    <w:rsid w:val="00445664"/>
    <w:rsid w:val="004477C5"/>
    <w:rsid w:val="004533E1"/>
    <w:rsid w:val="00460804"/>
    <w:rsid w:val="0046105F"/>
    <w:rsid w:val="00465BDA"/>
    <w:rsid w:val="004660A7"/>
    <w:rsid w:val="004747A8"/>
    <w:rsid w:val="00474868"/>
    <w:rsid w:val="0048177D"/>
    <w:rsid w:val="004820E9"/>
    <w:rsid w:val="00483A68"/>
    <w:rsid w:val="0048516F"/>
    <w:rsid w:val="00485D11"/>
    <w:rsid w:val="004947F7"/>
    <w:rsid w:val="00494E28"/>
    <w:rsid w:val="00496638"/>
    <w:rsid w:val="004A1831"/>
    <w:rsid w:val="004B0432"/>
    <w:rsid w:val="004B1058"/>
    <w:rsid w:val="004B3B9D"/>
    <w:rsid w:val="004C0B19"/>
    <w:rsid w:val="004C2A58"/>
    <w:rsid w:val="004C3ABB"/>
    <w:rsid w:val="004C5201"/>
    <w:rsid w:val="004C529F"/>
    <w:rsid w:val="004C56C6"/>
    <w:rsid w:val="004C6DF3"/>
    <w:rsid w:val="004D0134"/>
    <w:rsid w:val="004D1F72"/>
    <w:rsid w:val="004D6707"/>
    <w:rsid w:val="004E16C7"/>
    <w:rsid w:val="004F6C3C"/>
    <w:rsid w:val="00505D44"/>
    <w:rsid w:val="00507308"/>
    <w:rsid w:val="00507655"/>
    <w:rsid w:val="00511260"/>
    <w:rsid w:val="00512DB4"/>
    <w:rsid w:val="00513AD3"/>
    <w:rsid w:val="00524B0D"/>
    <w:rsid w:val="00524EF0"/>
    <w:rsid w:val="005310B3"/>
    <w:rsid w:val="0053418B"/>
    <w:rsid w:val="005363F7"/>
    <w:rsid w:val="005372E6"/>
    <w:rsid w:val="00537FC0"/>
    <w:rsid w:val="005403CD"/>
    <w:rsid w:val="0054048B"/>
    <w:rsid w:val="00541CF8"/>
    <w:rsid w:val="00542460"/>
    <w:rsid w:val="005465BA"/>
    <w:rsid w:val="005605B0"/>
    <w:rsid w:val="005620F5"/>
    <w:rsid w:val="00565F54"/>
    <w:rsid w:val="00572483"/>
    <w:rsid w:val="00573142"/>
    <w:rsid w:val="005739AC"/>
    <w:rsid w:val="0057464B"/>
    <w:rsid w:val="0057603F"/>
    <w:rsid w:val="00576EE0"/>
    <w:rsid w:val="0057774C"/>
    <w:rsid w:val="005802C0"/>
    <w:rsid w:val="005811C7"/>
    <w:rsid w:val="005840AB"/>
    <w:rsid w:val="0058430C"/>
    <w:rsid w:val="00586A9E"/>
    <w:rsid w:val="005875DF"/>
    <w:rsid w:val="005954DA"/>
    <w:rsid w:val="00596313"/>
    <w:rsid w:val="005A3D2E"/>
    <w:rsid w:val="005A59D0"/>
    <w:rsid w:val="005B1640"/>
    <w:rsid w:val="005B2B82"/>
    <w:rsid w:val="005B47F6"/>
    <w:rsid w:val="005B73D7"/>
    <w:rsid w:val="005C32B7"/>
    <w:rsid w:val="005F053D"/>
    <w:rsid w:val="005F07F9"/>
    <w:rsid w:val="005F1886"/>
    <w:rsid w:val="005F20B4"/>
    <w:rsid w:val="005F61BB"/>
    <w:rsid w:val="006009A9"/>
    <w:rsid w:val="00600CBB"/>
    <w:rsid w:val="00603A5B"/>
    <w:rsid w:val="00604822"/>
    <w:rsid w:val="006052CE"/>
    <w:rsid w:val="0060599D"/>
    <w:rsid w:val="00606212"/>
    <w:rsid w:val="00610638"/>
    <w:rsid w:val="00613267"/>
    <w:rsid w:val="0061479F"/>
    <w:rsid w:val="006166D9"/>
    <w:rsid w:val="0061684B"/>
    <w:rsid w:val="00620B5B"/>
    <w:rsid w:val="006213ED"/>
    <w:rsid w:val="0062207A"/>
    <w:rsid w:val="00627CB3"/>
    <w:rsid w:val="00636199"/>
    <w:rsid w:val="006467B4"/>
    <w:rsid w:val="00647826"/>
    <w:rsid w:val="00647945"/>
    <w:rsid w:val="00650BCD"/>
    <w:rsid w:val="00650DAB"/>
    <w:rsid w:val="00654EE5"/>
    <w:rsid w:val="00655D50"/>
    <w:rsid w:val="006643F5"/>
    <w:rsid w:val="00665B3B"/>
    <w:rsid w:val="00670836"/>
    <w:rsid w:val="00673175"/>
    <w:rsid w:val="006757C8"/>
    <w:rsid w:val="00680EB3"/>
    <w:rsid w:val="00681B85"/>
    <w:rsid w:val="00686F10"/>
    <w:rsid w:val="006A056D"/>
    <w:rsid w:val="006A16EE"/>
    <w:rsid w:val="006A5268"/>
    <w:rsid w:val="006A787A"/>
    <w:rsid w:val="006B3227"/>
    <w:rsid w:val="006C3C7F"/>
    <w:rsid w:val="006C5248"/>
    <w:rsid w:val="006C6CDC"/>
    <w:rsid w:val="006C6F18"/>
    <w:rsid w:val="006D0FEF"/>
    <w:rsid w:val="006D1869"/>
    <w:rsid w:val="006D75E0"/>
    <w:rsid w:val="006E37F6"/>
    <w:rsid w:val="006E47E7"/>
    <w:rsid w:val="006E4C7F"/>
    <w:rsid w:val="006E517A"/>
    <w:rsid w:val="006E52CB"/>
    <w:rsid w:val="006E56F6"/>
    <w:rsid w:val="006E5F8F"/>
    <w:rsid w:val="006E6B0F"/>
    <w:rsid w:val="006F3AF0"/>
    <w:rsid w:val="006F43F4"/>
    <w:rsid w:val="006F6FC9"/>
    <w:rsid w:val="00700C58"/>
    <w:rsid w:val="0070162F"/>
    <w:rsid w:val="0070413D"/>
    <w:rsid w:val="0071623F"/>
    <w:rsid w:val="00724BFA"/>
    <w:rsid w:val="00727851"/>
    <w:rsid w:val="007313DC"/>
    <w:rsid w:val="007362F6"/>
    <w:rsid w:val="0073640C"/>
    <w:rsid w:val="007373CD"/>
    <w:rsid w:val="00740926"/>
    <w:rsid w:val="00741254"/>
    <w:rsid w:val="007423D6"/>
    <w:rsid w:val="007439BB"/>
    <w:rsid w:val="00743E48"/>
    <w:rsid w:val="00745EE8"/>
    <w:rsid w:val="00750068"/>
    <w:rsid w:val="007516D3"/>
    <w:rsid w:val="00755EB5"/>
    <w:rsid w:val="00764B1E"/>
    <w:rsid w:val="007708B8"/>
    <w:rsid w:val="00773D4D"/>
    <w:rsid w:val="007740C1"/>
    <w:rsid w:val="00774E09"/>
    <w:rsid w:val="0077525A"/>
    <w:rsid w:val="00783126"/>
    <w:rsid w:val="00783E49"/>
    <w:rsid w:val="007901F0"/>
    <w:rsid w:val="0079066C"/>
    <w:rsid w:val="0079271B"/>
    <w:rsid w:val="0079559C"/>
    <w:rsid w:val="0079622E"/>
    <w:rsid w:val="00797EF3"/>
    <w:rsid w:val="007A169D"/>
    <w:rsid w:val="007A1741"/>
    <w:rsid w:val="007A2D67"/>
    <w:rsid w:val="007A5830"/>
    <w:rsid w:val="007B65B1"/>
    <w:rsid w:val="007C31A6"/>
    <w:rsid w:val="007C3AF2"/>
    <w:rsid w:val="007C3AFF"/>
    <w:rsid w:val="007D3BC8"/>
    <w:rsid w:val="007D4961"/>
    <w:rsid w:val="007D6094"/>
    <w:rsid w:val="007E204C"/>
    <w:rsid w:val="007E2AC1"/>
    <w:rsid w:val="007E2D07"/>
    <w:rsid w:val="007E3E06"/>
    <w:rsid w:val="007F0AB5"/>
    <w:rsid w:val="007F362A"/>
    <w:rsid w:val="007F3961"/>
    <w:rsid w:val="007F501A"/>
    <w:rsid w:val="007F657F"/>
    <w:rsid w:val="007F7B00"/>
    <w:rsid w:val="00801CC5"/>
    <w:rsid w:val="00802B45"/>
    <w:rsid w:val="00802F4A"/>
    <w:rsid w:val="00810565"/>
    <w:rsid w:val="00815BD6"/>
    <w:rsid w:val="008203D6"/>
    <w:rsid w:val="00820751"/>
    <w:rsid w:val="00821A70"/>
    <w:rsid w:val="008238C7"/>
    <w:rsid w:val="00825327"/>
    <w:rsid w:val="00825643"/>
    <w:rsid w:val="00827A80"/>
    <w:rsid w:val="00830D0B"/>
    <w:rsid w:val="0083191C"/>
    <w:rsid w:val="00831A89"/>
    <w:rsid w:val="0084035F"/>
    <w:rsid w:val="00842BE6"/>
    <w:rsid w:val="0084326B"/>
    <w:rsid w:val="0086483A"/>
    <w:rsid w:val="00864972"/>
    <w:rsid w:val="008708DF"/>
    <w:rsid w:val="008723B9"/>
    <w:rsid w:val="00885445"/>
    <w:rsid w:val="008873AB"/>
    <w:rsid w:val="00893986"/>
    <w:rsid w:val="00895860"/>
    <w:rsid w:val="008966FA"/>
    <w:rsid w:val="008975FB"/>
    <w:rsid w:val="008A2457"/>
    <w:rsid w:val="008A5032"/>
    <w:rsid w:val="008B0C60"/>
    <w:rsid w:val="008B6395"/>
    <w:rsid w:val="008B6790"/>
    <w:rsid w:val="008C1225"/>
    <w:rsid w:val="008C46AB"/>
    <w:rsid w:val="008C5AED"/>
    <w:rsid w:val="008C64EC"/>
    <w:rsid w:val="008D1CDB"/>
    <w:rsid w:val="008D3BC3"/>
    <w:rsid w:val="008D4039"/>
    <w:rsid w:val="008D7067"/>
    <w:rsid w:val="008E2224"/>
    <w:rsid w:val="008E2585"/>
    <w:rsid w:val="008F19F8"/>
    <w:rsid w:val="008F3490"/>
    <w:rsid w:val="008F3C40"/>
    <w:rsid w:val="00900289"/>
    <w:rsid w:val="00902C2E"/>
    <w:rsid w:val="00904901"/>
    <w:rsid w:val="009061BB"/>
    <w:rsid w:val="00906304"/>
    <w:rsid w:val="00906534"/>
    <w:rsid w:val="00921BAB"/>
    <w:rsid w:val="00927CF2"/>
    <w:rsid w:val="00930223"/>
    <w:rsid w:val="0093352A"/>
    <w:rsid w:val="00935EEA"/>
    <w:rsid w:val="009413E8"/>
    <w:rsid w:val="0094171F"/>
    <w:rsid w:val="00941B0B"/>
    <w:rsid w:val="00945E5D"/>
    <w:rsid w:val="0095097A"/>
    <w:rsid w:val="0095203D"/>
    <w:rsid w:val="00953C74"/>
    <w:rsid w:val="0095518D"/>
    <w:rsid w:val="00955E93"/>
    <w:rsid w:val="009578A6"/>
    <w:rsid w:val="00961C55"/>
    <w:rsid w:val="00964432"/>
    <w:rsid w:val="00965DB9"/>
    <w:rsid w:val="00966061"/>
    <w:rsid w:val="009709EE"/>
    <w:rsid w:val="0097165D"/>
    <w:rsid w:val="009728C7"/>
    <w:rsid w:val="00972A84"/>
    <w:rsid w:val="00973204"/>
    <w:rsid w:val="00974511"/>
    <w:rsid w:val="00974B0F"/>
    <w:rsid w:val="00976E8E"/>
    <w:rsid w:val="009771EA"/>
    <w:rsid w:val="00980B2F"/>
    <w:rsid w:val="00982A71"/>
    <w:rsid w:val="0098346C"/>
    <w:rsid w:val="0098363F"/>
    <w:rsid w:val="00983C14"/>
    <w:rsid w:val="00991709"/>
    <w:rsid w:val="00992EEA"/>
    <w:rsid w:val="00995B0E"/>
    <w:rsid w:val="009A0C9A"/>
    <w:rsid w:val="009A28D7"/>
    <w:rsid w:val="009A35FF"/>
    <w:rsid w:val="009A40FB"/>
    <w:rsid w:val="009A62B4"/>
    <w:rsid w:val="009A7769"/>
    <w:rsid w:val="009A7C74"/>
    <w:rsid w:val="009A7EC8"/>
    <w:rsid w:val="009B0312"/>
    <w:rsid w:val="009B53AF"/>
    <w:rsid w:val="009B6F32"/>
    <w:rsid w:val="009B7E53"/>
    <w:rsid w:val="009C031D"/>
    <w:rsid w:val="009C3284"/>
    <w:rsid w:val="009C44DC"/>
    <w:rsid w:val="009C5D7D"/>
    <w:rsid w:val="009D0435"/>
    <w:rsid w:val="009D0A28"/>
    <w:rsid w:val="009D2F9F"/>
    <w:rsid w:val="009D5361"/>
    <w:rsid w:val="009D73B7"/>
    <w:rsid w:val="009D7CA5"/>
    <w:rsid w:val="009E3F6A"/>
    <w:rsid w:val="009E66D7"/>
    <w:rsid w:val="00A03564"/>
    <w:rsid w:val="00A0739A"/>
    <w:rsid w:val="00A112F3"/>
    <w:rsid w:val="00A11D2E"/>
    <w:rsid w:val="00A11F57"/>
    <w:rsid w:val="00A13682"/>
    <w:rsid w:val="00A15E11"/>
    <w:rsid w:val="00A20301"/>
    <w:rsid w:val="00A245F5"/>
    <w:rsid w:val="00A24E4A"/>
    <w:rsid w:val="00A303A0"/>
    <w:rsid w:val="00A309DA"/>
    <w:rsid w:val="00A31014"/>
    <w:rsid w:val="00A31F5E"/>
    <w:rsid w:val="00A327E5"/>
    <w:rsid w:val="00A333E6"/>
    <w:rsid w:val="00A4018F"/>
    <w:rsid w:val="00A42845"/>
    <w:rsid w:val="00A43337"/>
    <w:rsid w:val="00A478F5"/>
    <w:rsid w:val="00A52811"/>
    <w:rsid w:val="00A56CC3"/>
    <w:rsid w:val="00A639A8"/>
    <w:rsid w:val="00A66292"/>
    <w:rsid w:val="00A664E3"/>
    <w:rsid w:val="00A66ABF"/>
    <w:rsid w:val="00A702A4"/>
    <w:rsid w:val="00A72C80"/>
    <w:rsid w:val="00A74C49"/>
    <w:rsid w:val="00A753D2"/>
    <w:rsid w:val="00A76524"/>
    <w:rsid w:val="00A76759"/>
    <w:rsid w:val="00A8078E"/>
    <w:rsid w:val="00A828B8"/>
    <w:rsid w:val="00A856A3"/>
    <w:rsid w:val="00A94142"/>
    <w:rsid w:val="00A94DEB"/>
    <w:rsid w:val="00AA032F"/>
    <w:rsid w:val="00AA1046"/>
    <w:rsid w:val="00AA1568"/>
    <w:rsid w:val="00AA19FA"/>
    <w:rsid w:val="00AA7140"/>
    <w:rsid w:val="00AA7239"/>
    <w:rsid w:val="00AA7984"/>
    <w:rsid w:val="00AB3336"/>
    <w:rsid w:val="00AB42E2"/>
    <w:rsid w:val="00AB4B79"/>
    <w:rsid w:val="00AB4EF6"/>
    <w:rsid w:val="00AC28BD"/>
    <w:rsid w:val="00AD0453"/>
    <w:rsid w:val="00AD17EF"/>
    <w:rsid w:val="00AE65BF"/>
    <w:rsid w:val="00AE6A0D"/>
    <w:rsid w:val="00AE7A70"/>
    <w:rsid w:val="00AF101E"/>
    <w:rsid w:val="00AF3313"/>
    <w:rsid w:val="00B0313E"/>
    <w:rsid w:val="00B04382"/>
    <w:rsid w:val="00B06697"/>
    <w:rsid w:val="00B07822"/>
    <w:rsid w:val="00B07B38"/>
    <w:rsid w:val="00B10FA5"/>
    <w:rsid w:val="00B1228D"/>
    <w:rsid w:val="00B12888"/>
    <w:rsid w:val="00B17DA0"/>
    <w:rsid w:val="00B24FE3"/>
    <w:rsid w:val="00B32AE4"/>
    <w:rsid w:val="00B32DF6"/>
    <w:rsid w:val="00B33931"/>
    <w:rsid w:val="00B35DE6"/>
    <w:rsid w:val="00B37703"/>
    <w:rsid w:val="00B40124"/>
    <w:rsid w:val="00B4383F"/>
    <w:rsid w:val="00B44A21"/>
    <w:rsid w:val="00B451F5"/>
    <w:rsid w:val="00B51B2D"/>
    <w:rsid w:val="00B5532E"/>
    <w:rsid w:val="00B573BD"/>
    <w:rsid w:val="00B61D47"/>
    <w:rsid w:val="00B6242D"/>
    <w:rsid w:val="00B6446F"/>
    <w:rsid w:val="00B70C11"/>
    <w:rsid w:val="00B76F52"/>
    <w:rsid w:val="00B82960"/>
    <w:rsid w:val="00B84558"/>
    <w:rsid w:val="00B93AE8"/>
    <w:rsid w:val="00B96D22"/>
    <w:rsid w:val="00BA1454"/>
    <w:rsid w:val="00BA1D6B"/>
    <w:rsid w:val="00BA55B1"/>
    <w:rsid w:val="00BC03E0"/>
    <w:rsid w:val="00BC0F64"/>
    <w:rsid w:val="00BC1F3C"/>
    <w:rsid w:val="00BC351B"/>
    <w:rsid w:val="00BC4D99"/>
    <w:rsid w:val="00BD3810"/>
    <w:rsid w:val="00BE22B5"/>
    <w:rsid w:val="00BE34C0"/>
    <w:rsid w:val="00BE58E6"/>
    <w:rsid w:val="00BE7FD1"/>
    <w:rsid w:val="00BF1A74"/>
    <w:rsid w:val="00BF2D2B"/>
    <w:rsid w:val="00C003BC"/>
    <w:rsid w:val="00C0485C"/>
    <w:rsid w:val="00C11716"/>
    <w:rsid w:val="00C14DB4"/>
    <w:rsid w:val="00C165A2"/>
    <w:rsid w:val="00C16FDD"/>
    <w:rsid w:val="00C17DED"/>
    <w:rsid w:val="00C20654"/>
    <w:rsid w:val="00C25B42"/>
    <w:rsid w:val="00C32523"/>
    <w:rsid w:val="00C338AC"/>
    <w:rsid w:val="00C35323"/>
    <w:rsid w:val="00C4334B"/>
    <w:rsid w:val="00C45AF2"/>
    <w:rsid w:val="00C4638D"/>
    <w:rsid w:val="00C46BFB"/>
    <w:rsid w:val="00C47BA7"/>
    <w:rsid w:val="00C510B7"/>
    <w:rsid w:val="00C52168"/>
    <w:rsid w:val="00C53EBF"/>
    <w:rsid w:val="00C572BA"/>
    <w:rsid w:val="00C6394F"/>
    <w:rsid w:val="00C671E1"/>
    <w:rsid w:val="00C67FDA"/>
    <w:rsid w:val="00C7327E"/>
    <w:rsid w:val="00C73342"/>
    <w:rsid w:val="00C73BA6"/>
    <w:rsid w:val="00C7413A"/>
    <w:rsid w:val="00C747E7"/>
    <w:rsid w:val="00C80C38"/>
    <w:rsid w:val="00C8730D"/>
    <w:rsid w:val="00C9114C"/>
    <w:rsid w:val="00C928FD"/>
    <w:rsid w:val="00C95B0A"/>
    <w:rsid w:val="00CA0C29"/>
    <w:rsid w:val="00CA0C51"/>
    <w:rsid w:val="00CA1B0E"/>
    <w:rsid w:val="00CA4CEF"/>
    <w:rsid w:val="00CC780C"/>
    <w:rsid w:val="00CD32F5"/>
    <w:rsid w:val="00CD41A1"/>
    <w:rsid w:val="00CD6298"/>
    <w:rsid w:val="00CD6572"/>
    <w:rsid w:val="00CD7B31"/>
    <w:rsid w:val="00CE2B05"/>
    <w:rsid w:val="00CE3B2F"/>
    <w:rsid w:val="00CE631F"/>
    <w:rsid w:val="00CF0F7D"/>
    <w:rsid w:val="00CF1F26"/>
    <w:rsid w:val="00CF52DA"/>
    <w:rsid w:val="00D026E5"/>
    <w:rsid w:val="00D039EF"/>
    <w:rsid w:val="00D03F0C"/>
    <w:rsid w:val="00D03F12"/>
    <w:rsid w:val="00D11A61"/>
    <w:rsid w:val="00D20648"/>
    <w:rsid w:val="00D215DA"/>
    <w:rsid w:val="00D22A51"/>
    <w:rsid w:val="00D256DF"/>
    <w:rsid w:val="00D25A0E"/>
    <w:rsid w:val="00D260C4"/>
    <w:rsid w:val="00D2663E"/>
    <w:rsid w:val="00D306D6"/>
    <w:rsid w:val="00D34C00"/>
    <w:rsid w:val="00D37FAD"/>
    <w:rsid w:val="00D420F1"/>
    <w:rsid w:val="00D421B2"/>
    <w:rsid w:val="00D446A3"/>
    <w:rsid w:val="00D44A3E"/>
    <w:rsid w:val="00D47160"/>
    <w:rsid w:val="00D62A4F"/>
    <w:rsid w:val="00D64063"/>
    <w:rsid w:val="00D65AEA"/>
    <w:rsid w:val="00D66BD1"/>
    <w:rsid w:val="00D67719"/>
    <w:rsid w:val="00D70E70"/>
    <w:rsid w:val="00D71546"/>
    <w:rsid w:val="00D7195F"/>
    <w:rsid w:val="00D722A0"/>
    <w:rsid w:val="00D75B84"/>
    <w:rsid w:val="00D85B2F"/>
    <w:rsid w:val="00D94933"/>
    <w:rsid w:val="00DA168A"/>
    <w:rsid w:val="00DB2664"/>
    <w:rsid w:val="00DB4D1B"/>
    <w:rsid w:val="00DB7A7D"/>
    <w:rsid w:val="00DC0A76"/>
    <w:rsid w:val="00DC44F0"/>
    <w:rsid w:val="00DC4881"/>
    <w:rsid w:val="00DD2D15"/>
    <w:rsid w:val="00DE44BC"/>
    <w:rsid w:val="00DE5386"/>
    <w:rsid w:val="00DE6794"/>
    <w:rsid w:val="00DE73AB"/>
    <w:rsid w:val="00DE7A5A"/>
    <w:rsid w:val="00DF02A5"/>
    <w:rsid w:val="00E009FF"/>
    <w:rsid w:val="00E013A8"/>
    <w:rsid w:val="00E027F5"/>
    <w:rsid w:val="00E028DB"/>
    <w:rsid w:val="00E03A28"/>
    <w:rsid w:val="00E0640F"/>
    <w:rsid w:val="00E069AB"/>
    <w:rsid w:val="00E10024"/>
    <w:rsid w:val="00E10549"/>
    <w:rsid w:val="00E11951"/>
    <w:rsid w:val="00E13A73"/>
    <w:rsid w:val="00E143D8"/>
    <w:rsid w:val="00E15C85"/>
    <w:rsid w:val="00E250B0"/>
    <w:rsid w:val="00E25A0E"/>
    <w:rsid w:val="00E2658C"/>
    <w:rsid w:val="00E26E29"/>
    <w:rsid w:val="00E33BD1"/>
    <w:rsid w:val="00E4209C"/>
    <w:rsid w:val="00E44BBD"/>
    <w:rsid w:val="00E470FF"/>
    <w:rsid w:val="00E47249"/>
    <w:rsid w:val="00E479CC"/>
    <w:rsid w:val="00E5065D"/>
    <w:rsid w:val="00E519A8"/>
    <w:rsid w:val="00E52E91"/>
    <w:rsid w:val="00E54BA4"/>
    <w:rsid w:val="00E56F56"/>
    <w:rsid w:val="00E578DC"/>
    <w:rsid w:val="00E663E4"/>
    <w:rsid w:val="00E70B0D"/>
    <w:rsid w:val="00E74CB9"/>
    <w:rsid w:val="00E74FB6"/>
    <w:rsid w:val="00E81775"/>
    <w:rsid w:val="00E8455D"/>
    <w:rsid w:val="00E84C37"/>
    <w:rsid w:val="00E862CA"/>
    <w:rsid w:val="00E96771"/>
    <w:rsid w:val="00EB1280"/>
    <w:rsid w:val="00EB4131"/>
    <w:rsid w:val="00EB603D"/>
    <w:rsid w:val="00EB60E7"/>
    <w:rsid w:val="00EC0367"/>
    <w:rsid w:val="00EC086C"/>
    <w:rsid w:val="00EC6BED"/>
    <w:rsid w:val="00ED07C2"/>
    <w:rsid w:val="00ED0844"/>
    <w:rsid w:val="00ED12CA"/>
    <w:rsid w:val="00ED24FD"/>
    <w:rsid w:val="00ED485D"/>
    <w:rsid w:val="00EE01B5"/>
    <w:rsid w:val="00EE0E50"/>
    <w:rsid w:val="00EE2F8B"/>
    <w:rsid w:val="00EE3F09"/>
    <w:rsid w:val="00EE7644"/>
    <w:rsid w:val="00EF2CAB"/>
    <w:rsid w:val="00EF45F1"/>
    <w:rsid w:val="00EF4D1A"/>
    <w:rsid w:val="00EF52EF"/>
    <w:rsid w:val="00EF54A4"/>
    <w:rsid w:val="00EF7010"/>
    <w:rsid w:val="00EF7481"/>
    <w:rsid w:val="00F01F8D"/>
    <w:rsid w:val="00F02868"/>
    <w:rsid w:val="00F05D5B"/>
    <w:rsid w:val="00F129EF"/>
    <w:rsid w:val="00F13A19"/>
    <w:rsid w:val="00F13E75"/>
    <w:rsid w:val="00F211BC"/>
    <w:rsid w:val="00F21A3C"/>
    <w:rsid w:val="00F22768"/>
    <w:rsid w:val="00F23321"/>
    <w:rsid w:val="00F24A40"/>
    <w:rsid w:val="00F25676"/>
    <w:rsid w:val="00F3170B"/>
    <w:rsid w:val="00F34B4C"/>
    <w:rsid w:val="00F37D9E"/>
    <w:rsid w:val="00F37FBF"/>
    <w:rsid w:val="00F40B2F"/>
    <w:rsid w:val="00F41310"/>
    <w:rsid w:val="00F42ADE"/>
    <w:rsid w:val="00F42C43"/>
    <w:rsid w:val="00F43670"/>
    <w:rsid w:val="00F52003"/>
    <w:rsid w:val="00F54FD6"/>
    <w:rsid w:val="00F60480"/>
    <w:rsid w:val="00F60CEA"/>
    <w:rsid w:val="00F66165"/>
    <w:rsid w:val="00F72AAA"/>
    <w:rsid w:val="00F80BC8"/>
    <w:rsid w:val="00F81096"/>
    <w:rsid w:val="00F838B6"/>
    <w:rsid w:val="00F8584E"/>
    <w:rsid w:val="00F92D3D"/>
    <w:rsid w:val="00F969D0"/>
    <w:rsid w:val="00FA005A"/>
    <w:rsid w:val="00FA2BB5"/>
    <w:rsid w:val="00FA7729"/>
    <w:rsid w:val="00FB11D4"/>
    <w:rsid w:val="00FB1D8A"/>
    <w:rsid w:val="00FB3C40"/>
    <w:rsid w:val="00FC13FA"/>
    <w:rsid w:val="00FC6758"/>
    <w:rsid w:val="00FC7A4C"/>
    <w:rsid w:val="00FD0C50"/>
    <w:rsid w:val="00FD4E68"/>
    <w:rsid w:val="00FD4ECA"/>
    <w:rsid w:val="00FD5104"/>
    <w:rsid w:val="00FE087D"/>
    <w:rsid w:val="00FE4DBF"/>
    <w:rsid w:val="00FF104C"/>
    <w:rsid w:val="00FF59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9639"/>
  <w15:chartTrackingRefBased/>
  <w15:docId w15:val="{C1188F24-2E62-40E6-9853-2EF38A6B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B3B"/>
  </w:style>
  <w:style w:type="paragraph" w:styleId="Heading1">
    <w:name w:val="heading 1"/>
    <w:basedOn w:val="Normal"/>
    <w:next w:val="Normal"/>
    <w:link w:val="Heading1Char"/>
    <w:uiPriority w:val="9"/>
    <w:qFormat/>
    <w:rsid w:val="00A47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B96D22"/>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6354">
    <w:name w:val="box_466354"/>
    <w:basedOn w:val="Normal"/>
    <w:rsid w:val="0001474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ontstyle01">
    <w:name w:val="fontstyle01"/>
    <w:basedOn w:val="DefaultParagraphFont"/>
    <w:rsid w:val="00CD6572"/>
    <w:rPr>
      <w:rFonts w:ascii="TimesNewRoman" w:hAnsi="TimesNewRoman" w:hint="default"/>
      <w:b w:val="0"/>
      <w:bCs w:val="0"/>
      <w:i w:val="0"/>
      <w:iCs w:val="0"/>
      <w:color w:val="000000"/>
      <w:sz w:val="24"/>
      <w:szCs w:val="24"/>
    </w:rPr>
  </w:style>
  <w:style w:type="table" w:customStyle="1" w:styleId="TableNormal1">
    <w:name w:val="Table Normal1"/>
    <w:uiPriority w:val="2"/>
    <w:semiHidden/>
    <w:unhideWhenUsed/>
    <w:qFormat/>
    <w:rsid w:val="00CD6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Spacing">
    <w:name w:val="No Spacing"/>
    <w:uiPriority w:val="1"/>
    <w:qFormat/>
    <w:rsid w:val="00C003BC"/>
    <w:pPr>
      <w:spacing w:after="0" w:line="240" w:lineRule="auto"/>
    </w:pPr>
  </w:style>
  <w:style w:type="paragraph" w:styleId="BalloonText">
    <w:name w:val="Balloon Text"/>
    <w:basedOn w:val="Normal"/>
    <w:link w:val="BalloonTextChar"/>
    <w:uiPriority w:val="99"/>
    <w:semiHidden/>
    <w:unhideWhenUsed/>
    <w:rsid w:val="00524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0D"/>
    <w:rPr>
      <w:rFonts w:ascii="Segoe UI" w:hAnsi="Segoe UI" w:cs="Segoe UI"/>
      <w:sz w:val="18"/>
      <w:szCs w:val="18"/>
    </w:rPr>
  </w:style>
  <w:style w:type="character" w:styleId="CommentReference">
    <w:name w:val="annotation reference"/>
    <w:basedOn w:val="DefaultParagraphFont"/>
    <w:uiPriority w:val="99"/>
    <w:semiHidden/>
    <w:unhideWhenUsed/>
    <w:rsid w:val="00C165A2"/>
    <w:rPr>
      <w:sz w:val="16"/>
      <w:szCs w:val="16"/>
    </w:rPr>
  </w:style>
  <w:style w:type="paragraph" w:styleId="CommentText">
    <w:name w:val="annotation text"/>
    <w:basedOn w:val="Normal"/>
    <w:link w:val="CommentTextChar"/>
    <w:uiPriority w:val="99"/>
    <w:unhideWhenUsed/>
    <w:rsid w:val="00C165A2"/>
    <w:pPr>
      <w:spacing w:line="240" w:lineRule="auto"/>
    </w:pPr>
    <w:rPr>
      <w:sz w:val="20"/>
      <w:szCs w:val="20"/>
    </w:rPr>
  </w:style>
  <w:style w:type="character" w:customStyle="1" w:styleId="CommentTextChar">
    <w:name w:val="Comment Text Char"/>
    <w:basedOn w:val="DefaultParagraphFont"/>
    <w:link w:val="CommentText"/>
    <w:uiPriority w:val="99"/>
    <w:rsid w:val="00C165A2"/>
    <w:rPr>
      <w:sz w:val="20"/>
      <w:szCs w:val="20"/>
    </w:rPr>
  </w:style>
  <w:style w:type="paragraph" w:styleId="CommentSubject">
    <w:name w:val="annotation subject"/>
    <w:basedOn w:val="CommentText"/>
    <w:next w:val="CommentText"/>
    <w:link w:val="CommentSubjectChar"/>
    <w:uiPriority w:val="99"/>
    <w:semiHidden/>
    <w:unhideWhenUsed/>
    <w:rsid w:val="00C165A2"/>
    <w:rPr>
      <w:b/>
      <w:bCs/>
    </w:rPr>
  </w:style>
  <w:style w:type="character" w:customStyle="1" w:styleId="CommentSubjectChar">
    <w:name w:val="Comment Subject Char"/>
    <w:basedOn w:val="CommentTextChar"/>
    <w:link w:val="CommentSubject"/>
    <w:uiPriority w:val="99"/>
    <w:semiHidden/>
    <w:rsid w:val="00C165A2"/>
    <w:rPr>
      <w:b/>
      <w:bCs/>
      <w:sz w:val="20"/>
      <w:szCs w:val="20"/>
    </w:rPr>
  </w:style>
  <w:style w:type="numbering" w:customStyle="1" w:styleId="Bezpopisa1">
    <w:name w:val="Bez popisa1"/>
    <w:next w:val="NoList"/>
    <w:uiPriority w:val="99"/>
    <w:semiHidden/>
    <w:unhideWhenUsed/>
    <w:rsid w:val="00505D44"/>
  </w:style>
  <w:style w:type="paragraph" w:customStyle="1" w:styleId="msonormal0">
    <w:name w:val="msonormal"/>
    <w:basedOn w:val="Normal"/>
    <w:rsid w:val="00505D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6343">
    <w:name w:val="box_466343"/>
    <w:basedOn w:val="Normal"/>
    <w:rsid w:val="00505D4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05D44"/>
  </w:style>
  <w:style w:type="character" w:customStyle="1" w:styleId="bold">
    <w:name w:val="bold"/>
    <w:basedOn w:val="DefaultParagraphFont"/>
    <w:rsid w:val="00505D44"/>
  </w:style>
  <w:style w:type="paragraph" w:styleId="Header">
    <w:name w:val="header"/>
    <w:basedOn w:val="Normal"/>
    <w:link w:val="HeaderChar"/>
    <w:uiPriority w:val="99"/>
    <w:unhideWhenUsed/>
    <w:rsid w:val="00505D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5D44"/>
  </w:style>
  <w:style w:type="paragraph" w:styleId="Footer">
    <w:name w:val="footer"/>
    <w:basedOn w:val="Normal"/>
    <w:link w:val="FooterChar"/>
    <w:uiPriority w:val="99"/>
    <w:unhideWhenUsed/>
    <w:rsid w:val="00505D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5D44"/>
  </w:style>
  <w:style w:type="character" w:styleId="Hyperlink">
    <w:name w:val="Hyperlink"/>
    <w:basedOn w:val="DefaultParagraphFont"/>
    <w:uiPriority w:val="99"/>
    <w:unhideWhenUsed/>
    <w:rsid w:val="00CD41A1"/>
    <w:rPr>
      <w:color w:val="0563C1" w:themeColor="hyperlink"/>
      <w:u w:val="single"/>
    </w:rPr>
  </w:style>
  <w:style w:type="table" w:styleId="TableGrid">
    <w:name w:val="Table Grid"/>
    <w:basedOn w:val="TableNormal"/>
    <w:rsid w:val="002A4E4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text">
    <w:name w:val="preformatted-text"/>
    <w:basedOn w:val="DefaultParagraphFont"/>
    <w:rsid w:val="00864972"/>
  </w:style>
  <w:style w:type="character" w:customStyle="1" w:styleId="Heading4Char">
    <w:name w:val="Heading 4 Char"/>
    <w:basedOn w:val="DefaultParagraphFont"/>
    <w:link w:val="Heading4"/>
    <w:uiPriority w:val="9"/>
    <w:rsid w:val="00B96D22"/>
    <w:rPr>
      <w:rFonts w:ascii="Times New Roman" w:eastAsia="Times New Roman" w:hAnsi="Times New Roman" w:cs="Times New Roman"/>
      <w:b/>
      <w:bCs/>
      <w:sz w:val="24"/>
      <w:szCs w:val="24"/>
      <w:lang w:eastAsia="hr-HR"/>
    </w:rPr>
  </w:style>
  <w:style w:type="character" w:customStyle="1" w:styleId="Heading1Char">
    <w:name w:val="Heading 1 Char"/>
    <w:basedOn w:val="DefaultParagraphFont"/>
    <w:link w:val="Heading1"/>
    <w:uiPriority w:val="9"/>
    <w:rsid w:val="00A478F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3401">
      <w:bodyDiv w:val="1"/>
      <w:marLeft w:val="0"/>
      <w:marRight w:val="0"/>
      <w:marTop w:val="0"/>
      <w:marBottom w:val="0"/>
      <w:divBdr>
        <w:top w:val="none" w:sz="0" w:space="0" w:color="auto"/>
        <w:left w:val="none" w:sz="0" w:space="0" w:color="auto"/>
        <w:bottom w:val="none" w:sz="0" w:space="0" w:color="auto"/>
        <w:right w:val="none" w:sz="0" w:space="0" w:color="auto"/>
      </w:divBdr>
    </w:div>
    <w:div w:id="138109875">
      <w:bodyDiv w:val="1"/>
      <w:marLeft w:val="0"/>
      <w:marRight w:val="0"/>
      <w:marTop w:val="0"/>
      <w:marBottom w:val="0"/>
      <w:divBdr>
        <w:top w:val="none" w:sz="0" w:space="0" w:color="auto"/>
        <w:left w:val="none" w:sz="0" w:space="0" w:color="auto"/>
        <w:bottom w:val="none" w:sz="0" w:space="0" w:color="auto"/>
        <w:right w:val="none" w:sz="0" w:space="0" w:color="auto"/>
      </w:divBdr>
      <w:divsChild>
        <w:div w:id="932468748">
          <w:marLeft w:val="-225"/>
          <w:marRight w:val="-225"/>
          <w:marTop w:val="0"/>
          <w:marBottom w:val="0"/>
          <w:divBdr>
            <w:top w:val="none" w:sz="0" w:space="0" w:color="auto"/>
            <w:left w:val="none" w:sz="0" w:space="0" w:color="auto"/>
            <w:bottom w:val="none" w:sz="0" w:space="0" w:color="auto"/>
            <w:right w:val="none" w:sz="0" w:space="0" w:color="auto"/>
          </w:divBdr>
        </w:div>
      </w:divsChild>
    </w:div>
    <w:div w:id="185289201">
      <w:bodyDiv w:val="1"/>
      <w:marLeft w:val="0"/>
      <w:marRight w:val="0"/>
      <w:marTop w:val="0"/>
      <w:marBottom w:val="0"/>
      <w:divBdr>
        <w:top w:val="none" w:sz="0" w:space="0" w:color="auto"/>
        <w:left w:val="none" w:sz="0" w:space="0" w:color="auto"/>
        <w:bottom w:val="none" w:sz="0" w:space="0" w:color="auto"/>
        <w:right w:val="none" w:sz="0" w:space="0" w:color="auto"/>
      </w:divBdr>
    </w:div>
    <w:div w:id="220405327">
      <w:bodyDiv w:val="1"/>
      <w:marLeft w:val="0"/>
      <w:marRight w:val="0"/>
      <w:marTop w:val="0"/>
      <w:marBottom w:val="0"/>
      <w:divBdr>
        <w:top w:val="none" w:sz="0" w:space="0" w:color="auto"/>
        <w:left w:val="none" w:sz="0" w:space="0" w:color="auto"/>
        <w:bottom w:val="none" w:sz="0" w:space="0" w:color="auto"/>
        <w:right w:val="none" w:sz="0" w:space="0" w:color="auto"/>
      </w:divBdr>
      <w:divsChild>
        <w:div w:id="974456983">
          <w:marLeft w:val="-225"/>
          <w:marRight w:val="-225"/>
          <w:marTop w:val="0"/>
          <w:marBottom w:val="0"/>
          <w:divBdr>
            <w:top w:val="none" w:sz="0" w:space="0" w:color="auto"/>
            <w:left w:val="none" w:sz="0" w:space="0" w:color="auto"/>
            <w:bottom w:val="none" w:sz="0" w:space="0" w:color="auto"/>
            <w:right w:val="none" w:sz="0" w:space="0" w:color="auto"/>
          </w:divBdr>
        </w:div>
      </w:divsChild>
    </w:div>
    <w:div w:id="333579051">
      <w:bodyDiv w:val="1"/>
      <w:marLeft w:val="0"/>
      <w:marRight w:val="0"/>
      <w:marTop w:val="0"/>
      <w:marBottom w:val="0"/>
      <w:divBdr>
        <w:top w:val="none" w:sz="0" w:space="0" w:color="auto"/>
        <w:left w:val="none" w:sz="0" w:space="0" w:color="auto"/>
        <w:bottom w:val="none" w:sz="0" w:space="0" w:color="auto"/>
        <w:right w:val="none" w:sz="0" w:space="0" w:color="auto"/>
      </w:divBdr>
    </w:div>
    <w:div w:id="714544043">
      <w:bodyDiv w:val="1"/>
      <w:marLeft w:val="0"/>
      <w:marRight w:val="0"/>
      <w:marTop w:val="0"/>
      <w:marBottom w:val="0"/>
      <w:divBdr>
        <w:top w:val="none" w:sz="0" w:space="0" w:color="auto"/>
        <w:left w:val="none" w:sz="0" w:space="0" w:color="auto"/>
        <w:bottom w:val="none" w:sz="0" w:space="0" w:color="auto"/>
        <w:right w:val="none" w:sz="0" w:space="0" w:color="auto"/>
      </w:divBdr>
    </w:div>
    <w:div w:id="722602016">
      <w:bodyDiv w:val="1"/>
      <w:marLeft w:val="0"/>
      <w:marRight w:val="0"/>
      <w:marTop w:val="0"/>
      <w:marBottom w:val="0"/>
      <w:divBdr>
        <w:top w:val="none" w:sz="0" w:space="0" w:color="auto"/>
        <w:left w:val="none" w:sz="0" w:space="0" w:color="auto"/>
        <w:bottom w:val="none" w:sz="0" w:space="0" w:color="auto"/>
        <w:right w:val="none" w:sz="0" w:space="0" w:color="auto"/>
      </w:divBdr>
    </w:div>
    <w:div w:id="881282119">
      <w:bodyDiv w:val="1"/>
      <w:marLeft w:val="0"/>
      <w:marRight w:val="0"/>
      <w:marTop w:val="0"/>
      <w:marBottom w:val="0"/>
      <w:divBdr>
        <w:top w:val="none" w:sz="0" w:space="0" w:color="auto"/>
        <w:left w:val="none" w:sz="0" w:space="0" w:color="auto"/>
        <w:bottom w:val="none" w:sz="0" w:space="0" w:color="auto"/>
        <w:right w:val="none" w:sz="0" w:space="0" w:color="auto"/>
      </w:divBdr>
    </w:div>
    <w:div w:id="1036858381">
      <w:bodyDiv w:val="1"/>
      <w:marLeft w:val="0"/>
      <w:marRight w:val="0"/>
      <w:marTop w:val="0"/>
      <w:marBottom w:val="0"/>
      <w:divBdr>
        <w:top w:val="none" w:sz="0" w:space="0" w:color="auto"/>
        <w:left w:val="none" w:sz="0" w:space="0" w:color="auto"/>
        <w:bottom w:val="none" w:sz="0" w:space="0" w:color="auto"/>
        <w:right w:val="none" w:sz="0" w:space="0" w:color="auto"/>
      </w:divBdr>
      <w:divsChild>
        <w:div w:id="1440758298">
          <w:marLeft w:val="-225"/>
          <w:marRight w:val="-225"/>
          <w:marTop w:val="0"/>
          <w:marBottom w:val="0"/>
          <w:divBdr>
            <w:top w:val="none" w:sz="0" w:space="0" w:color="auto"/>
            <w:left w:val="none" w:sz="0" w:space="0" w:color="auto"/>
            <w:bottom w:val="none" w:sz="0" w:space="0" w:color="auto"/>
            <w:right w:val="none" w:sz="0" w:space="0" w:color="auto"/>
          </w:divBdr>
        </w:div>
        <w:div w:id="316962479">
          <w:marLeft w:val="-225"/>
          <w:marRight w:val="-225"/>
          <w:marTop w:val="0"/>
          <w:marBottom w:val="0"/>
          <w:divBdr>
            <w:top w:val="none" w:sz="0" w:space="0" w:color="auto"/>
            <w:left w:val="none" w:sz="0" w:space="0" w:color="auto"/>
            <w:bottom w:val="none" w:sz="0" w:space="0" w:color="auto"/>
            <w:right w:val="none" w:sz="0" w:space="0" w:color="auto"/>
          </w:divBdr>
        </w:div>
      </w:divsChild>
    </w:div>
    <w:div w:id="1143962773">
      <w:bodyDiv w:val="1"/>
      <w:marLeft w:val="0"/>
      <w:marRight w:val="0"/>
      <w:marTop w:val="0"/>
      <w:marBottom w:val="0"/>
      <w:divBdr>
        <w:top w:val="none" w:sz="0" w:space="0" w:color="auto"/>
        <w:left w:val="none" w:sz="0" w:space="0" w:color="auto"/>
        <w:bottom w:val="none" w:sz="0" w:space="0" w:color="auto"/>
        <w:right w:val="none" w:sz="0" w:space="0" w:color="auto"/>
      </w:divBdr>
      <w:divsChild>
        <w:div w:id="1853950254">
          <w:marLeft w:val="-225"/>
          <w:marRight w:val="-225"/>
          <w:marTop w:val="0"/>
          <w:marBottom w:val="0"/>
          <w:divBdr>
            <w:top w:val="none" w:sz="0" w:space="0" w:color="auto"/>
            <w:left w:val="none" w:sz="0" w:space="0" w:color="auto"/>
            <w:bottom w:val="none" w:sz="0" w:space="0" w:color="auto"/>
            <w:right w:val="none" w:sz="0" w:space="0" w:color="auto"/>
          </w:divBdr>
        </w:div>
      </w:divsChild>
    </w:div>
    <w:div w:id="1623730556">
      <w:bodyDiv w:val="1"/>
      <w:marLeft w:val="0"/>
      <w:marRight w:val="0"/>
      <w:marTop w:val="0"/>
      <w:marBottom w:val="0"/>
      <w:divBdr>
        <w:top w:val="none" w:sz="0" w:space="0" w:color="auto"/>
        <w:left w:val="none" w:sz="0" w:space="0" w:color="auto"/>
        <w:bottom w:val="none" w:sz="0" w:space="0" w:color="auto"/>
        <w:right w:val="none" w:sz="0" w:space="0" w:color="auto"/>
      </w:divBdr>
    </w:div>
    <w:div w:id="1691757450">
      <w:bodyDiv w:val="1"/>
      <w:marLeft w:val="0"/>
      <w:marRight w:val="0"/>
      <w:marTop w:val="0"/>
      <w:marBottom w:val="0"/>
      <w:divBdr>
        <w:top w:val="none" w:sz="0" w:space="0" w:color="auto"/>
        <w:left w:val="none" w:sz="0" w:space="0" w:color="auto"/>
        <w:bottom w:val="none" w:sz="0" w:space="0" w:color="auto"/>
        <w:right w:val="none" w:sz="0" w:space="0" w:color="auto"/>
      </w:divBdr>
    </w:div>
    <w:div w:id="1905330940">
      <w:bodyDiv w:val="1"/>
      <w:marLeft w:val="0"/>
      <w:marRight w:val="0"/>
      <w:marTop w:val="0"/>
      <w:marBottom w:val="0"/>
      <w:divBdr>
        <w:top w:val="none" w:sz="0" w:space="0" w:color="auto"/>
        <w:left w:val="none" w:sz="0" w:space="0" w:color="auto"/>
        <w:bottom w:val="none" w:sz="0" w:space="0" w:color="auto"/>
        <w:right w:val="none" w:sz="0" w:space="0" w:color="auto"/>
      </w:divBdr>
    </w:div>
    <w:div w:id="1919165533">
      <w:bodyDiv w:val="1"/>
      <w:marLeft w:val="0"/>
      <w:marRight w:val="0"/>
      <w:marTop w:val="0"/>
      <w:marBottom w:val="0"/>
      <w:divBdr>
        <w:top w:val="none" w:sz="0" w:space="0" w:color="auto"/>
        <w:left w:val="none" w:sz="0" w:space="0" w:color="auto"/>
        <w:bottom w:val="none" w:sz="0" w:space="0" w:color="auto"/>
        <w:right w:val="none" w:sz="0" w:space="0" w:color="auto"/>
      </w:divBdr>
    </w:div>
    <w:div w:id="1923417163">
      <w:bodyDiv w:val="1"/>
      <w:marLeft w:val="0"/>
      <w:marRight w:val="0"/>
      <w:marTop w:val="0"/>
      <w:marBottom w:val="0"/>
      <w:divBdr>
        <w:top w:val="none" w:sz="0" w:space="0" w:color="auto"/>
        <w:left w:val="none" w:sz="0" w:space="0" w:color="auto"/>
        <w:bottom w:val="none" w:sz="0" w:space="0" w:color="auto"/>
        <w:right w:val="none" w:sz="0" w:space="0" w:color="auto"/>
      </w:divBdr>
      <w:divsChild>
        <w:div w:id="441416056">
          <w:marLeft w:val="-225"/>
          <w:marRight w:val="-225"/>
          <w:marTop w:val="0"/>
          <w:marBottom w:val="0"/>
          <w:divBdr>
            <w:top w:val="none" w:sz="0" w:space="0" w:color="auto"/>
            <w:left w:val="none" w:sz="0" w:space="0" w:color="auto"/>
            <w:bottom w:val="none" w:sz="0" w:space="0" w:color="auto"/>
            <w:right w:val="none" w:sz="0" w:space="0" w:color="auto"/>
          </w:divBdr>
        </w:div>
      </w:divsChild>
    </w:div>
    <w:div w:id="2020423843">
      <w:bodyDiv w:val="1"/>
      <w:marLeft w:val="0"/>
      <w:marRight w:val="0"/>
      <w:marTop w:val="0"/>
      <w:marBottom w:val="0"/>
      <w:divBdr>
        <w:top w:val="none" w:sz="0" w:space="0" w:color="auto"/>
        <w:left w:val="none" w:sz="0" w:space="0" w:color="auto"/>
        <w:bottom w:val="none" w:sz="0" w:space="0" w:color="auto"/>
        <w:right w:val="none" w:sz="0" w:space="0" w:color="auto"/>
      </w:divBdr>
      <w:divsChild>
        <w:div w:id="527526858">
          <w:marLeft w:val="-225"/>
          <w:marRight w:val="-225"/>
          <w:marTop w:val="0"/>
          <w:marBottom w:val="0"/>
          <w:divBdr>
            <w:top w:val="none" w:sz="0" w:space="0" w:color="auto"/>
            <w:left w:val="none" w:sz="0" w:space="0" w:color="auto"/>
            <w:bottom w:val="none" w:sz="0" w:space="0" w:color="auto"/>
            <w:right w:val="none" w:sz="0" w:space="0" w:color="auto"/>
          </w:divBdr>
        </w:div>
        <w:div w:id="1191141928">
          <w:marLeft w:val="-225"/>
          <w:marRight w:val="-225"/>
          <w:marTop w:val="0"/>
          <w:marBottom w:val="0"/>
          <w:divBdr>
            <w:top w:val="none" w:sz="0" w:space="0" w:color="auto"/>
            <w:left w:val="none" w:sz="0" w:space="0" w:color="auto"/>
            <w:bottom w:val="none" w:sz="0" w:space="0" w:color="auto"/>
            <w:right w:val="none" w:sz="0" w:space="0" w:color="auto"/>
          </w:divBdr>
          <w:divsChild>
            <w:div w:id="1012414980">
              <w:marLeft w:val="75"/>
              <w:marRight w:val="0"/>
              <w:marTop w:val="0"/>
              <w:marBottom w:val="0"/>
              <w:divBdr>
                <w:top w:val="none" w:sz="0" w:space="0" w:color="auto"/>
                <w:left w:val="none" w:sz="0" w:space="0" w:color="auto"/>
                <w:bottom w:val="none" w:sz="0" w:space="0" w:color="auto"/>
                <w:right w:val="none" w:sz="0" w:space="0" w:color="auto"/>
              </w:divBdr>
              <w:divsChild>
                <w:div w:id="992486855">
                  <w:marLeft w:val="0"/>
                  <w:marRight w:val="0"/>
                  <w:marTop w:val="0"/>
                  <w:marBottom w:val="0"/>
                  <w:divBdr>
                    <w:top w:val="none" w:sz="0" w:space="0" w:color="auto"/>
                    <w:left w:val="none" w:sz="0" w:space="0" w:color="auto"/>
                    <w:bottom w:val="none" w:sz="0" w:space="0" w:color="auto"/>
                    <w:right w:val="none" w:sz="0" w:space="0" w:color="auto"/>
                  </w:divBdr>
                </w:div>
                <w:div w:id="14312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7793">
          <w:marLeft w:val="-225"/>
          <w:marRight w:val="-225"/>
          <w:marTop w:val="0"/>
          <w:marBottom w:val="0"/>
          <w:divBdr>
            <w:top w:val="none" w:sz="0" w:space="0" w:color="auto"/>
            <w:left w:val="none" w:sz="0" w:space="0" w:color="auto"/>
            <w:bottom w:val="none" w:sz="0" w:space="0" w:color="auto"/>
            <w:right w:val="none" w:sz="0" w:space="0" w:color="auto"/>
          </w:divBdr>
        </w:div>
        <w:div w:id="811873042">
          <w:marLeft w:val="-225"/>
          <w:marRight w:val="-225"/>
          <w:marTop w:val="0"/>
          <w:marBottom w:val="0"/>
          <w:divBdr>
            <w:top w:val="none" w:sz="0" w:space="0" w:color="auto"/>
            <w:left w:val="none" w:sz="0" w:space="0" w:color="auto"/>
            <w:bottom w:val="none" w:sz="0" w:space="0" w:color="auto"/>
            <w:right w:val="none" w:sz="0" w:space="0" w:color="auto"/>
          </w:divBdr>
        </w:div>
        <w:div w:id="1033654379">
          <w:marLeft w:val="-225"/>
          <w:marRight w:val="-225"/>
          <w:marTop w:val="0"/>
          <w:marBottom w:val="0"/>
          <w:divBdr>
            <w:top w:val="none" w:sz="0" w:space="0" w:color="auto"/>
            <w:left w:val="none" w:sz="0" w:space="0" w:color="auto"/>
            <w:bottom w:val="none" w:sz="0" w:space="0" w:color="auto"/>
            <w:right w:val="none" w:sz="0" w:space="0" w:color="auto"/>
          </w:divBdr>
        </w:div>
        <w:div w:id="904801885">
          <w:marLeft w:val="-225"/>
          <w:marRight w:val="-225"/>
          <w:marTop w:val="0"/>
          <w:marBottom w:val="0"/>
          <w:divBdr>
            <w:top w:val="none" w:sz="0" w:space="0" w:color="auto"/>
            <w:left w:val="none" w:sz="0" w:space="0" w:color="auto"/>
            <w:bottom w:val="none" w:sz="0" w:space="0" w:color="auto"/>
            <w:right w:val="none" w:sz="0" w:space="0" w:color="auto"/>
          </w:divBdr>
        </w:div>
        <w:div w:id="948314112">
          <w:marLeft w:val="-225"/>
          <w:marRight w:val="-225"/>
          <w:marTop w:val="0"/>
          <w:marBottom w:val="0"/>
          <w:divBdr>
            <w:top w:val="none" w:sz="0" w:space="0" w:color="auto"/>
            <w:left w:val="none" w:sz="0" w:space="0" w:color="auto"/>
            <w:bottom w:val="none" w:sz="0" w:space="0" w:color="auto"/>
            <w:right w:val="none" w:sz="0" w:space="0" w:color="auto"/>
          </w:divBdr>
        </w:div>
        <w:div w:id="549197035">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AZJMDCZ6QSYZ-1849078857-53650</_dlc_DocId>
    <_dlc_DocIdUrl xmlns="a494813a-d0d8-4dad-94cb-0d196f36ba15">
      <Url>https://ekoordinacije.vlada.hr/koordinacija-gospodarstvo/_layouts/15/DocIdRedir.aspx?ID=AZJMDCZ6QSYZ-1849078857-53650</Url>
      <Description>AZJMDCZ6QSYZ-1849078857-53650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579D1-2629-4BE5-A702-D662986C1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71C91-F0FF-4DC4-AC39-35BEF667D5F3}">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F63F01B-B810-4137-9C13-C48411599A70}">
  <ds:schemaRefs>
    <ds:schemaRef ds:uri="http://schemas.microsoft.com/sharepoint/v3/contenttype/forms"/>
  </ds:schemaRefs>
</ds:datastoreItem>
</file>

<file path=customXml/itemProps4.xml><?xml version="1.0" encoding="utf-8"?>
<ds:datastoreItem xmlns:ds="http://schemas.openxmlformats.org/officeDocument/2006/customXml" ds:itemID="{91575EAB-5C3B-455E-9FF3-0D8EA2A5F34C}">
  <ds:schemaRefs>
    <ds:schemaRef ds:uri="http://schemas.microsoft.com/sharepoint/events"/>
  </ds:schemaRefs>
</ds:datastoreItem>
</file>

<file path=customXml/itemProps5.xml><?xml version="1.0" encoding="utf-8"?>
<ds:datastoreItem xmlns:ds="http://schemas.openxmlformats.org/officeDocument/2006/customXml" ds:itemID="{BBFBE2CC-11E1-41B6-8D1B-FF8F07D3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19</Pages>
  <Words>8203</Words>
  <Characters>46762</Characters>
  <Application>Microsoft Office Word</Application>
  <DocSecurity>0</DocSecurity>
  <Lines>389</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Radelja</dc:creator>
  <cp:keywords/>
  <dc:description/>
  <cp:lastModifiedBy>Maja Lebarović</cp:lastModifiedBy>
  <cp:revision>18</cp:revision>
  <cp:lastPrinted>2024-10-18T08:41:00Z</cp:lastPrinted>
  <dcterms:created xsi:type="dcterms:W3CDTF">2026-02-20T13:47:00Z</dcterms:created>
  <dcterms:modified xsi:type="dcterms:W3CDTF">2026-03-31T12:40:00Z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450c7663-8c99-4569-b2ac-687e7c37f835</vt:lpwstr>
  </property>
</Properties>
</file>